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f"/>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f"/>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f"/>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af"/>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af4"/>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f"/>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f"/>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f"/>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af4"/>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af4"/>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f"/>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595BBA">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f4"/>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595BBA">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595BBA">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595BBA">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870A36" w14:paraId="1C3ECA32" w14:textId="77777777" w:rsidTr="00595BBA">
        <w:tc>
          <w:tcPr>
            <w:tcW w:w="2065" w:type="dxa"/>
          </w:tcPr>
          <w:p w14:paraId="6BA1B246" w14:textId="3D5118E2"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f"/>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595BBA">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p>
        </w:tc>
      </w:tr>
      <w:tr w:rsidR="00CC1BCB" w14:paraId="16B4504E" w14:textId="77777777" w:rsidTr="00595BBA">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595BBA">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870A36" w14:paraId="30569B65" w14:textId="77777777" w:rsidTr="00595BBA">
        <w:tc>
          <w:tcPr>
            <w:tcW w:w="2065" w:type="dxa"/>
          </w:tcPr>
          <w:p w14:paraId="28058AF0" w14:textId="6BFC4AC7"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 xml:space="preserve">@NTT DOCOMO, </w:t>
            </w:r>
            <w:proofErr w:type="gramStart"/>
            <w:r w:rsidRPr="00622D7B">
              <w:rPr>
                <w:rFonts w:ascii="Times New Roman" w:eastAsia="DengXian" w:hAnsi="Times New Roman" w:cs="Times New Roman"/>
                <w:i/>
                <w:iCs/>
                <w:sz w:val="20"/>
                <w:szCs w:val="20"/>
                <w:lang w:val="en-GB" w:eastAsia="zh-CN"/>
              </w:rPr>
              <w:t>Vivo</w:t>
            </w:r>
            <w:proofErr w:type="gramEnd"/>
            <w:r w:rsidRPr="00622D7B">
              <w:rPr>
                <w:rFonts w:ascii="Times New Roman" w:eastAsia="DengXian" w:hAnsi="Times New Roman" w:cs="Times New Roman"/>
                <w:i/>
                <w:iCs/>
                <w:sz w:val="20"/>
                <w:szCs w:val="20"/>
                <w:lang w:val="en-GB" w:eastAsia="zh-CN"/>
              </w:rPr>
              <w:t>: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 xml:space="preserve">DOCOMO] in our understanding MC WI can still work on this </w:t>
            </w:r>
            <w:proofErr w:type="gramStart"/>
            <w:r w:rsidRPr="00622D7B">
              <w:rPr>
                <w:rFonts w:ascii="Times New Roman" w:hAnsi="Times New Roman" w:cs="Times New Roman"/>
                <w:color w:val="C00000"/>
                <w:sz w:val="20"/>
                <w:szCs w:val="20"/>
                <w:lang w:val="en-GB"/>
              </w:rPr>
              <w:t>issue</w:t>
            </w:r>
            <w:r>
              <w:rPr>
                <w:rFonts w:ascii="Times New Roman" w:hAnsi="Times New Roman" w:cs="Times New Roman"/>
                <w:color w:val="C00000"/>
                <w:sz w:val="20"/>
                <w:szCs w:val="20"/>
                <w:lang w:val="en-GB"/>
              </w:rPr>
              <w:t>, if</w:t>
            </w:r>
            <w:proofErr w:type="gramEnd"/>
            <w:r>
              <w:rPr>
                <w:rFonts w:ascii="Times New Roman" w:hAnsi="Times New Roman" w:cs="Times New Roman"/>
                <w:color w:val="C00000"/>
                <w:sz w:val="20"/>
                <w:szCs w:val="20"/>
                <w:lang w:val="en-GB"/>
              </w:rPr>
              <w:t xml:space="preserve"> the topic is ready to be discussed in MC WI. </w:t>
            </w:r>
          </w:p>
          <w:p w14:paraId="6AB8DC5F" w14:textId="06022F84" w:rsidR="00622D7B" w:rsidRDefault="00622D7B"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1083C25E"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595BBA">
        <w:tc>
          <w:tcPr>
            <w:tcW w:w="2065" w:type="dxa"/>
          </w:tcPr>
          <w:p w14:paraId="03AF67FB" w14:textId="048C9DF0"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595BBA">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595BBA">
        <w:tc>
          <w:tcPr>
            <w:tcW w:w="2065" w:type="dxa"/>
          </w:tcPr>
          <w:p w14:paraId="11C0B405" w14:textId="0789DC67"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8C6E1C9" w14:textId="03D6A54D"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595BBA">
        <w:tc>
          <w:tcPr>
            <w:tcW w:w="2065" w:type="dxa"/>
          </w:tcPr>
          <w:p w14:paraId="18D49AAC" w14:textId="4BD5938D" w:rsidR="00AF4862" w:rsidRDefault="00AF4862"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70A36" w14:paraId="32F46B3A" w14:textId="77777777" w:rsidTr="00595BBA">
        <w:tc>
          <w:tcPr>
            <w:tcW w:w="2065" w:type="dxa"/>
          </w:tcPr>
          <w:p w14:paraId="1AE7EEC6" w14:textId="214FE22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 xml:space="preserve">is thus in </w:t>
            </w:r>
            <w:r w:rsidR="005F77C4">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AFE5F71"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7DC97C35"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06F08" w14:paraId="6900C25B" w14:textId="77777777" w:rsidTr="00595BBA">
        <w:tc>
          <w:tcPr>
            <w:tcW w:w="2065" w:type="dxa"/>
          </w:tcPr>
          <w:p w14:paraId="217721D3" w14:textId="51564216"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595BBA">
        <w:tc>
          <w:tcPr>
            <w:tcW w:w="2065" w:type="dxa"/>
          </w:tcPr>
          <w:p w14:paraId="775CF698" w14:textId="218AD746"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595BBA">
        <w:tc>
          <w:tcPr>
            <w:tcW w:w="2065" w:type="dxa"/>
          </w:tcPr>
          <w:p w14:paraId="0C03C13F" w14:textId="50A87847" w:rsidR="007327DF" w:rsidRDefault="007327DF"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r w:rsidR="00870A36" w14:paraId="7A4C5F4D" w14:textId="77777777" w:rsidTr="00595BBA">
        <w:tc>
          <w:tcPr>
            <w:tcW w:w="2065" w:type="dxa"/>
          </w:tcPr>
          <w:p w14:paraId="76858F0C" w14:textId="6DC20D3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We agree to the comment during GTW on Monday that reporting both legacy PHR and PHR for target waveform at the same time should also be one possibility for potential enhancement. With the above FL’s explanation that such possibility is under Option 1, we </w:t>
            </w:r>
            <w:r>
              <w:rPr>
                <w:rFonts w:ascii="Times New Roman" w:hAnsi="Times New Roman" w:cs="Times New Roman"/>
                <w:sz w:val="20"/>
                <w:szCs w:val="20"/>
              </w:rPr>
              <w:t xml:space="preserve">are </w:t>
            </w:r>
            <w:r>
              <w:rPr>
                <w:rFonts w:ascii="Times New Roman" w:hAnsi="Times New Roman" w:cs="Times New Roman"/>
                <w:sz w:val="20"/>
                <w:szCs w:val="20"/>
              </w:rPr>
              <w:t>fine with FL proposal 2-4r1.</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w:t>
      </w:r>
      <w:r>
        <w:rPr>
          <w:rFonts w:ascii="Times New Roman" w:hAnsi="Times New Roman" w:cs="Times New Roman"/>
          <w:sz w:val="20"/>
          <w:szCs w:val="20"/>
        </w:rPr>
        <w:lastRenderedPageBreak/>
        <w:t xml:space="preserve">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af4"/>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595BBA">
        <w:tc>
          <w:tcPr>
            <w:tcW w:w="2065" w:type="dxa"/>
          </w:tcPr>
          <w:p w14:paraId="030EDB18" w14:textId="69499D06" w:rsidR="00BB03A2"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595BBA">
        <w:tc>
          <w:tcPr>
            <w:tcW w:w="2065" w:type="dxa"/>
          </w:tcPr>
          <w:p w14:paraId="550DF1DD" w14:textId="444A5275" w:rsidR="00BB03A2" w:rsidRDefault="003612E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595BBA">
        <w:tc>
          <w:tcPr>
            <w:tcW w:w="2065" w:type="dxa"/>
          </w:tcPr>
          <w:p w14:paraId="096592FC" w14:textId="49D69DD0" w:rsidR="00D94723" w:rsidRDefault="00D9472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595BBA">
        <w:tc>
          <w:tcPr>
            <w:tcW w:w="2065" w:type="dxa"/>
          </w:tcPr>
          <w:p w14:paraId="1024D722" w14:textId="58C2F0BA" w:rsidR="007327DF" w:rsidRDefault="007327DF"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Lets</w:t>
            </w:r>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870A36" w14:paraId="7A0B08D8" w14:textId="77777777" w:rsidTr="00595BBA">
        <w:tc>
          <w:tcPr>
            <w:tcW w:w="2065" w:type="dxa"/>
          </w:tcPr>
          <w:p w14:paraId="54704BF4" w14:textId="732968A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6923" w14:textId="77777777" w:rsidR="009B52C5" w:rsidRDefault="009B52C5">
      <w:pPr>
        <w:spacing w:line="240" w:lineRule="auto"/>
      </w:pPr>
      <w:r>
        <w:separator/>
      </w:r>
    </w:p>
  </w:endnote>
  <w:endnote w:type="continuationSeparator" w:id="0">
    <w:p w14:paraId="68AE3B03" w14:textId="77777777" w:rsidR="009B52C5" w:rsidRDefault="009B5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0D7F" w14:textId="77777777" w:rsidR="009B52C5" w:rsidRDefault="009B52C5">
      <w:pPr>
        <w:spacing w:after="0"/>
      </w:pPr>
      <w:r>
        <w:separator/>
      </w:r>
    </w:p>
  </w:footnote>
  <w:footnote w:type="continuationSeparator" w:id="0">
    <w:p w14:paraId="4461EAA8" w14:textId="77777777" w:rsidR="009B52C5" w:rsidRDefault="009B5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23911378">
    <w:abstractNumId w:val="0"/>
  </w:num>
  <w:num w:numId="2" w16cid:durableId="644892490">
    <w:abstractNumId w:val="8"/>
  </w:num>
  <w:num w:numId="3" w16cid:durableId="1002856447">
    <w:abstractNumId w:val="6"/>
  </w:num>
  <w:num w:numId="4" w16cid:durableId="1185554969">
    <w:abstractNumId w:val="1"/>
  </w:num>
  <w:num w:numId="5" w16cid:durableId="2079589933">
    <w:abstractNumId w:val="2"/>
  </w:num>
  <w:num w:numId="6" w16cid:durableId="1308048670">
    <w:abstractNumId w:val="7"/>
  </w:num>
  <w:num w:numId="7" w16cid:durableId="1161190562">
    <w:abstractNumId w:val="3"/>
  </w:num>
  <w:num w:numId="8" w16cid:durableId="449323529">
    <w:abstractNumId w:val="5"/>
  </w:num>
  <w:num w:numId="9" w16cid:durableId="1914772352">
    <w:abstractNumId w:val="10"/>
  </w:num>
  <w:num w:numId="10" w16cid:durableId="1645432652">
    <w:abstractNumId w:val="9"/>
  </w:num>
  <w:num w:numId="11" w16cid:durableId="45156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487B9B2-12DF-4736-821E-CE103946724C}">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14677</Words>
  <Characters>83663</Characters>
  <Application>Microsoft Office Word</Application>
  <DocSecurity>0</DocSecurity>
  <Lines>697</Lines>
  <Paragraphs>196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3</cp:revision>
  <dcterms:created xsi:type="dcterms:W3CDTF">2023-04-18T17:44:00Z</dcterms:created>
  <dcterms:modified xsi:type="dcterms:W3CDTF">2023-04-19T00:23:00Z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