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77777777"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R1-2303788</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24F757F2"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#1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p w14:paraId="23EFC27E"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GTW/checkpoint</w:t>
      </w:r>
    </w:p>
    <w:p w14:paraId="1E462ED2" w14:textId="77777777" w:rsidR="00913B9A" w:rsidRDefault="00913B9A">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bl>
    <w:p w14:paraId="52002A51"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Applicability to PUSCH scheduled by RAR and/or by TC-RNTI with DCI format 0_0</w:t>
      </w:r>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lastRenderedPageBreak/>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support the FFS point. Dynamic switching and multiple PRACH are separate features. If a UE is only capable of multiple PRACH but not dynamic switching, this FFS point would contradict with such case.</w:t>
            </w:r>
            <w:r>
              <w:rPr>
                <w:rFonts w:ascii="Times New Roman" w:eastAsia="DengXian" w:hAnsi="Times New Roman" w:cs="Times New Roman"/>
                <w:sz w:val="20"/>
                <w:szCs w:val="20"/>
                <w:lang w:val="en-GB" w:eastAsia="zh-CN"/>
              </w:rPr>
              <w:t xml:space="preserve"> </w:t>
            </w:r>
          </w:p>
        </w:tc>
      </w:tr>
    </w:tbl>
    <w:p w14:paraId="60838ACA" w14:textId="77777777" w:rsidR="00913B9A" w:rsidRDefault="00913B9A">
      <w:pPr>
        <w:rPr>
          <w:rFonts w:ascii="Times New Roman" w:hAnsi="Times New Roman" w:cs="Times New Roman"/>
          <w:sz w:val="20"/>
          <w:szCs w:val="20"/>
        </w:rPr>
      </w:pPr>
    </w:p>
    <w:p w14:paraId="31703F80" w14:textId="77777777" w:rsidR="00913B9A" w:rsidRDefault="005F420F">
      <w:pPr>
        <w:pStyle w:val="Heading2"/>
      </w:pPr>
      <w:r>
        <w:t>[LP][Open]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t>Topic #2: Dynamic switching mechanism</w:t>
      </w:r>
    </w:p>
    <w:p w14:paraId="520A12F9"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9AACC26" w14:textId="77777777" w:rsidR="00913B9A" w:rsidRDefault="00913B9A">
      <w:pPr>
        <w:rPr>
          <w:rFonts w:ascii="Times New Roman" w:hAnsi="Times New Roman" w:cs="Times New Roman"/>
          <w:sz w:val="20"/>
          <w:szCs w:val="20"/>
          <w:u w:val="single"/>
          <w:lang w:eastAsia="ko-KR"/>
        </w:rPr>
      </w:pPr>
    </w:p>
    <w:p w14:paraId="68669463" w14:textId="77777777" w:rsidR="00913B9A" w:rsidRDefault="00913B9A">
      <w:pPr>
        <w:rPr>
          <w:rFonts w:ascii="Times New Roman" w:hAnsi="Times New Roman" w:cs="Times New Roman"/>
          <w:sz w:val="20"/>
          <w:szCs w:val="20"/>
          <w:u w:val="single"/>
          <w:lang w:eastAsia="ko-KR"/>
        </w:rPr>
      </w:pPr>
    </w:p>
    <w:p w14:paraId="425777DA" w14:textId="77777777" w:rsidR="00913B9A" w:rsidRDefault="00913B9A">
      <w:pPr>
        <w:rPr>
          <w:rFonts w:ascii="Times New Roman" w:hAnsi="Times New Roman" w:cs="Times New Roman"/>
          <w:sz w:val="20"/>
          <w:szCs w:val="20"/>
          <w:u w:val="single"/>
          <w:lang w:eastAsia="ko-KR"/>
        </w:rPr>
      </w:pP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For Proposal 2-3, it’s gNB configuration issue, a conclusion is enough. </w:t>
            </w:r>
          </w:p>
        </w:tc>
      </w:tr>
      <w:tr w:rsidR="00913B9A" w14:paraId="4D6E8FB2" w14:textId="77777777">
        <w:tc>
          <w:tcPr>
            <w:tcW w:w="2065" w:type="dxa"/>
          </w:tcPr>
          <w:p w14:paraId="2AD4629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signalling is needed. gNB should have </w:t>
            </w:r>
            <w:proofErr w:type="gramStart"/>
            <w:r>
              <w:rPr>
                <w:rFonts w:ascii="Times New Roman" w:hAnsi="Times New Roman" w:cs="Times New Roman"/>
                <w:sz w:val="20"/>
                <w:szCs w:val="20"/>
                <w:lang w:eastAsia="zh-CN"/>
              </w:rPr>
              <w:t>clear</w:t>
            </w:r>
            <w:proofErr w:type="gramEnd"/>
            <w:r>
              <w:rPr>
                <w:rFonts w:ascii="Times New Roman" w:hAnsi="Times New Roman" w:cs="Times New Roman"/>
                <w:sz w:val="20"/>
                <w:szCs w:val="20"/>
                <w:lang w:eastAsia="zh-CN"/>
              </w:rPr>
              <w:t xml:space="preserve">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bl>
    <w:p w14:paraId="01D92030" w14:textId="77777777" w:rsidR="00913B9A" w:rsidRDefault="00913B9A">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bl>
    <w:p w14:paraId="218AC008" w14:textId="77777777" w:rsidR="00913B9A" w:rsidRDefault="00913B9A">
      <w:pPr>
        <w:rPr>
          <w:rFonts w:ascii="Times New Roman" w:hAnsi="Times New Roman" w:cs="Times New Roman"/>
          <w:sz w:val="20"/>
          <w:szCs w:val="20"/>
        </w:rPr>
      </w:pPr>
    </w:p>
    <w:p w14:paraId="62F5C0C1" w14:textId="77777777" w:rsidR="00913B9A" w:rsidRDefault="00913B9A">
      <w:pPr>
        <w:rPr>
          <w:rFonts w:ascii="Times New Roman" w:hAnsi="Times New Roman" w:cs="Times New Roman"/>
          <w:sz w:val="20"/>
          <w:szCs w:val="20"/>
        </w:rPr>
      </w:pPr>
    </w:p>
    <w:p w14:paraId="08F0A1C1"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[LP][Open]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[18] proposes that in case UE switches from a BWP not configured with DWS to a BWP configured with DWS, the 1-bit field for DWS indication is taken from existing field (e.g.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bl>
    <w:p w14:paraId="53C777DF" w14:textId="77777777" w:rsidR="00913B9A" w:rsidRDefault="00913B9A">
      <w:pPr>
        <w:rPr>
          <w:lang w:val="en-GB" w:eastAsia="ko-KR"/>
        </w:rPr>
      </w:pPr>
    </w:p>
    <w:p w14:paraId="264E81E0" w14:textId="77777777" w:rsidR="00913B9A" w:rsidRDefault="005F420F">
      <w:pPr>
        <w:pStyle w:val="Heading1"/>
      </w:pPr>
      <w:r>
        <w:t>Topic #3: Assistance information for switching waveform</w:t>
      </w:r>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Report both PH’s (easier gNB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w:t>
            </w:r>
            <w:r>
              <w:rPr>
                <w:rFonts w:ascii="Times New Roman" w:eastAsia="SimSun" w:hAnsi="Times New Roman" w:cs="Times New Roman" w:hint="eastAsia"/>
                <w:sz w:val="20"/>
                <w:szCs w:val="20"/>
                <w:lang w:eastAsia="zh-CN"/>
              </w:rPr>
              <w:lastRenderedPageBreak/>
              <w:t xml:space="preserve">introduced, and the combination of supporting the new trigger mechanism and the previous trigger mechanism needs to be </w:t>
            </w:r>
            <w:proofErr w:type="spellStart"/>
            <w:r>
              <w:rPr>
                <w:rFonts w:ascii="Times New Roman" w:eastAsia="SimSun" w:hAnsi="Times New Roman" w:cs="Times New Roman" w:hint="eastAsia"/>
                <w:sz w:val="20"/>
                <w:szCs w:val="20"/>
                <w:lang w:eastAsia="zh-CN"/>
              </w:rPr>
              <w:t>considered,which</w:t>
            </w:r>
            <w:proofErr w:type="spellEnd"/>
            <w:r>
              <w:rPr>
                <w:rFonts w:ascii="Times New Roman" w:eastAsia="SimSun"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r>
              <w:rPr>
                <w:rFonts w:ascii="Times New Roman" w:eastAsia="DengXian" w:hAnsi="Times New Roman" w:cs="Times New Roman"/>
                <w:sz w:val="20"/>
                <w:szCs w:val="20"/>
                <w:lang w:val="en-GB" w:eastAsia="zh-CN"/>
              </w:rPr>
              <w:t>.</w:t>
            </w:r>
          </w:p>
        </w:tc>
      </w:tr>
    </w:tbl>
    <w:p w14:paraId="7501AB3D" w14:textId="77777777" w:rsidR="00913B9A" w:rsidRDefault="00913B9A">
      <w:pPr>
        <w:rPr>
          <w:rFonts w:ascii="Times New Roman" w:hAnsi="Times New Roman" w:cs="Times New Roman"/>
          <w:sz w:val="20"/>
          <w:szCs w:val="20"/>
        </w:rPr>
      </w:pPr>
    </w:p>
    <w:p w14:paraId="5C13337A" w14:textId="77777777" w:rsidR="00913B9A" w:rsidRDefault="005F420F">
      <w:pPr>
        <w:pStyle w:val="Heading1"/>
      </w:pPr>
      <w:r>
        <w:lastRenderedPageBreak/>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bl>
    <w:p w14:paraId="784A8F30" w14:textId="77777777" w:rsidR="00913B9A" w:rsidRDefault="00913B9A">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2" w:name="_Hlk127399401"/>
      <w:r>
        <w:rPr>
          <w:rFonts w:ascii="Times" w:eastAsia="DengXian" w:hAnsi="Times" w:cs="Times New Roman"/>
          <w:sz w:val="20"/>
          <w:szCs w:val="24"/>
          <w:lang w:val="en-GB" w:eastAsia="zh-CN"/>
        </w:rPr>
        <w:t>Support new 1-bit field for dynamic waveform indication from UL scheduling DCI</w:t>
      </w:r>
    </w:p>
    <w:bookmarkEnd w:id="2"/>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lastRenderedPageBreak/>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3DF1" w14:textId="77777777" w:rsidR="0078613F" w:rsidRDefault="0078613F">
      <w:pPr>
        <w:spacing w:line="240" w:lineRule="auto"/>
      </w:pPr>
      <w:r>
        <w:separator/>
      </w:r>
    </w:p>
  </w:endnote>
  <w:endnote w:type="continuationSeparator" w:id="0">
    <w:p w14:paraId="2D0D978E" w14:textId="77777777" w:rsidR="0078613F" w:rsidRDefault="00786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55F8" w14:textId="77777777" w:rsidR="0078613F" w:rsidRDefault="0078613F">
      <w:pPr>
        <w:spacing w:after="0"/>
      </w:pPr>
      <w:r>
        <w:separator/>
      </w:r>
    </w:p>
  </w:footnote>
  <w:footnote w:type="continuationSeparator" w:id="0">
    <w:p w14:paraId="6535A710" w14:textId="77777777" w:rsidR="0078613F" w:rsidRDefault="00786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34740781">
    <w:abstractNumId w:val="0"/>
  </w:num>
  <w:num w:numId="2" w16cid:durableId="687756064">
    <w:abstractNumId w:val="7"/>
  </w:num>
  <w:num w:numId="3" w16cid:durableId="1742023205">
    <w:abstractNumId w:val="5"/>
  </w:num>
  <w:num w:numId="4" w16cid:durableId="263727576">
    <w:abstractNumId w:val="1"/>
  </w:num>
  <w:num w:numId="5" w16cid:durableId="167256479">
    <w:abstractNumId w:val="2"/>
  </w:num>
  <w:num w:numId="6" w16cid:durableId="1785422966">
    <w:abstractNumId w:val="6"/>
  </w:num>
  <w:num w:numId="7" w16cid:durableId="1633485592">
    <w:abstractNumId w:val="3"/>
  </w:num>
  <w:num w:numId="8" w16cid:durableId="360478349">
    <w:abstractNumId w:val="4"/>
  </w:num>
  <w:num w:numId="9" w16cid:durableId="857818378">
    <w:abstractNumId w:val="9"/>
  </w:num>
  <w:num w:numId="10" w16cid:durableId="13890643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3ECF"/>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A3278C25-B747-4B95-B90E-BF452162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11651</Words>
  <Characters>66412</Characters>
  <Application>Microsoft Office Word</Application>
  <DocSecurity>0</DocSecurity>
  <Lines>553</Lines>
  <Paragraphs>155</Paragraphs>
  <ScaleCrop>false</ScaleCrop>
  <Company>Mediatek</Company>
  <LinksUpToDate>false</LinksUpToDate>
  <CharactersWithSpaces>77908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Umut Ugurlu</cp:lastModifiedBy>
  <cp:revision>11</cp:revision>
  <dcterms:created xsi:type="dcterms:W3CDTF">2023-04-17T12:35:00Z</dcterms:created>
  <dcterms:modified xsi:type="dcterms:W3CDTF">2023-04-17T14:31:00Z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