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754CC7">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Spreadtrum</w:t>
            </w:r>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Changes in ΔPPowerClass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gNB’s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r w:rsidRPr="007A781E">
              <w:rPr>
                <w:lang w:val="en-US" w:eastAsia="zh-CN"/>
              </w:rPr>
              <w:t>ΔPPowerClass</w:t>
            </w:r>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r>
              <w:rPr>
                <w:rFonts w:hint="eastAsia"/>
                <w:b/>
                <w:bCs/>
                <w:lang w:val="en-US" w:eastAsia="zh-CN"/>
              </w:rPr>
              <w:t>S</w:t>
            </w:r>
            <w:r>
              <w:rPr>
                <w:b/>
                <w:bCs/>
                <w:lang w:val="en-US" w:eastAsia="zh-CN"/>
              </w:rPr>
              <w:t>preadtrum</w:t>
            </w:r>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r w:rsidRPr="001B6A9C">
              <w:rPr>
                <w:lang w:val="en-US" w:eastAsia="zh-CN"/>
              </w:rPr>
              <w:t>Spreadtrum(The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Spreadtrum</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Estimated duration over which UE can sustain Pcmax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r w:rsidR="003721E4">
              <w:rPr>
                <w:rFonts w:eastAsia="MS Mincho"/>
                <w:lang w:val="en-US" w:eastAsia="ja-JP"/>
              </w:rPr>
              <w:t xml:space="preserve">Lets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r w:rsidR="00FF6669" w14:paraId="506933A0" w14:textId="77777777" w:rsidTr="0082636C">
        <w:trPr>
          <w:trHeight w:val="891"/>
        </w:trPr>
        <w:tc>
          <w:tcPr>
            <w:tcW w:w="1985" w:type="dxa"/>
            <w:vAlign w:val="center"/>
          </w:tcPr>
          <w:p w14:paraId="454961B3" w14:textId="5490F080" w:rsidR="00FF6669" w:rsidRPr="00FF6669" w:rsidRDefault="00FF6669" w:rsidP="002409B7">
            <w:pPr>
              <w:jc w:val="center"/>
              <w:rPr>
                <w:rFonts w:eastAsia="MS Mincho"/>
                <w:b/>
                <w:bCs/>
                <w:lang w:eastAsia="ja-JP"/>
              </w:rPr>
            </w:pPr>
            <w:r>
              <w:rPr>
                <w:rFonts w:eastAsia="MS Mincho"/>
                <w:b/>
                <w:bCs/>
                <w:lang w:eastAsia="ja-JP"/>
              </w:rPr>
              <w:t>Intel</w:t>
            </w:r>
          </w:p>
        </w:tc>
        <w:tc>
          <w:tcPr>
            <w:tcW w:w="7716" w:type="dxa"/>
            <w:vAlign w:val="center"/>
          </w:tcPr>
          <w:p w14:paraId="18B078E3" w14:textId="77777777" w:rsidR="00FF6669" w:rsidRDefault="00FF6669" w:rsidP="002409B7">
            <w:pPr>
              <w:rPr>
                <w:rFonts w:eastAsia="MS Mincho"/>
                <w:lang w:val="en-US" w:eastAsia="ja-JP"/>
              </w:rPr>
            </w:pPr>
            <w:r>
              <w:rPr>
                <w:rFonts w:eastAsia="MS Mincho"/>
                <w:lang w:val="en-US" w:eastAsia="ja-JP"/>
              </w:rPr>
              <w:t>We are fine with the proposal.</w:t>
            </w:r>
          </w:p>
          <w:p w14:paraId="2B35F79E" w14:textId="2D886DCC" w:rsidR="00FF6669" w:rsidRDefault="00FF6669" w:rsidP="002409B7">
            <w:pPr>
              <w:rPr>
                <w:rFonts w:eastAsia="MS Mincho"/>
                <w:lang w:val="en-US" w:eastAsia="ja-JP"/>
              </w:rPr>
            </w:pPr>
            <w:r>
              <w:rPr>
                <w:rFonts w:eastAsia="MS Mincho"/>
                <w:lang w:val="en-US" w:eastAsia="ja-JP"/>
              </w:rPr>
              <w:t xml:space="preserve">One question for clarification: during the offline discussion, it was mentioned that it would be good to list pros/cons of each solution and send the LS to RAN4 on the observations. Is the intention of the proposal to send the LS to RAN4? </w:t>
            </w: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lastRenderedPageBreak/>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lastRenderedPageBreak/>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lastRenderedPageBreak/>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lastRenderedPageBreak/>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w:t>
            </w:r>
            <w:r w:rsidR="00560401">
              <w:rPr>
                <w:rFonts w:eastAsia="SimSun"/>
                <w:lang w:val="en-US"/>
              </w:rPr>
              <w:lastRenderedPageBreak/>
              <w:t>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lastRenderedPageBreak/>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w:t>
            </w:r>
            <w:r w:rsidR="00306E35">
              <w:rPr>
                <w:lang w:val="en-US" w:eastAsia="zh-CN"/>
              </w:rPr>
              <w:lastRenderedPageBreak/>
              <w:t xml:space="preserve">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lastRenderedPageBreak/>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lastRenderedPageBreak/>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lastRenderedPageBreak/>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lastRenderedPageBreak/>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lastRenderedPageBreak/>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If FDSS-SE is supported in Rel-18, DMRS are mapped on PRBs of both inband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w:t>
      </w:r>
      <w:r>
        <w:rPr>
          <w:sz w:val="22"/>
          <w:lang w:val="en-US"/>
        </w:rPr>
        <w:lastRenderedPageBreak/>
        <w:t xml:space="preserve">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lastRenderedPageBreak/>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5pt" o:ole="">
                  <v:imagedata r:id="rId13" o:title=""/>
                </v:shape>
                <o:OLEObject Type="Embed" ProgID="Equation.DSMT4" ShapeID="_x0000_i1025" DrawAspect="Content" ObjectID="_1743877121"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20pt" o:ole="">
                  <v:imagedata r:id="rId15" o:title=""/>
                </v:shape>
                <o:OLEObject Type="Embed" ProgID="Equation.DSMT4" ShapeID="_x0000_i1026" DrawAspect="Content" ObjectID="_1743877122"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lastRenderedPageBreak/>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pt;height:16.5pt" o:ole="">
                  <v:imagedata r:id="rId13" o:title=""/>
                </v:shape>
                <o:OLEObject Type="Embed" ProgID="Equation.DSMT4" ShapeID="_x0000_i1027" DrawAspect="Content" ObjectID="_1743877123"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pt" o:ole="">
                        <v:imagedata r:id="rId24" o:title=""/>
                      </v:shape>
                      <o:OLEObject Type="Embed" ProgID="Equation.DSMT4" ShapeID="_x0000_i1028" DrawAspect="Content" ObjectID="_1743877124"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6.5pt" o:ole="">
                        <v:imagedata r:id="rId26" o:title=""/>
                      </v:shape>
                      <o:OLEObject Type="Embed" ProgID="Equation.DSMT4" ShapeID="_x0000_i1029" DrawAspect="Content" ObjectID="_1743877125"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6.5pt" o:ole="">
                        <v:imagedata r:id="rId28" o:title=""/>
                      </v:shape>
                      <o:OLEObject Type="Embed" ProgID="Equation.DSMT4" ShapeID="_x0000_i1030" DrawAspect="Content" ObjectID="_1743877126"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20pt" o:ole="">
                        <v:imagedata r:id="rId15" o:title=""/>
                      </v:shape>
                      <o:OLEObject Type="Embed" ProgID="Equation.DSMT4" ShapeID="_x0000_i1031" DrawAspect="Content" ObjectID="_1743877127"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6.5pt" o:ole="">
                        <v:imagedata r:id="rId34" o:title=""/>
                      </v:shape>
                      <o:OLEObject Type="Embed" ProgID="Equation.DSMT4" ShapeID="_x0000_i1032" DrawAspect="Content" ObjectID="_1743877128"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6.5pt" o:ole="">
                        <v:imagedata r:id="rId36" o:title=""/>
                      </v:shape>
                      <o:OLEObject Type="Embed" ProgID="Equation.DSMT4" ShapeID="_x0000_i1033" DrawAspect="Content" ObjectID="_1743877129"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20pt" o:ole="">
                        <v:imagedata r:id="rId38" o:title=""/>
                      </v:shape>
                      <o:OLEObject Type="Embed" ProgID="Equation.DSMT4" ShapeID="_x0000_i1034" DrawAspect="Content" ObjectID="_1743877130"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pt;height:34pt" o:ole="">
                        <v:imagedata r:id="rId40" o:title=""/>
                      </v:shape>
                      <o:OLEObject Type="Embed" ProgID="Equation.DSMT4" ShapeID="_x0000_i1035" DrawAspect="Content" ObjectID="_1743877131"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5pt;height:19pt" o:ole="">
                        <v:imagedata r:id="rId42" o:title=""/>
                      </v:shape>
                      <o:OLEObject Type="Embed" ProgID="Equation.DSMT4" ShapeID="_x0000_i1036" DrawAspect="Content" ObjectID="_1743877132"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pt;height:19pt" o:ole="">
                        <v:imagedata r:id="rId44" o:title=""/>
                      </v:shape>
                      <o:OLEObject Type="Embed" ProgID="Equation.DSMT4" ShapeID="_x0000_i1037" DrawAspect="Content" ObjectID="_1743877133"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4pt;height:39pt" o:ole="">
                        <v:imagedata r:id="rId46" o:title=""/>
                      </v:shape>
                      <o:OLEObject Type="Embed" ProgID="Equation.DSMT4" ShapeID="_x0000_i1038" DrawAspect="Content" ObjectID="_1743877134"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48" o:title=""/>
                      </v:shape>
                      <o:OLEObject Type="Embed" ProgID="Equation.DSMT4" ShapeID="_x0000_i1039" DrawAspect="Content" ObjectID="_1743877135"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20pt" o:ole="">
                        <v:imagedata r:id="rId50" o:title=""/>
                      </v:shape>
                      <o:OLEObject Type="Embed" ProgID="Equation.DSMT4" ShapeID="_x0000_i1040" DrawAspect="Content" ObjectID="_1743877136"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pt;height:20pt" o:ole="">
                        <v:imagedata r:id="rId52" o:title=""/>
                      </v:shape>
                      <o:OLEObject Type="Embed" ProgID="Equation.DSMT4" ShapeID="_x0000_i1041" DrawAspect="Content" ObjectID="_1743877137"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5pt;height:19pt" o:ole="">
                        <v:imagedata r:id="rId54" o:title=""/>
                      </v:shape>
                      <o:OLEObject Type="Embed" ProgID="Equation.DSMT4" ShapeID="_x0000_i1042" DrawAspect="Content" ObjectID="_1743877138"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pt;height:16.5pt" o:ole="">
                        <v:imagedata r:id="rId56" o:title=""/>
                      </v:shape>
                      <o:OLEObject Type="Embed" ProgID="Equation.DSMT4" ShapeID="_x0000_i1043" DrawAspect="Content" ObjectID="_1743877139"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lastRenderedPageBreak/>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20pt" o:ole="">
            <v:imagedata r:id="rId15" o:title=""/>
          </v:shape>
          <o:OLEObject Type="Embed" ProgID="Equation.DSMT4" ShapeID="_x0000_i1044" DrawAspect="Content" ObjectID="_1743877140"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20pt" o:ole="">
                  <v:imagedata r:id="rId15" o:title=""/>
                </v:shape>
                <o:OLEObject Type="Embed" ProgID="Equation.DSMT4" ShapeID="_x0000_i1045" DrawAspect="Content" ObjectID="_1743877141"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w:t>
            </w:r>
            <w:r>
              <w:rPr>
                <w:rFonts w:eastAsia="MS Mincho"/>
                <w:lang w:val="en-US" w:eastAsia="ja-JP"/>
              </w:rPr>
              <w:lastRenderedPageBreak/>
              <w:t>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lastRenderedPageBreak/>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20pt" o:ole="">
            <v:imagedata r:id="rId15" o:title=""/>
          </v:shape>
          <o:OLEObject Type="Embed" ProgID="Equation.DSMT4" ShapeID="_x0000_i1046" DrawAspect="Content" ObjectID="_1743877142"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lastRenderedPageBreak/>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inband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inband resource allocation, there are still constraints: e.g.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a number of procedures take into account the location and bandwidth of PUSCH allocations.  For example, MPR reduction in 6.2.2 of 38.101 refers to a starting RB and a length in RBs; if RAN1 specs are unclear about what these parameters are, then RAN4 specifications are impacted.  </w:t>
            </w:r>
          </w:p>
        </w:tc>
      </w:tr>
      <w:tr w:rsidR="00640932" w14:paraId="757A21C1" w14:textId="77777777" w:rsidTr="00754CC7">
        <w:trPr>
          <w:trHeight w:val="300"/>
        </w:trPr>
        <w:tc>
          <w:tcPr>
            <w:tcW w:w="1977" w:type="dxa"/>
          </w:tcPr>
          <w:p w14:paraId="6C232307" w14:textId="069AF39E" w:rsidR="00640932" w:rsidRDefault="00640932" w:rsidP="00640932">
            <w:pPr>
              <w:jc w:val="both"/>
              <w:rPr>
                <w:lang w:val="en-US" w:eastAsia="zh-CN"/>
              </w:rPr>
            </w:pPr>
            <w:r w:rsidRPr="00D032F3">
              <w:rPr>
                <w:lang w:val="en-US" w:eastAsia="zh-CN"/>
              </w:rPr>
              <w:t>Intel</w:t>
            </w:r>
          </w:p>
        </w:tc>
        <w:tc>
          <w:tcPr>
            <w:tcW w:w="7662" w:type="dxa"/>
          </w:tcPr>
          <w:p w14:paraId="39FBE8B6" w14:textId="77777777" w:rsidR="0036287F" w:rsidRDefault="00640932" w:rsidP="00640932">
            <w:pPr>
              <w:jc w:val="both"/>
              <w:rPr>
                <w:lang w:val="en-US" w:eastAsia="zh-CN"/>
              </w:rPr>
            </w:pPr>
            <w:r w:rsidRPr="00D032F3">
              <w:rPr>
                <w:lang w:val="en-US" w:eastAsia="zh-CN"/>
              </w:rPr>
              <w:t>If FDRA indicates the in-band resource, Tx power needs to take into account both in-band and extended resource.</w:t>
            </w:r>
          </w:p>
          <w:p w14:paraId="1B03A268" w14:textId="18FDEEDC" w:rsidR="00640932" w:rsidRDefault="0036287F" w:rsidP="00640932">
            <w:pPr>
              <w:jc w:val="both"/>
              <w:rPr>
                <w:lang w:val="en-US" w:eastAsia="zh-CN"/>
              </w:rPr>
            </w:pPr>
            <w:r>
              <w:rPr>
                <w:lang w:val="en-US" w:eastAsia="zh-CN"/>
              </w:rPr>
              <w:t xml:space="preserve">In our view, difference between spec impact for either FDRA for in-band resource indication or for in-band and extended resource indication could be minor.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lastRenderedPageBreak/>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t>Ericsson</w:t>
            </w:r>
          </w:p>
        </w:tc>
        <w:tc>
          <w:tcPr>
            <w:tcW w:w="7662" w:type="dxa"/>
          </w:tcPr>
          <w:p w14:paraId="0B749AB3" w14:textId="77777777" w:rsidR="002409B7" w:rsidRDefault="002409B7" w:rsidP="002409B7">
            <w:pPr>
              <w:jc w:val="both"/>
              <w:rPr>
                <w:lang w:val="en-US" w:eastAsia="zh-CN"/>
              </w:rPr>
            </w:pPr>
            <w:r>
              <w:rPr>
                <w:lang w:val="en-US" w:eastAsia="zh-CN"/>
              </w:rPr>
              <w:t>The PRBs for e.g. TBS determination are calculated indirectly from the total resource indication provided by the FDRA field.  However, as commented above, it’s not clear that the FDRA field can be directly used for TBS determination when FDRA indicates the inband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r w:rsidR="00971035" w14:paraId="6EB61E85" w14:textId="77777777" w:rsidTr="00754CC7">
        <w:trPr>
          <w:trHeight w:val="300"/>
        </w:trPr>
        <w:tc>
          <w:tcPr>
            <w:tcW w:w="1977" w:type="dxa"/>
          </w:tcPr>
          <w:p w14:paraId="1CBE9B08" w14:textId="09B243B4" w:rsidR="00971035" w:rsidRDefault="00971035" w:rsidP="00971035">
            <w:pPr>
              <w:jc w:val="both"/>
              <w:rPr>
                <w:lang w:val="en-US" w:eastAsia="zh-CN"/>
              </w:rPr>
            </w:pPr>
            <w:r w:rsidRPr="00D032F3">
              <w:rPr>
                <w:lang w:val="en-US" w:eastAsia="zh-CN"/>
              </w:rPr>
              <w:t>Intel</w:t>
            </w:r>
          </w:p>
        </w:tc>
        <w:tc>
          <w:tcPr>
            <w:tcW w:w="7662" w:type="dxa"/>
          </w:tcPr>
          <w:p w14:paraId="574E378E" w14:textId="20DE2E41" w:rsidR="00A54321" w:rsidRDefault="00971035" w:rsidP="00971035">
            <w:pPr>
              <w:jc w:val="both"/>
              <w:rPr>
                <w:lang w:val="en-US" w:eastAsia="zh-CN"/>
              </w:rPr>
            </w:pPr>
            <w:r>
              <w:rPr>
                <w:lang w:val="en-US" w:eastAsia="zh-CN"/>
              </w:rPr>
              <w:t xml:space="preserve">If FDRA indicates both in-band and extended resources, TBS determination needs to consider only in-band resource. For DFT size, our view is that depending on the extension factor, </w:t>
            </w:r>
            <w:r w:rsidRPr="000A2377">
              <w:rPr>
                <w:noProof/>
                <w:position w:val="-10"/>
                <w:lang w:val="en-US" w:eastAsia="zh-CN"/>
              </w:rPr>
              <w:drawing>
                <wp:inline distT="0" distB="0" distL="0" distR="0" wp14:anchorId="13A99503" wp14:editId="6BC63F9F">
                  <wp:extent cx="126682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lang w:val="en-US" w:eastAsia="zh-CN"/>
              </w:rPr>
              <w:t xml:space="preserve"> should be ensured by proper configuration/indication.</w:t>
            </w: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lastRenderedPageBreak/>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lastRenderedPageBreak/>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t>
      </w:r>
      <w:r>
        <w:rPr>
          <w:sz w:val="22"/>
          <w:szCs w:val="22"/>
          <w:lang w:val="en-US"/>
        </w:rPr>
        <w:lastRenderedPageBreak/>
        <w:t xml:space="preserve">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lastRenderedPageBreak/>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lastRenderedPageBreak/>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lastRenderedPageBreak/>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lastRenderedPageBreak/>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w:t>
      </w:r>
      <w:r>
        <w:rPr>
          <w:sz w:val="22"/>
          <w:lang w:val="en-US"/>
        </w:rPr>
        <w:lastRenderedPageBreak/>
        <w:t>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lastRenderedPageBreak/>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lastRenderedPageBreak/>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lastRenderedPageBreak/>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lastRenderedPageBreak/>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5pt;height:20pt" o:ole="">
            <v:imagedata r:id="rId15" o:title=""/>
          </v:shape>
          <o:OLEObject Type="Embed" ProgID="Equation.DSMT4" ShapeID="_x0000_i1047" DrawAspect="Content" ObjectID="_1743877143"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lastRenderedPageBreak/>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lastRenderedPageBreak/>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lastRenderedPageBreak/>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lastRenderedPageBreak/>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lastRenderedPageBreak/>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lastRenderedPageBreak/>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lastRenderedPageBreak/>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lastRenderedPageBreak/>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lastRenderedPageBreak/>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lastRenderedPageBreak/>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lastRenderedPageBreak/>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lastRenderedPageBreak/>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lastRenderedPageBreak/>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lastRenderedPageBreak/>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A242" w14:textId="77777777" w:rsidR="00FD5995" w:rsidRDefault="00FD5995">
      <w:pPr>
        <w:spacing w:after="0"/>
      </w:pPr>
      <w:r>
        <w:separator/>
      </w:r>
    </w:p>
  </w:endnote>
  <w:endnote w:type="continuationSeparator" w:id="0">
    <w:p w14:paraId="5929D104" w14:textId="77777777" w:rsidR="00FD5995" w:rsidRDefault="00FD5995">
      <w:pPr>
        <w:spacing w:after="0"/>
      </w:pPr>
      <w:r>
        <w:continuationSeparator/>
      </w:r>
    </w:p>
  </w:endnote>
  <w:endnote w:type="continuationNotice" w:id="1">
    <w:p w14:paraId="42425FF9" w14:textId="77777777" w:rsidR="00FD5995" w:rsidRDefault="00FD5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5AF1" w14:textId="77777777" w:rsidR="00FD5995" w:rsidRDefault="00FD5995">
      <w:pPr>
        <w:spacing w:after="0"/>
      </w:pPr>
      <w:r>
        <w:separator/>
      </w:r>
    </w:p>
  </w:footnote>
  <w:footnote w:type="continuationSeparator" w:id="0">
    <w:p w14:paraId="744334F4" w14:textId="77777777" w:rsidR="00FD5995" w:rsidRDefault="00FD5995">
      <w:pPr>
        <w:spacing w:after="0"/>
      </w:pPr>
      <w:r>
        <w:continuationSeparator/>
      </w:r>
    </w:p>
  </w:footnote>
  <w:footnote w:type="continuationNotice" w:id="1">
    <w:p w14:paraId="0A221F68" w14:textId="77777777" w:rsidR="00FD5995" w:rsidRDefault="00FD59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220499">
    <w:abstractNumId w:val="42"/>
    <w:lvlOverride w:ilvl="0">
      <w:startOverride w:val="1"/>
    </w:lvlOverride>
  </w:num>
  <w:num w:numId="2" w16cid:durableId="727647961">
    <w:abstractNumId w:val="57"/>
  </w:num>
  <w:num w:numId="3" w16cid:durableId="292373229">
    <w:abstractNumId w:val="36"/>
  </w:num>
  <w:num w:numId="4" w16cid:durableId="81727811">
    <w:abstractNumId w:val="21"/>
  </w:num>
  <w:num w:numId="5" w16cid:durableId="606274406">
    <w:abstractNumId w:val="6"/>
  </w:num>
  <w:num w:numId="6" w16cid:durableId="1164584823">
    <w:abstractNumId w:val="28"/>
  </w:num>
  <w:num w:numId="7" w16cid:durableId="1462770259">
    <w:abstractNumId w:val="34"/>
  </w:num>
  <w:num w:numId="8" w16cid:durableId="1719160886">
    <w:abstractNumId w:val="18"/>
  </w:num>
  <w:num w:numId="9" w16cid:durableId="1650592909">
    <w:abstractNumId w:val="62"/>
  </w:num>
  <w:num w:numId="10" w16cid:durableId="464809129">
    <w:abstractNumId w:val="77"/>
  </w:num>
  <w:num w:numId="11" w16cid:durableId="313878108">
    <w:abstractNumId w:val="60"/>
  </w:num>
  <w:num w:numId="12" w16cid:durableId="946962074">
    <w:abstractNumId w:val="5"/>
  </w:num>
  <w:num w:numId="13" w16cid:durableId="1807896288">
    <w:abstractNumId w:val="63"/>
  </w:num>
  <w:num w:numId="14" w16cid:durableId="1904558086">
    <w:abstractNumId w:val="37"/>
  </w:num>
  <w:num w:numId="15" w16cid:durableId="987830031">
    <w:abstractNumId w:val="12"/>
  </w:num>
  <w:num w:numId="16" w16cid:durableId="67927842">
    <w:abstractNumId w:val="4"/>
  </w:num>
  <w:num w:numId="17" w16cid:durableId="1056661548">
    <w:abstractNumId w:val="89"/>
  </w:num>
  <w:num w:numId="18" w16cid:durableId="257522110">
    <w:abstractNumId w:val="20"/>
  </w:num>
  <w:num w:numId="19" w16cid:durableId="1107501413">
    <w:abstractNumId w:val="41"/>
  </w:num>
  <w:num w:numId="20" w16cid:durableId="368772469">
    <w:abstractNumId w:val="61"/>
  </w:num>
  <w:num w:numId="21" w16cid:durableId="453718970">
    <w:abstractNumId w:val="19"/>
  </w:num>
  <w:num w:numId="22" w16cid:durableId="274679587">
    <w:abstractNumId w:val="87"/>
  </w:num>
  <w:num w:numId="23" w16cid:durableId="120612899">
    <w:abstractNumId w:val="75"/>
  </w:num>
  <w:num w:numId="24" w16cid:durableId="318193396">
    <w:abstractNumId w:val="66"/>
  </w:num>
  <w:num w:numId="25" w16cid:durableId="1834687707">
    <w:abstractNumId w:val="46"/>
  </w:num>
  <w:num w:numId="26" w16cid:durableId="2046369019">
    <w:abstractNumId w:val="76"/>
  </w:num>
  <w:num w:numId="27" w16cid:durableId="1911689571">
    <w:abstractNumId w:val="53"/>
  </w:num>
  <w:num w:numId="28" w16cid:durableId="647710197">
    <w:abstractNumId w:val="23"/>
  </w:num>
  <w:num w:numId="29" w16cid:durableId="55131658">
    <w:abstractNumId w:val="32"/>
  </w:num>
  <w:num w:numId="30" w16cid:durableId="816411218">
    <w:abstractNumId w:val="68"/>
  </w:num>
  <w:num w:numId="31" w16cid:durableId="991176925">
    <w:abstractNumId w:val="79"/>
  </w:num>
  <w:num w:numId="32" w16cid:durableId="357657910">
    <w:abstractNumId w:val="11"/>
  </w:num>
  <w:num w:numId="33" w16cid:durableId="1396049159">
    <w:abstractNumId w:val="82"/>
  </w:num>
  <w:num w:numId="34" w16cid:durableId="1245526759">
    <w:abstractNumId w:val="40"/>
  </w:num>
  <w:num w:numId="35" w16cid:durableId="83498144">
    <w:abstractNumId w:val="48"/>
  </w:num>
  <w:num w:numId="36" w16cid:durableId="337543018">
    <w:abstractNumId w:val="69"/>
  </w:num>
  <w:num w:numId="37" w16cid:durableId="1100296864">
    <w:abstractNumId w:val="65"/>
  </w:num>
  <w:num w:numId="38" w16cid:durableId="914897613">
    <w:abstractNumId w:val="39"/>
  </w:num>
  <w:num w:numId="39" w16cid:durableId="224530704">
    <w:abstractNumId w:val="31"/>
  </w:num>
  <w:num w:numId="40" w16cid:durableId="1314749513">
    <w:abstractNumId w:val="86"/>
  </w:num>
  <w:num w:numId="41" w16cid:durableId="379549331">
    <w:abstractNumId w:val="49"/>
  </w:num>
  <w:num w:numId="42" w16cid:durableId="720248807">
    <w:abstractNumId w:val="8"/>
  </w:num>
  <w:num w:numId="43" w16cid:durableId="102653483">
    <w:abstractNumId w:val="52"/>
  </w:num>
  <w:num w:numId="44" w16cid:durableId="459029959">
    <w:abstractNumId w:val="30"/>
  </w:num>
  <w:num w:numId="45" w16cid:durableId="1395542626">
    <w:abstractNumId w:val="24"/>
  </w:num>
  <w:num w:numId="46" w16cid:durableId="56169689">
    <w:abstractNumId w:val="72"/>
  </w:num>
  <w:num w:numId="47" w16cid:durableId="2024280730">
    <w:abstractNumId w:val="55"/>
  </w:num>
  <w:num w:numId="48" w16cid:durableId="761560844">
    <w:abstractNumId w:val="51"/>
  </w:num>
  <w:num w:numId="49" w16cid:durableId="1855730355">
    <w:abstractNumId w:val="58"/>
  </w:num>
  <w:num w:numId="50" w16cid:durableId="1572079033">
    <w:abstractNumId w:val="38"/>
  </w:num>
  <w:num w:numId="51" w16cid:durableId="167403674">
    <w:abstractNumId w:val="64"/>
  </w:num>
  <w:num w:numId="52" w16cid:durableId="2031642756">
    <w:abstractNumId w:val="47"/>
  </w:num>
  <w:num w:numId="53" w16cid:durableId="1596480254">
    <w:abstractNumId w:val="14"/>
  </w:num>
  <w:num w:numId="54" w16cid:durableId="1867792200">
    <w:abstractNumId w:val="50"/>
  </w:num>
  <w:num w:numId="55" w16cid:durableId="1042903038">
    <w:abstractNumId w:val="7"/>
  </w:num>
  <w:num w:numId="56" w16cid:durableId="251084122">
    <w:abstractNumId w:val="33"/>
  </w:num>
  <w:num w:numId="57" w16cid:durableId="366417821">
    <w:abstractNumId w:val="88"/>
  </w:num>
  <w:num w:numId="58" w16cid:durableId="2070883614">
    <w:abstractNumId w:val="9"/>
  </w:num>
  <w:num w:numId="59" w16cid:durableId="2074421906">
    <w:abstractNumId w:val="54"/>
  </w:num>
  <w:num w:numId="60" w16cid:durableId="849370144">
    <w:abstractNumId w:val="29"/>
  </w:num>
  <w:num w:numId="61" w16cid:durableId="1092243472">
    <w:abstractNumId w:val="44"/>
  </w:num>
  <w:num w:numId="62" w16cid:durableId="955718876">
    <w:abstractNumId w:val="45"/>
  </w:num>
  <w:num w:numId="63" w16cid:durableId="990255863">
    <w:abstractNumId w:val="43"/>
  </w:num>
  <w:num w:numId="64" w16cid:durableId="564292621">
    <w:abstractNumId w:val="26"/>
  </w:num>
  <w:num w:numId="65" w16cid:durableId="1665664324">
    <w:abstractNumId w:val="67"/>
  </w:num>
  <w:num w:numId="66" w16cid:durableId="8296413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9404619">
    <w:abstractNumId w:val="81"/>
  </w:num>
  <w:num w:numId="68" w16cid:durableId="67776963">
    <w:abstractNumId w:val="35"/>
  </w:num>
  <w:num w:numId="69" w16cid:durableId="1710497362">
    <w:abstractNumId w:val="16"/>
  </w:num>
  <w:num w:numId="70" w16cid:durableId="1360011865">
    <w:abstractNumId w:val="15"/>
  </w:num>
  <w:num w:numId="71" w16cid:durableId="459110750">
    <w:abstractNumId w:val="3"/>
  </w:num>
  <w:num w:numId="72" w16cid:durableId="892887524">
    <w:abstractNumId w:val="70"/>
  </w:num>
  <w:num w:numId="73" w16cid:durableId="745709">
    <w:abstractNumId w:val="2"/>
  </w:num>
  <w:num w:numId="74" w16cid:durableId="1792817354">
    <w:abstractNumId w:val="78"/>
  </w:num>
  <w:num w:numId="75" w16cid:durableId="1835753503">
    <w:abstractNumId w:val="71"/>
  </w:num>
  <w:num w:numId="76" w16cid:durableId="373165477">
    <w:abstractNumId w:val="56"/>
  </w:num>
  <w:num w:numId="77" w16cid:durableId="1279681047">
    <w:abstractNumId w:val="59"/>
  </w:num>
  <w:num w:numId="78" w16cid:durableId="1977951673">
    <w:abstractNumId w:val="0"/>
  </w:num>
  <w:num w:numId="79" w16cid:durableId="338967399">
    <w:abstractNumId w:val="1"/>
  </w:num>
  <w:num w:numId="80" w16cid:durableId="1426532086">
    <w:abstractNumId w:val="10"/>
  </w:num>
  <w:num w:numId="81" w16cid:durableId="171185199">
    <w:abstractNumId w:val="25"/>
  </w:num>
  <w:num w:numId="82" w16cid:durableId="959846051">
    <w:abstractNumId w:val="83"/>
  </w:num>
  <w:num w:numId="83" w16cid:durableId="2028746645">
    <w:abstractNumId w:val="85"/>
  </w:num>
  <w:num w:numId="84" w16cid:durableId="172696022">
    <w:abstractNumId w:val="73"/>
  </w:num>
  <w:num w:numId="85" w16cid:durableId="692918113">
    <w:abstractNumId w:val="27"/>
  </w:num>
  <w:num w:numId="86" w16cid:durableId="403063823">
    <w:abstractNumId w:val="84"/>
  </w:num>
  <w:num w:numId="87" w16cid:durableId="470445062">
    <w:abstractNumId w:val="22"/>
  </w:num>
  <w:num w:numId="88" w16cid:durableId="1033458217">
    <w:abstractNumId w:val="13"/>
  </w:num>
  <w:num w:numId="89" w16cid:durableId="1841312410">
    <w:abstractNumId w:val="17"/>
  </w:num>
  <w:num w:numId="90" w16cid:durableId="1891114893">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87F"/>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32"/>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035"/>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4321"/>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995"/>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6669"/>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C4AD5E25-A53A-4924-ABE1-1FA034954125}">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93</Pages>
  <Words>33944</Words>
  <Characters>193481</Characters>
  <Application>Microsoft Office Word</Application>
  <DocSecurity>0</DocSecurity>
  <Lines>1612</Lines>
  <Paragraphs>453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13</cp:revision>
  <cp:lastPrinted>1900-12-31T16:00:00Z</cp:lastPrinted>
  <dcterms:created xsi:type="dcterms:W3CDTF">2023-04-25T03:41:00Z</dcterms:created>
  <dcterms:modified xsi:type="dcterms:W3CDTF">2023-04-25T04:29:00Z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