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 xml:space="preserve">gNB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under what exact conditions power headroom fallback could occur. </w:t>
            </w:r>
            <w:proofErr w:type="gramStart"/>
            <w:r>
              <w:rPr>
                <w:rFonts w:eastAsia="MS Mincho"/>
                <w:lang w:val="en-US" w:eastAsia="ja-JP"/>
              </w:rPr>
              <w:t>E.g.</w:t>
            </w:r>
            <w:proofErr w:type="gramEnd"/>
            <w:r>
              <w:rPr>
                <w:rFonts w:eastAsia="MS Mincho"/>
                <w:lang w:val="en-US" w:eastAsia="ja-JP"/>
              </w:rPr>
              <w:t xml:space="preserve">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w:t>
            </w:r>
            <w:proofErr w:type="gramStart"/>
            <w:r>
              <w:rPr>
                <w:lang w:eastAsia="zh-CN"/>
              </w:rPr>
              <w:t>in order to</w:t>
            </w:r>
            <w:proofErr w:type="gramEnd"/>
            <w:r>
              <w:rPr>
                <w:lang w:eastAsia="zh-CN"/>
              </w:rPr>
              <w:t xml:space="preserve">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w:t>
            </w:r>
            <w:proofErr w:type="gramStart"/>
            <w:r>
              <w:rPr>
                <w:rFonts w:eastAsia="MS Mincho"/>
                <w:lang w:val="en-US" w:eastAsia="ja-JP"/>
              </w:rPr>
              <w:t>similar to</w:t>
            </w:r>
            <w:proofErr w:type="gramEnd"/>
            <w:r>
              <w:rPr>
                <w:rFonts w:eastAsia="MS Mincho"/>
                <w:lang w:val="en-US" w:eastAsia="ja-JP"/>
              </w:rPr>
              <w:t xml:space="preserve">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 xml:space="preserve">In our understanding, the scheme seems not well described in RAN4 LS. </w:t>
            </w:r>
            <w:proofErr w:type="gramStart"/>
            <w:r>
              <w:rPr>
                <w:rFonts w:eastAsia="SimSun"/>
                <w:lang w:val="en-US"/>
              </w:rPr>
              <w:t>E.g.</w:t>
            </w:r>
            <w:proofErr w:type="gramEnd"/>
            <w:r>
              <w:rPr>
                <w:rFonts w:eastAsia="SimSun"/>
                <w:lang w:val="en-US"/>
              </w:rPr>
              <w:t xml:space="preserve">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r>
              <w:rPr>
                <w:lang w:val="en-US"/>
              </w:rPr>
              <w:t>gNB could know more information related to UE power class (</w:t>
            </w:r>
            <w:proofErr w:type="gramStart"/>
            <w:r>
              <w:rPr>
                <w:lang w:val="en-US"/>
              </w:rPr>
              <w:t>e.g.</w:t>
            </w:r>
            <w:proofErr w:type="gramEnd"/>
            <w:r>
              <w:rPr>
                <w:lang w:val="en-US"/>
              </w:rPr>
              <w:t xml:space="preserve">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w:t>
            </w:r>
            <w:proofErr w:type="gramStart"/>
            <w:r>
              <w:rPr>
                <w:rFonts w:eastAsia="SimSun"/>
                <w:lang w:val="en-US"/>
              </w:rPr>
              <w:t>e.g.</w:t>
            </w:r>
            <w:proofErr w:type="gramEnd"/>
            <w:r>
              <w:rPr>
                <w:rFonts w:eastAsia="SimSun"/>
                <w:lang w:val="en-US"/>
              </w:rPr>
              <w:t xml:space="preserve"> MPR table. Pcmax can be impacted by other parameters, </w:t>
            </w:r>
            <w:proofErr w:type="gramStart"/>
            <w:r>
              <w:rPr>
                <w:rFonts w:eastAsia="SimSun"/>
                <w:lang w:val="en-US"/>
              </w:rPr>
              <w:t>e.g.</w:t>
            </w:r>
            <w:proofErr w:type="gramEnd"/>
            <w:r>
              <w:rPr>
                <w:rFonts w:eastAsia="SimSun"/>
                <w:lang w:val="en-US"/>
              </w:rPr>
              <w:t xml:space="preserve">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w:t>
            </w:r>
            <w:proofErr w:type="gramStart"/>
            <w:r>
              <w:rPr>
                <w:lang w:val="en-US" w:eastAsia="zh-CN"/>
              </w:rPr>
              <w:t>class, and</w:t>
            </w:r>
            <w:proofErr w:type="gramEnd"/>
            <w:r>
              <w:rPr>
                <w:lang w:val="en-US" w:eastAsia="zh-CN"/>
              </w:rPr>
              <w:t xml:space="preserve">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gNB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 xml:space="preserve">Not sure whether this report is </w:t>
            </w:r>
            <w:proofErr w:type="gramStart"/>
            <w:r>
              <w:rPr>
                <w:rFonts w:eastAsia="SimSun"/>
                <w:lang w:val="en-US" w:eastAsia="zh-CN"/>
              </w:rPr>
              <w:t>really beneficial</w:t>
            </w:r>
            <w:proofErr w:type="gramEnd"/>
            <w:r>
              <w:rPr>
                <w:rFonts w:eastAsia="SimSun"/>
                <w:lang w:val="en-US" w:eastAsia="zh-CN"/>
              </w:rPr>
              <w:t xml:space="preserve">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w:t>
            </w:r>
            <w:proofErr w:type="gramStart"/>
            <w:r>
              <w:rPr>
                <w:rFonts w:eastAsia="MS Mincho"/>
                <w:lang w:val="en-US" w:eastAsia="ja-JP"/>
              </w:rPr>
              <w:t>amount</w:t>
            </w:r>
            <w:proofErr w:type="gramEnd"/>
            <w:r>
              <w:rPr>
                <w:rFonts w:eastAsia="MS Mincho"/>
                <w:lang w:val="en-US" w:eastAsia="ja-JP"/>
              </w:rPr>
              <w:t xml:space="preserve">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w:t>
            </w:r>
            <w:proofErr w:type="gramStart"/>
            <w:r>
              <w:rPr>
                <w:rFonts w:eastAsia="MS Mincho"/>
                <w:lang w:val="en-US" w:eastAsia="ja-JP"/>
              </w:rPr>
              <w:t>discussion, and</w:t>
            </w:r>
            <w:proofErr w:type="gramEnd"/>
            <w:r>
              <w:rPr>
                <w:rFonts w:eastAsia="MS Mincho"/>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 xml:space="preserve">adding comprehensive comments and views. This is a very precious contribution in the context of this </w:t>
      </w:r>
      <w:proofErr w:type="gramStart"/>
      <w:r>
        <w:rPr>
          <w:sz w:val="22"/>
          <w:szCs w:val="22"/>
          <w:lang w:val="en-US"/>
        </w:rPr>
        <w:t>Release</w:t>
      </w:r>
      <w:proofErr w:type="gramEnd"/>
      <w:r>
        <w:rPr>
          <w:sz w:val="22"/>
          <w:szCs w:val="22"/>
          <w:lang w:val="en-US"/>
        </w:rPr>
        <w:t xml:space="preserv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 xml:space="preserve">We see reactive reporting as a starting point: the network knows when something has </w:t>
            </w:r>
            <w:proofErr w:type="gramStart"/>
            <w:r w:rsidRPr="00304396">
              <w:rPr>
                <w:rFonts w:eastAsia="MS Mincho"/>
                <w:lang w:val="en-US" w:eastAsia="ja-JP"/>
              </w:rPr>
              <w:t>changed, and</w:t>
            </w:r>
            <w:proofErr w:type="gramEnd"/>
            <w:r w:rsidRPr="00304396">
              <w:rPr>
                <w:rFonts w:eastAsia="MS Mincho"/>
                <w:lang w:val="en-US" w:eastAsia="ja-JP"/>
              </w:rPr>
              <w:t xml:space="preserve"> can use that information for scheduling until conditions change again.  Proactive can be seen </w:t>
            </w:r>
            <w:proofErr w:type="gramStart"/>
            <w:r w:rsidRPr="00304396">
              <w:rPr>
                <w:rFonts w:eastAsia="MS Mincho"/>
                <w:lang w:val="en-US" w:eastAsia="ja-JP"/>
              </w:rPr>
              <w:t>as a way to</w:t>
            </w:r>
            <w:proofErr w:type="gramEnd"/>
            <w:r w:rsidRPr="00304396">
              <w:rPr>
                <w:rFonts w:eastAsia="MS Mincho"/>
                <w:lang w:val="en-US" w:eastAsia="ja-JP"/>
              </w:rPr>
              <w:t xml:space="preserve">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w:t>
            </w:r>
            <w:proofErr w:type="gramStart"/>
            <w:r w:rsidRPr="00FA727E">
              <w:rPr>
                <w:rFonts w:ascii="Times New Roman" w:hAnsi="Times New Roman" w:cs="Times New Roman"/>
                <w:sz w:val="20"/>
                <w:szCs w:val="20"/>
              </w:rPr>
              <w:t>i.e.</w:t>
            </w:r>
            <w:proofErr w:type="gramEnd"/>
            <w:r w:rsidRPr="00FA727E">
              <w:rPr>
                <w:rFonts w:ascii="Times New Roman" w:hAnsi="Times New Roman" w:cs="Times New Roman"/>
                <w:sz w:val="20"/>
                <w:szCs w:val="20"/>
              </w:rPr>
              <w:t xml:space="preserv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 xml:space="preserve">According to the discussions so far, none of the alternatives are identified as </w:t>
            </w:r>
            <w:proofErr w:type="gramStart"/>
            <w:r>
              <w:rPr>
                <w:rFonts w:eastAsia="MS Mincho"/>
                <w:lang w:val="en-US" w:eastAsia="ja-JP"/>
              </w:rPr>
              <w:t>really useful</w:t>
            </w:r>
            <w:proofErr w:type="gramEnd"/>
            <w:r>
              <w:rPr>
                <w:rFonts w:eastAsia="MS Mincho"/>
                <w:lang w:val="en-US" w:eastAsia="ja-JP"/>
              </w:rPr>
              <w:t xml:space="preserve">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Estimated duration over which UE can sustain Pcmax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 xml:space="preserve">The above describes the </w:t>
      </w:r>
      <w:proofErr w:type="gramStart"/>
      <w:r w:rsidRPr="00352A0F">
        <w:rPr>
          <w:rFonts w:eastAsia="MS Mincho"/>
          <w:sz w:val="22"/>
          <w:szCs w:val="22"/>
          <w:lang w:val="en-US" w:eastAsia="ja-JP"/>
        </w:rPr>
        <w:t>current status</w:t>
      </w:r>
      <w:proofErr w:type="gramEnd"/>
      <w:r w:rsidRPr="00352A0F">
        <w:rPr>
          <w:rFonts w:eastAsia="MS Mincho"/>
          <w:sz w:val="22"/>
          <w:szCs w:val="22"/>
          <w:lang w:val="en-US" w:eastAsia="ja-JP"/>
        </w:rPr>
        <w:t xml:space="preserve">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w:t>
            </w:r>
            <w:proofErr w:type="gramStart"/>
            <w:r>
              <w:rPr>
                <w:rFonts w:eastAsia="MS Mincho"/>
                <w:lang w:val="en-US" w:eastAsia="ja-JP"/>
              </w:rPr>
              <w:t>actually not</w:t>
            </w:r>
            <w:proofErr w:type="gramEnd"/>
            <w:r>
              <w:rPr>
                <w:rFonts w:eastAsia="MS Mincho"/>
                <w:lang w:val="en-US" w:eastAsia="ja-JP"/>
              </w:rPr>
              <w:t xml:space="preserve"> too sure what we will accomplish with this. </w:t>
            </w:r>
            <w:proofErr w:type="gramStart"/>
            <w:r w:rsidR="003721E4">
              <w:rPr>
                <w:rFonts w:eastAsia="MS Mincho"/>
                <w:lang w:val="en-US" w:eastAsia="ja-JP"/>
              </w:rPr>
              <w:t>Lets</w:t>
            </w:r>
            <w:proofErr w:type="gramEnd"/>
            <w:r w:rsidR="003721E4">
              <w:rPr>
                <w:rFonts w:eastAsia="MS Mincho"/>
                <w:lang w:val="en-US" w:eastAsia="ja-JP"/>
              </w:rPr>
              <w:t xml:space="preserve"> discuss further in the online session. </w:t>
            </w:r>
          </w:p>
        </w:tc>
      </w:tr>
      <w:tr w:rsidR="002409B7" w14:paraId="3DB221F6" w14:textId="77777777" w:rsidTr="0082636C">
        <w:trPr>
          <w:trHeight w:val="891"/>
        </w:trPr>
        <w:tc>
          <w:tcPr>
            <w:tcW w:w="1985" w:type="dxa"/>
            <w:vAlign w:val="center"/>
          </w:tcPr>
          <w:p w14:paraId="032ECCA4" w14:textId="32B1AEEB" w:rsidR="002409B7" w:rsidRDefault="002409B7" w:rsidP="002409B7">
            <w:pPr>
              <w:jc w:val="center"/>
              <w:rPr>
                <w:rFonts w:eastAsia="MS Mincho"/>
                <w:b/>
                <w:bCs/>
                <w:lang w:val="en-US" w:eastAsia="ja-JP"/>
              </w:rPr>
            </w:pPr>
            <w:r>
              <w:rPr>
                <w:rFonts w:eastAsia="MS Mincho"/>
                <w:b/>
                <w:bCs/>
                <w:lang w:val="en-US" w:eastAsia="ja-JP"/>
              </w:rPr>
              <w:t>Ericsson</w:t>
            </w:r>
          </w:p>
        </w:tc>
        <w:tc>
          <w:tcPr>
            <w:tcW w:w="7716" w:type="dxa"/>
            <w:vAlign w:val="center"/>
          </w:tcPr>
          <w:p w14:paraId="65904483" w14:textId="77777777" w:rsidR="002409B7" w:rsidRDefault="002409B7" w:rsidP="002409B7">
            <w:pPr>
              <w:rPr>
                <w:rFonts w:eastAsia="MS Mincho"/>
                <w:lang w:val="en-US" w:eastAsia="ja-JP"/>
              </w:rPr>
            </w:pPr>
            <w:r>
              <w:rPr>
                <w:rFonts w:eastAsia="MS Mincho"/>
                <w:lang w:val="en-US" w:eastAsia="ja-JP"/>
              </w:rPr>
              <w:t>Support the observation in principle; thanks for the good proposal to move us a little further forward.  Since we mention reporting periodicity here, it might also be good to cover reporting triggers explicitly:</w:t>
            </w:r>
          </w:p>
          <w:p w14:paraId="6AA138F1" w14:textId="77777777" w:rsidR="002409B7" w:rsidRPr="00352A0F" w:rsidRDefault="002409B7" w:rsidP="002409B7">
            <w:pPr>
              <w:spacing w:afterLines="50" w:after="120"/>
              <w:ind w:left="284"/>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Pr>
                <w:rFonts w:eastAsia="MS Mincho"/>
                <w:b/>
                <w:bCs/>
                <w:i/>
                <w:iCs/>
                <w:sz w:val="22"/>
                <w:szCs w:val="22"/>
                <w:highlight w:val="yellow"/>
                <w:lang w:val="en-US" w:eastAsia="ja-JP"/>
              </w:rPr>
              <w:t xml:space="preserve">, </w:t>
            </w:r>
            <w:r w:rsidRPr="00380D26">
              <w:rPr>
                <w:rFonts w:eastAsia="MS Mincho"/>
                <w:b/>
                <w:bCs/>
                <w:i/>
                <w:iCs/>
                <w:color w:val="FF0000"/>
                <w:sz w:val="22"/>
                <w:szCs w:val="22"/>
                <w:highlight w:val="yellow"/>
                <w:u w:val="single"/>
                <w:lang w:val="en-US" w:eastAsia="ja-JP"/>
              </w:rPr>
              <w:t>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356D5066" w14:textId="77777777" w:rsidR="002409B7" w:rsidRDefault="002409B7" w:rsidP="002409B7">
            <w:pPr>
              <w:rPr>
                <w:rFonts w:eastAsia="MS Mincho"/>
                <w:lang w:val="en-US" w:eastAsia="ja-JP"/>
              </w:rPr>
            </w:pP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lastRenderedPageBreak/>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lastRenderedPageBreak/>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w:t>
            </w:r>
            <w:r>
              <w:rPr>
                <w:lang w:val="en-US"/>
              </w:rPr>
              <w:lastRenderedPageBreak/>
              <w:t>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lastRenderedPageBreak/>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 xml:space="preserve">Suggest </w:t>
            </w:r>
            <w:proofErr w:type="gramStart"/>
            <w:r>
              <w:rPr>
                <w:lang w:val="en-US"/>
              </w:rPr>
              <w:t>to continue</w:t>
            </w:r>
            <w:proofErr w:type="gramEnd"/>
            <w:r>
              <w:rPr>
                <w:lang w:val="en-US"/>
              </w:rPr>
              <w:t xml:space="preserv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w:t>
            </w:r>
            <w:proofErr w:type="gramStart"/>
            <w:r>
              <w:rPr>
                <w:lang w:val="en-US" w:eastAsia="zh-CN"/>
              </w:rPr>
              <w:t>similar to</w:t>
            </w:r>
            <w:proofErr w:type="gramEnd"/>
            <w:r>
              <w:rPr>
                <w:lang w:val="en-US" w:eastAsia="zh-CN"/>
              </w:rPr>
              <w:t xml:space="preserve"> data</w:t>
            </w:r>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gNB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19"/>
      <w:proofErr w:type="spellEnd"/>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lastRenderedPageBreak/>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1pt;height:16.6pt" o:ole="">
                  <v:imagedata r:id="rId13" o:title=""/>
                </v:shape>
                <o:OLEObject Type="Embed" ProgID="Equation.DSMT4" ShapeID="_x0000_i1025" DrawAspect="Content" ObjectID="_1743884522"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4pt;height:19.8pt" o:ole="">
                  <v:imagedata r:id="rId15" o:title=""/>
                </v:shape>
                <o:OLEObject Type="Embed" ProgID="Equation.DSMT4" ShapeID="_x0000_i1026" DrawAspect="Content" ObjectID="_1743884523"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1pt;height:16.6pt" o:ole="">
                  <v:imagedata r:id="rId13" o:title=""/>
                </v:shape>
                <o:OLEObject Type="Embed" ProgID="Equation.DSMT4" ShapeID="_x0000_i1027" DrawAspect="Content" ObjectID="_1743884524"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pt" o:ole="">
                        <v:imagedata r:id="rId24" o:title=""/>
                      </v:shape>
                      <o:OLEObject Type="Embed" ProgID="Equation.DSMT4" ShapeID="_x0000_i1028" DrawAspect="Content" ObjectID="_1743884525"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4pt;height:16.6pt" o:ole="">
                        <v:imagedata r:id="rId26" o:title=""/>
                      </v:shape>
                      <o:OLEObject Type="Embed" ProgID="Equation.DSMT4" ShapeID="_x0000_i1029" DrawAspect="Content" ObjectID="_1743884526"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75pt;height:16.6pt" o:ole="">
                        <v:imagedata r:id="rId28" o:title=""/>
                      </v:shape>
                      <o:OLEObject Type="Embed" ProgID="Equation.DSMT4" ShapeID="_x0000_i1030" DrawAspect="Content" ObjectID="_1743884527"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4pt;height:19.8pt" o:ole="">
                        <v:imagedata r:id="rId15" o:title=""/>
                      </v:shape>
                      <o:OLEObject Type="Embed" ProgID="Equation.DSMT4" ShapeID="_x0000_i1031" DrawAspect="Content" ObjectID="_1743884528"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6.6pt" o:ole="">
                        <v:imagedata r:id="rId34" o:title=""/>
                      </v:shape>
                      <o:OLEObject Type="Embed" ProgID="Equation.DSMT4" ShapeID="_x0000_i1032" DrawAspect="Content" ObjectID="_1743884529"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2pt;height:16.6pt" o:ole="">
                        <v:imagedata r:id="rId36" o:title=""/>
                      </v:shape>
                      <o:OLEObject Type="Embed" ProgID="Equation.DSMT4" ShapeID="_x0000_i1033" DrawAspect="Content" ObjectID="_1743884530"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0.95pt;height:19.8pt" o:ole="">
                        <v:imagedata r:id="rId38" o:title=""/>
                      </v:shape>
                      <o:OLEObject Type="Embed" ProgID="Equation.DSMT4" ShapeID="_x0000_i1034" DrawAspect="Content" ObjectID="_1743884531"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75pt;height:34pt" o:ole="">
                        <v:imagedata r:id="rId40" o:title=""/>
                      </v:shape>
                      <o:OLEObject Type="Embed" ProgID="Equation.DSMT4" ShapeID="_x0000_i1035" DrawAspect="Content" ObjectID="_1743884532"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6pt;height:19pt" o:ole="">
                        <v:imagedata r:id="rId42" o:title=""/>
                      </v:shape>
                      <o:OLEObject Type="Embed" ProgID="Equation.DSMT4" ShapeID="_x0000_i1036" DrawAspect="Content" ObjectID="_1743884533"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15pt;height:19pt" o:ole="">
                        <v:imagedata r:id="rId44" o:title=""/>
                      </v:shape>
                      <o:OLEObject Type="Embed" ProgID="Equation.DSMT4" ShapeID="_x0000_i1037" DrawAspect="Content" ObjectID="_1743884534"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85pt;height:38.75pt" o:ole="">
                        <v:imagedata r:id="rId46" o:title=""/>
                      </v:shape>
                      <o:OLEObject Type="Embed" ProgID="Equation.DSMT4" ShapeID="_x0000_i1038" DrawAspect="Content" ObjectID="_1743884535"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9pt;height:26.9pt" o:ole="">
                        <v:imagedata r:id="rId48" o:title=""/>
                      </v:shape>
                      <o:OLEObject Type="Embed" ProgID="Equation.DSMT4" ShapeID="_x0000_i1039" DrawAspect="Content" ObjectID="_1743884536"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4pt;height:19.8pt" o:ole="">
                        <v:imagedata r:id="rId50" o:title=""/>
                      </v:shape>
                      <o:OLEObject Type="Embed" ProgID="Equation.DSMT4" ShapeID="_x0000_i1040" DrawAspect="Content" ObjectID="_1743884537"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15pt;height:19.8pt" o:ole="">
                        <v:imagedata r:id="rId52" o:title=""/>
                      </v:shape>
                      <o:OLEObject Type="Embed" ProgID="Equation.DSMT4" ShapeID="_x0000_i1041" DrawAspect="Content" ObjectID="_1743884538"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6pt;height:19pt" o:ole="">
                        <v:imagedata r:id="rId54" o:title=""/>
                      </v:shape>
                      <o:OLEObject Type="Embed" ProgID="Equation.DSMT4" ShapeID="_x0000_i1042" DrawAspect="Content" ObjectID="_1743884539"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9pt;height:16.6pt" o:ole="">
                        <v:imagedata r:id="rId56" o:title=""/>
                      </v:shape>
                      <o:OLEObject Type="Embed" ProgID="Equation.DSMT4" ShapeID="_x0000_i1043" DrawAspect="Content" ObjectID="_1743884540"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4pt;height:19.8pt" o:ole="">
            <v:imagedata r:id="rId15" o:title=""/>
          </v:shape>
          <o:OLEObject Type="Embed" ProgID="Equation.DSMT4" ShapeID="_x0000_i1044" DrawAspect="Content" ObjectID="_1743884541"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4pt;height:19.8pt" o:ole="">
                  <v:imagedata r:id="rId15" o:title=""/>
                </v:shape>
                <o:OLEObject Type="Embed" ProgID="Equation.DSMT4" ShapeID="_x0000_i1045" DrawAspect="Content" ObjectID="_1743884542"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w:t>
            </w:r>
            <w:proofErr w:type="spellStart"/>
            <w:r>
              <w:rPr>
                <w:rFonts w:eastAsia="MS Mincho"/>
                <w:lang w:val="en-US" w:eastAsia="ja-JP"/>
              </w:rPr>
              <w:t>etc</w:t>
            </w:r>
            <w:proofErr w:type="spellEnd"/>
            <w:r>
              <w:rPr>
                <w:rFonts w:eastAsia="MS Mincho"/>
                <w:lang w:val="en-US" w:eastAsia="ja-JP"/>
              </w:rPr>
              <w:t xml:space="preserve">,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proofErr w:type="spellStart"/>
            <w:r>
              <w:rPr>
                <w:rFonts w:hint="eastAsia"/>
                <w:lang w:val="en-US" w:eastAsia="zh-CN"/>
              </w:rPr>
              <w:t>S</w:t>
            </w:r>
            <w:r>
              <w:rPr>
                <w:lang w:val="en-US" w:eastAsia="zh-CN"/>
              </w:rPr>
              <w:t>preadtrum</w:t>
            </w:r>
            <w:proofErr w:type="spellEnd"/>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4pt;height:19.8pt" o:ole="">
            <v:imagedata r:id="rId15" o:title=""/>
          </v:shape>
          <o:OLEObject Type="Embed" ProgID="Equation.DSMT4" ShapeID="_x0000_i1046" DrawAspect="Content" ObjectID="_1743884543"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w:t>
      </w:r>
      <w:proofErr w:type="spellStart"/>
      <w:r>
        <w:rPr>
          <w:sz w:val="22"/>
          <w:lang w:val="en-US"/>
        </w:rPr>
        <w:t>inband</w:t>
      </w:r>
      <w:proofErr w:type="spellEnd"/>
      <w:r>
        <w:rPr>
          <w:sz w:val="22"/>
          <w:lang w:val="en-US"/>
        </w:rPr>
        <w:t xml:space="preserve">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 xml:space="preserve">The FDRA field indicates the </w:t>
      </w:r>
      <w:proofErr w:type="spellStart"/>
      <w:r>
        <w:rPr>
          <w:sz w:val="22"/>
          <w:lang w:val="en-US"/>
        </w:rPr>
        <w:t>inband</w:t>
      </w:r>
      <w:proofErr w:type="spellEnd"/>
      <w:r>
        <w:rPr>
          <w:sz w:val="22"/>
          <w:lang w:val="en-US"/>
        </w:rPr>
        <w:t>.</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 xml:space="preserve">The FDRA filed indicates the total allocation, i.e., </w:t>
      </w:r>
      <w:proofErr w:type="spellStart"/>
      <w:r>
        <w:rPr>
          <w:sz w:val="22"/>
          <w:lang w:val="en-US"/>
        </w:rPr>
        <w:t>inband</w:t>
      </w:r>
      <w:proofErr w:type="spellEnd"/>
      <w:r>
        <w:rPr>
          <w:sz w:val="22"/>
          <w:lang w:val="en-US"/>
        </w:rPr>
        <w:t xml:space="preserve">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proofErr w:type="spellStart"/>
      <w:r w:rsidRPr="00741D33">
        <w:rPr>
          <w:b/>
          <w:bCs/>
          <w:i/>
          <w:iCs/>
          <w:highlight w:val="yellow"/>
          <w:lang w:val="en-US" w:eastAsia="zh-CN"/>
        </w:rPr>
        <w:t>inband</w:t>
      </w:r>
      <w:proofErr w:type="spellEnd"/>
      <w:r w:rsidRPr="00741D33">
        <w:rPr>
          <w:b/>
          <w:bCs/>
          <w:i/>
          <w:iCs/>
          <w:highlight w:val="yellow"/>
          <w:lang w:val="en-US" w:eastAsia="zh-CN"/>
        </w:rPr>
        <w:t>,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proofErr w:type="spellStart"/>
            <w:r w:rsidR="003A1EF0">
              <w:rPr>
                <w:rFonts w:eastAsia="MS Mincho"/>
                <w:lang w:val="en-US" w:eastAsia="ja-JP"/>
              </w:rPr>
              <w:t>inband</w:t>
            </w:r>
            <w:r>
              <w:rPr>
                <w:rFonts w:eastAsia="MS Mincho"/>
                <w:lang w:val="en-US" w:eastAsia="ja-JP"/>
              </w:rPr>
              <w:t>+extended</w:t>
            </w:r>
            <w:proofErr w:type="spellEnd"/>
            <w:r>
              <w:rPr>
                <w:rFonts w:eastAsia="MS Mincho"/>
                <w:lang w:val="en-US" w:eastAsia="ja-JP"/>
              </w:rPr>
              <w:t xml:space="preserve">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w:t>
            </w:r>
            <w:proofErr w:type="spellStart"/>
            <w:r w:rsidRPr="005E0EE5">
              <w:rPr>
                <w:lang w:val="en-US" w:eastAsia="zh-CN"/>
              </w:rPr>
              <w:t>inband</w:t>
            </w:r>
            <w:proofErr w:type="spellEnd"/>
            <w:r w:rsidRPr="005E0EE5">
              <w:rPr>
                <w:lang w:val="en-US" w:eastAsia="zh-CN"/>
              </w:rPr>
              <w:t xml:space="preserve">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r w:rsidR="002409B7" w14:paraId="3DC5A2F2" w14:textId="77777777" w:rsidTr="00754CC7">
        <w:trPr>
          <w:trHeight w:val="300"/>
        </w:trPr>
        <w:tc>
          <w:tcPr>
            <w:tcW w:w="1977" w:type="dxa"/>
          </w:tcPr>
          <w:p w14:paraId="73E69890" w14:textId="6F8CC898" w:rsidR="002409B7" w:rsidRPr="005E0EE5" w:rsidRDefault="002409B7" w:rsidP="002409B7">
            <w:pPr>
              <w:jc w:val="both"/>
              <w:rPr>
                <w:lang w:val="en-US" w:eastAsia="zh-CN"/>
              </w:rPr>
            </w:pPr>
            <w:r>
              <w:rPr>
                <w:lang w:val="en-US" w:eastAsia="zh-CN"/>
              </w:rPr>
              <w:t>Ericsson</w:t>
            </w:r>
          </w:p>
        </w:tc>
        <w:tc>
          <w:tcPr>
            <w:tcW w:w="7662" w:type="dxa"/>
          </w:tcPr>
          <w:p w14:paraId="06F86011" w14:textId="77777777" w:rsidR="002409B7" w:rsidRDefault="002409B7" w:rsidP="002409B7">
            <w:pPr>
              <w:jc w:val="both"/>
              <w:rPr>
                <w:lang w:val="en-US" w:eastAsia="zh-CN"/>
              </w:rPr>
            </w:pPr>
            <w:r>
              <w:rPr>
                <w:lang w:val="en-US" w:eastAsia="zh-CN"/>
              </w:rPr>
              <w:t xml:space="preserve">FDRA related procedures in general may be impacted (since the ‘actual’ PUSCH PRB allocation would be different from that provided directly by the FDRA field).  Power control and (depending on the DMRS generation method agreed) DMRS sequence and mapping are two other potential impacts.  Note that our understanding is that even with FDRA based on </w:t>
            </w:r>
            <w:proofErr w:type="spellStart"/>
            <w:r>
              <w:rPr>
                <w:lang w:val="en-US" w:eastAsia="zh-CN"/>
              </w:rPr>
              <w:t>inband</w:t>
            </w:r>
            <w:proofErr w:type="spellEnd"/>
            <w:r>
              <w:rPr>
                <w:lang w:val="en-US" w:eastAsia="zh-CN"/>
              </w:rPr>
              <w:t xml:space="preserve"> resource allocation, there are still constraints: </w:t>
            </w:r>
            <w:proofErr w:type="gramStart"/>
            <w:r>
              <w:rPr>
                <w:lang w:val="en-US" w:eastAsia="zh-CN"/>
              </w:rPr>
              <w:t>e.g.</w:t>
            </w:r>
            <w:proofErr w:type="gramEnd"/>
            <w:r>
              <w:rPr>
                <w:lang w:val="en-US" w:eastAsia="zh-CN"/>
              </w:rPr>
              <w:t xml:space="preserve"> there must be an even number of extension PRBs, which means that the FDRA field may not be able to be used directly/simply for e.g. TBS determination.</w:t>
            </w:r>
          </w:p>
          <w:p w14:paraId="7077C4CB" w14:textId="018A0E92" w:rsidR="002409B7" w:rsidRDefault="002409B7" w:rsidP="002409B7">
            <w:pPr>
              <w:jc w:val="both"/>
              <w:rPr>
                <w:lang w:val="en-US" w:eastAsia="zh-CN"/>
              </w:rPr>
            </w:pPr>
            <w:r>
              <w:rPr>
                <w:lang w:val="en-US" w:eastAsia="zh-CN"/>
              </w:rPr>
              <w:t xml:space="preserve">Regarding impact to other WGs, </w:t>
            </w:r>
            <w:proofErr w:type="gramStart"/>
            <w:r>
              <w:rPr>
                <w:lang w:val="en-US" w:eastAsia="zh-CN"/>
              </w:rPr>
              <w:t>a number of</w:t>
            </w:r>
            <w:proofErr w:type="gramEnd"/>
            <w:r>
              <w:rPr>
                <w:lang w:val="en-US" w:eastAsia="zh-CN"/>
              </w:rPr>
              <w:t xml:space="preserve"> procedures take into account the location and bandwidth of PUSCH allocations.  For example, MPR reduction in 6.2.2 of 38.101 refers to a starting RB and a length in RBs; if RAN1 specs are unclear about what these parameters are, then RAN4 specifications are impacted.  </w:t>
            </w: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 xml:space="preserve">TBS determination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 DMRS/PTRS sequence mapping to resource elements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w:t>
            </w:r>
            <w:r w:rsidR="007C0AD2">
              <w:rPr>
                <w:rFonts w:eastAsia="MS Mincho"/>
                <w:lang w:val="en-US" w:eastAsia="ja-JP"/>
              </w:rPr>
              <w:t xml:space="preserve"> if the sequence length only considers </w:t>
            </w:r>
            <w:proofErr w:type="spellStart"/>
            <w:r w:rsidR="007C0AD2">
              <w:rPr>
                <w:rFonts w:eastAsia="MS Mincho"/>
                <w:lang w:val="en-US" w:eastAsia="ja-JP"/>
              </w:rPr>
              <w:t>inband</w:t>
            </w:r>
            <w:proofErr w:type="spellEnd"/>
            <w:r>
              <w:rPr>
                <w:rFonts w:eastAsia="MS Mincho"/>
                <w:lang w:val="en-US" w:eastAsia="ja-JP"/>
              </w:rPr>
              <w:t xml:space="preserve">), DFT size </w:t>
            </w:r>
            <w:r w:rsidR="009B30E8">
              <w:rPr>
                <w:rFonts w:eastAsia="MS Mincho"/>
                <w:lang w:val="en-US" w:eastAsia="ja-JP"/>
              </w:rPr>
              <w:t>(</w:t>
            </w:r>
            <w:proofErr w:type="spellStart"/>
            <w:r>
              <w:rPr>
                <w:rFonts w:eastAsia="MS Mincho"/>
                <w:lang w:val="en-US" w:eastAsia="ja-JP"/>
              </w:rPr>
              <w:t>inband</w:t>
            </w:r>
            <w:proofErr w:type="spellEnd"/>
            <w:r>
              <w:rPr>
                <w:rFonts w:eastAsia="MS Mincho"/>
                <w:lang w:val="en-US" w:eastAsia="ja-JP"/>
              </w:rPr>
              <w:t xml:space="preserve">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2409B7" w14:paraId="5C3CCD95" w14:textId="77777777" w:rsidTr="00754CC7">
        <w:trPr>
          <w:trHeight w:val="300"/>
        </w:trPr>
        <w:tc>
          <w:tcPr>
            <w:tcW w:w="1977" w:type="dxa"/>
          </w:tcPr>
          <w:p w14:paraId="40403E81" w14:textId="6104AD2E" w:rsidR="002409B7" w:rsidRPr="00A64764" w:rsidRDefault="002409B7" w:rsidP="002409B7">
            <w:pPr>
              <w:jc w:val="both"/>
              <w:rPr>
                <w:color w:val="FF0000"/>
                <w:lang w:val="en-US" w:eastAsia="zh-CN"/>
              </w:rPr>
            </w:pPr>
            <w:r>
              <w:rPr>
                <w:lang w:val="en-US" w:eastAsia="zh-CN"/>
              </w:rPr>
              <w:t>Ericsson</w:t>
            </w:r>
          </w:p>
        </w:tc>
        <w:tc>
          <w:tcPr>
            <w:tcW w:w="7662" w:type="dxa"/>
          </w:tcPr>
          <w:p w14:paraId="0B749AB3" w14:textId="77777777" w:rsidR="002409B7" w:rsidRDefault="002409B7" w:rsidP="002409B7">
            <w:pPr>
              <w:jc w:val="both"/>
              <w:rPr>
                <w:lang w:val="en-US" w:eastAsia="zh-CN"/>
              </w:rPr>
            </w:pPr>
            <w:r>
              <w:rPr>
                <w:lang w:val="en-US" w:eastAsia="zh-CN"/>
              </w:rPr>
              <w:t xml:space="preserve">The PRBs for </w:t>
            </w:r>
            <w:proofErr w:type="gramStart"/>
            <w:r>
              <w:rPr>
                <w:lang w:val="en-US" w:eastAsia="zh-CN"/>
              </w:rPr>
              <w:t>e.g.</w:t>
            </w:r>
            <w:proofErr w:type="gramEnd"/>
            <w:r>
              <w:rPr>
                <w:lang w:val="en-US" w:eastAsia="zh-CN"/>
              </w:rPr>
              <w:t xml:space="preserve"> TBS determination are calculated indirectly from the total resource indication provided by the FDRA field.  However, as commented above, it’s not clear that the FDRA field can be directly used for TBS determination when FDRA indicates the </w:t>
            </w:r>
            <w:proofErr w:type="spellStart"/>
            <w:r>
              <w:rPr>
                <w:lang w:val="en-US" w:eastAsia="zh-CN"/>
              </w:rPr>
              <w:t>inband</w:t>
            </w:r>
            <w:proofErr w:type="spellEnd"/>
            <w:r>
              <w:rPr>
                <w:lang w:val="en-US" w:eastAsia="zh-CN"/>
              </w:rPr>
              <w:t xml:space="preserve"> PRBs.</w:t>
            </w:r>
          </w:p>
          <w:p w14:paraId="7BAAA304" w14:textId="135F8877" w:rsidR="002409B7" w:rsidRPr="00A64764" w:rsidRDefault="002409B7" w:rsidP="002409B7">
            <w:pPr>
              <w:jc w:val="both"/>
              <w:rPr>
                <w:color w:val="FF0000"/>
                <w:lang w:val="en-US" w:eastAsia="zh-CN"/>
              </w:rPr>
            </w:pPr>
            <w:r>
              <w:rPr>
                <w:lang w:val="en-US" w:eastAsia="zh-CN"/>
              </w:rPr>
              <w:t>Depending on the DMRS generation method agreed, DMRS sequence and mapping may be impacted.</w:t>
            </w:r>
          </w:p>
        </w:tc>
      </w:tr>
    </w:tbl>
    <w:p w14:paraId="23A7B428" w14:textId="465C2FD9" w:rsidR="00741D33" w:rsidRDefault="00741D33" w:rsidP="00741D33">
      <w:pPr>
        <w:jc w:val="both"/>
        <w:rPr>
          <w:sz w:val="22"/>
        </w:rPr>
      </w:pPr>
      <w:r>
        <w:rPr>
          <w:sz w:val="22"/>
        </w:rPr>
        <w:lastRenderedPageBreak/>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lastRenderedPageBreak/>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lastRenderedPageBreak/>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proofErr w:type="spellStart"/>
            <w:r>
              <w:rPr>
                <w:rFonts w:eastAsia="SimSun"/>
                <w:lang w:val="en-US" w:eastAsia="zh-CN"/>
              </w:rPr>
              <w:t>Hisilicon</w:t>
            </w:r>
            <w:proofErr w:type="spellEnd"/>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w:t>
      </w:r>
      <w:r>
        <w:rPr>
          <w:sz w:val="22"/>
          <w:szCs w:val="22"/>
          <w:lang w:val="en-US"/>
        </w:rPr>
        <w:lastRenderedPageBreak/>
        <w:t xml:space="preserve">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lastRenderedPageBreak/>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w:t>
            </w:r>
            <w:proofErr w:type="gramStart"/>
            <w:r>
              <w:rPr>
                <w:rFonts w:eastAsia="SimSun"/>
                <w:lang w:val="en-US" w:eastAsia="zh-CN"/>
              </w:rPr>
              <w:t>Actually, 1/9</w:t>
            </w:r>
            <w:proofErr w:type="gramEnd"/>
            <w:r>
              <w:rPr>
                <w:rFonts w:eastAsia="SimSun"/>
                <w:lang w:val="en-US" w:eastAsia="zh-CN"/>
              </w:rPr>
              <w:t xml:space="preserve"> is considered in the working assumption of last meeting. And our simulation results show that 1/9 extension ratio can achieve much better net gain for middle and high MCS than ¼ extension ratio. More details can be found in our </w:t>
            </w:r>
            <w:proofErr w:type="spellStart"/>
            <w:r>
              <w:rPr>
                <w:rFonts w:eastAsia="SimSun"/>
                <w:lang w:val="en-US" w:eastAsia="zh-CN"/>
              </w:rPr>
              <w:t>tdoc</w:t>
            </w:r>
            <w:proofErr w:type="spellEnd"/>
            <w:r>
              <w:rPr>
                <w:rFonts w:eastAsia="SimSun"/>
                <w:lang w:val="en-US" w:eastAsia="zh-CN"/>
              </w:rPr>
              <w:t xml:space="preserve">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 xml:space="preserve">It is basically because the high coding rate in middle MCS leaves </w:t>
            </w:r>
            <w:proofErr w:type="gramStart"/>
            <w:r>
              <w:rPr>
                <w:rFonts w:eastAsia="SimSun"/>
                <w:lang w:val="en-US" w:eastAsia="zh-CN"/>
              </w:rPr>
              <w:t>no</w:t>
            </w:r>
            <w:proofErr w:type="gramEnd"/>
            <w:r>
              <w:rPr>
                <w:rFonts w:eastAsia="SimSun"/>
                <w:lang w:val="en-US" w:eastAsia="zh-CN"/>
              </w:rPr>
              <w:t xml:space="preserve"> much room (non-systematic bits) to accommodate a high SE ratio without puncturing out any systematic bits. With ¼ SE ratio, more systematic bits are lost </w:t>
            </w:r>
            <w:proofErr w:type="gramStart"/>
            <w:r>
              <w:rPr>
                <w:rFonts w:eastAsia="SimSun"/>
                <w:lang w:val="en-US" w:eastAsia="zh-CN"/>
              </w:rPr>
              <w:t>in order to</w:t>
            </w:r>
            <w:proofErr w:type="gramEnd"/>
            <w:r>
              <w:rPr>
                <w:rFonts w:eastAsia="SimSun"/>
                <w:lang w:val="en-US" w:eastAsia="zh-CN"/>
              </w:rPr>
              <w:t xml:space="preserve">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t>
            </w:r>
            <w:r>
              <w:rPr>
                <w:rFonts w:eastAsia="MS Mincho"/>
                <w:lang w:val="en-US" w:eastAsia="ja-JP"/>
              </w:rPr>
              <w:lastRenderedPageBreak/>
              <w:t xml:space="preserve">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lastRenderedPageBreak/>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t>
            </w:r>
            <w:r>
              <w:rPr>
                <w:rFonts w:eastAsia="MS Mincho"/>
                <w:lang w:val="en-US" w:eastAsia="ja-JP"/>
              </w:rPr>
              <w:lastRenderedPageBreak/>
              <w:t xml:space="preserve">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 xml:space="preserve">UE will also have the information on the extension factor, which combined with FDRA will give the “occupied” </w:t>
      </w:r>
      <w:proofErr w:type="spellStart"/>
      <w:r w:rsidRPr="00B114BC">
        <w:rPr>
          <w:sz w:val="22"/>
          <w:lang w:val="en-US"/>
        </w:rPr>
        <w:t>REs.</w:t>
      </w:r>
      <w:proofErr w:type="spellEnd"/>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w:t>
      </w:r>
      <w:r w:rsidRPr="00B114BC">
        <w:rPr>
          <w:sz w:val="22"/>
          <w:lang w:val="en-US"/>
        </w:rPr>
        <w:lastRenderedPageBreak/>
        <w:t xml:space="preserve">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 xml:space="preserve">matter for RAN4 </w:t>
      </w:r>
      <w:proofErr w:type="spellStart"/>
      <w:r w:rsidRPr="00B114BC">
        <w:rPr>
          <w:sz w:val="22"/>
          <w:lang w:val="en-US"/>
        </w:rPr>
        <w:t>w.r.t.</w:t>
      </w:r>
      <w:proofErr w:type="spellEnd"/>
      <w:r w:rsidRPr="00B114BC">
        <w:rPr>
          <w:sz w:val="22"/>
          <w:lang w:val="en-US"/>
        </w:rPr>
        <w:t xml:space="preserve"> what RAN1 does</w:t>
      </w:r>
      <w:r>
        <w:rPr>
          <w:sz w:val="22"/>
          <w:lang w:val="en-US"/>
        </w:rPr>
        <w:t xml:space="preserve"> about FDRA</w:t>
      </w:r>
      <w:r w:rsidRPr="00B114BC">
        <w:rPr>
          <w:sz w:val="22"/>
          <w:lang w:val="en-US"/>
        </w:rPr>
        <w:t xml:space="preserve">. And this would not change </w:t>
      </w:r>
      <w:proofErr w:type="spellStart"/>
      <w:r w:rsidRPr="00B114BC">
        <w:rPr>
          <w:sz w:val="22"/>
          <w:lang w:val="en-US"/>
        </w:rPr>
        <w:t>w.r.t.</w:t>
      </w:r>
      <w:proofErr w:type="spellEnd"/>
      <w:r w:rsidRPr="00B114BC">
        <w:rPr>
          <w:sz w:val="22"/>
          <w:lang w:val="en-US"/>
        </w:rPr>
        <w:t xml:space="preserve">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xml:space="preserve">, I will still propose to endorse this proposal online if time allows, </w:t>
      </w:r>
      <w:proofErr w:type="gramStart"/>
      <w:r>
        <w:rPr>
          <w:sz w:val="22"/>
          <w:lang w:val="en-US"/>
        </w:rPr>
        <w:t>assuming that</w:t>
      </w:r>
      <w:proofErr w:type="gramEnd"/>
      <w:r>
        <w:rPr>
          <w:sz w:val="22"/>
          <w:lang w:val="en-US"/>
        </w:rPr>
        <w:t xml:space="preserve">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lastRenderedPageBreak/>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 xml:space="preserve">If FDSS-SE is supported in Rel-18, DMRS are mapped on PRBs of both </w:t>
      </w:r>
      <w:proofErr w:type="spellStart"/>
      <w:r w:rsidRPr="00A145B7">
        <w:rPr>
          <w:sz w:val="22"/>
          <w:szCs w:val="22"/>
          <w:lang w:val="en-US" w:eastAsia="zh-CN"/>
        </w:rPr>
        <w:t>inband</w:t>
      </w:r>
      <w:proofErr w:type="spellEnd"/>
      <w:r w:rsidRPr="00A145B7">
        <w:rPr>
          <w:sz w:val="22"/>
          <w:szCs w:val="22"/>
          <w:lang w:val="en-US" w:eastAsia="zh-CN"/>
        </w:rPr>
        <w:t xml:space="preserve">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 xml:space="preserve">If FDSS-SE is supported in Rel-18, the FDRA field indicates the number of PRBs in the </w:t>
      </w:r>
      <w:proofErr w:type="spellStart"/>
      <w:r w:rsidRPr="00A145B7">
        <w:rPr>
          <w:sz w:val="22"/>
          <w:szCs w:val="22"/>
          <w:lang w:val="en-US" w:eastAsia="zh-CN"/>
        </w:rPr>
        <w:t>inband</w:t>
      </w:r>
      <w:proofErr w:type="spellEnd"/>
      <w:r w:rsidRPr="00A145B7">
        <w:rPr>
          <w:sz w:val="22"/>
          <w:szCs w:val="22"/>
          <w:lang w:val="en-US" w:eastAsia="zh-CN"/>
        </w:rPr>
        <w:t>.</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4pt;height:19.8pt" o:ole="">
            <v:imagedata r:id="rId15" o:title=""/>
          </v:shape>
          <o:OLEObject Type="Embed" ProgID="Equation.DSMT4" ShapeID="_x0000_i1047" DrawAspect="Content" ObjectID="_1743884544"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lastRenderedPageBreak/>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 xml:space="preserve">If TR is supported in Rel-18, the FDRA field indicates the number of PRBs in the </w:t>
      </w:r>
      <w:proofErr w:type="spellStart"/>
      <w:r w:rsidRPr="00A145B7">
        <w:rPr>
          <w:sz w:val="22"/>
          <w:szCs w:val="22"/>
          <w:lang w:val="en-US" w:eastAsia="zh-CN"/>
        </w:rPr>
        <w:t>inband</w:t>
      </w:r>
      <w:proofErr w:type="spellEnd"/>
      <w:r w:rsidRPr="00A145B7">
        <w:rPr>
          <w:sz w:val="22"/>
          <w:szCs w:val="22"/>
          <w:lang w:val="en-US" w:eastAsia="zh-CN"/>
        </w:rPr>
        <w:t>.</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proofErr w:type="gramStart"/>
            <w:r>
              <w:rPr>
                <w:sz w:val="18"/>
                <w:szCs w:val="18"/>
                <w:lang w:val="fr-FR" w:eastAsia="fr-FR"/>
              </w:rPr>
              <w:t>only</w:t>
            </w:r>
            <w:proofErr w:type="spellEnd"/>
            <w:proofErr w:type="gram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proofErr w:type="gramStart"/>
            <w:r>
              <w:rPr>
                <w:sz w:val="18"/>
                <w:szCs w:val="18"/>
                <w:lang w:val="fr-FR" w:eastAsia="fr-FR"/>
              </w:rPr>
              <w:t>only</w:t>
            </w:r>
            <w:proofErr w:type="spellEnd"/>
            <w:proofErr w:type="gram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E184" w14:textId="77777777" w:rsidR="00481225" w:rsidRDefault="00481225">
      <w:pPr>
        <w:spacing w:after="0"/>
      </w:pPr>
      <w:r>
        <w:separator/>
      </w:r>
    </w:p>
  </w:endnote>
  <w:endnote w:type="continuationSeparator" w:id="0">
    <w:p w14:paraId="3278F672" w14:textId="77777777" w:rsidR="00481225" w:rsidRDefault="00481225">
      <w:pPr>
        <w:spacing w:after="0"/>
      </w:pPr>
      <w:r>
        <w:continuationSeparator/>
      </w:r>
    </w:p>
  </w:endnote>
  <w:endnote w:type="continuationNotice" w:id="1">
    <w:p w14:paraId="5EC28B63" w14:textId="77777777" w:rsidR="00481225" w:rsidRDefault="004812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6415" w14:textId="77777777" w:rsidR="00481225" w:rsidRDefault="00481225">
      <w:pPr>
        <w:spacing w:after="0"/>
      </w:pPr>
      <w:r>
        <w:separator/>
      </w:r>
    </w:p>
  </w:footnote>
  <w:footnote w:type="continuationSeparator" w:id="0">
    <w:p w14:paraId="7A613791" w14:textId="77777777" w:rsidR="00481225" w:rsidRDefault="00481225">
      <w:pPr>
        <w:spacing w:after="0"/>
      </w:pPr>
      <w:r>
        <w:continuationSeparator/>
      </w:r>
    </w:p>
  </w:footnote>
  <w:footnote w:type="continuationNotice" w:id="1">
    <w:p w14:paraId="05261598" w14:textId="77777777" w:rsidR="00481225" w:rsidRDefault="004812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220499">
    <w:abstractNumId w:val="42"/>
    <w:lvlOverride w:ilvl="0">
      <w:startOverride w:val="1"/>
    </w:lvlOverride>
  </w:num>
  <w:num w:numId="2" w16cid:durableId="727647961">
    <w:abstractNumId w:val="57"/>
  </w:num>
  <w:num w:numId="3" w16cid:durableId="292373229">
    <w:abstractNumId w:val="36"/>
  </w:num>
  <w:num w:numId="4" w16cid:durableId="81727811">
    <w:abstractNumId w:val="21"/>
  </w:num>
  <w:num w:numId="5" w16cid:durableId="606274406">
    <w:abstractNumId w:val="6"/>
  </w:num>
  <w:num w:numId="6" w16cid:durableId="1164584823">
    <w:abstractNumId w:val="28"/>
  </w:num>
  <w:num w:numId="7" w16cid:durableId="1462770259">
    <w:abstractNumId w:val="34"/>
  </w:num>
  <w:num w:numId="8" w16cid:durableId="1719160886">
    <w:abstractNumId w:val="18"/>
  </w:num>
  <w:num w:numId="9" w16cid:durableId="1650592909">
    <w:abstractNumId w:val="62"/>
  </w:num>
  <w:num w:numId="10" w16cid:durableId="464809129">
    <w:abstractNumId w:val="77"/>
  </w:num>
  <w:num w:numId="11" w16cid:durableId="313878108">
    <w:abstractNumId w:val="60"/>
  </w:num>
  <w:num w:numId="12" w16cid:durableId="946962074">
    <w:abstractNumId w:val="5"/>
  </w:num>
  <w:num w:numId="13" w16cid:durableId="1807896288">
    <w:abstractNumId w:val="63"/>
  </w:num>
  <w:num w:numId="14" w16cid:durableId="1904558086">
    <w:abstractNumId w:val="37"/>
  </w:num>
  <w:num w:numId="15" w16cid:durableId="987830031">
    <w:abstractNumId w:val="12"/>
  </w:num>
  <w:num w:numId="16" w16cid:durableId="67927842">
    <w:abstractNumId w:val="4"/>
  </w:num>
  <w:num w:numId="17" w16cid:durableId="1056661548">
    <w:abstractNumId w:val="89"/>
  </w:num>
  <w:num w:numId="18" w16cid:durableId="257522110">
    <w:abstractNumId w:val="20"/>
  </w:num>
  <w:num w:numId="19" w16cid:durableId="1107501413">
    <w:abstractNumId w:val="41"/>
  </w:num>
  <w:num w:numId="20" w16cid:durableId="368772469">
    <w:abstractNumId w:val="61"/>
  </w:num>
  <w:num w:numId="21" w16cid:durableId="453718970">
    <w:abstractNumId w:val="19"/>
  </w:num>
  <w:num w:numId="22" w16cid:durableId="274679587">
    <w:abstractNumId w:val="87"/>
  </w:num>
  <w:num w:numId="23" w16cid:durableId="120612899">
    <w:abstractNumId w:val="75"/>
  </w:num>
  <w:num w:numId="24" w16cid:durableId="318193396">
    <w:abstractNumId w:val="66"/>
  </w:num>
  <w:num w:numId="25" w16cid:durableId="1834687707">
    <w:abstractNumId w:val="46"/>
  </w:num>
  <w:num w:numId="26" w16cid:durableId="2046369019">
    <w:abstractNumId w:val="76"/>
  </w:num>
  <w:num w:numId="27" w16cid:durableId="1911689571">
    <w:abstractNumId w:val="53"/>
  </w:num>
  <w:num w:numId="28" w16cid:durableId="647710197">
    <w:abstractNumId w:val="23"/>
  </w:num>
  <w:num w:numId="29" w16cid:durableId="55131658">
    <w:abstractNumId w:val="32"/>
  </w:num>
  <w:num w:numId="30" w16cid:durableId="816411218">
    <w:abstractNumId w:val="68"/>
  </w:num>
  <w:num w:numId="31" w16cid:durableId="991176925">
    <w:abstractNumId w:val="79"/>
  </w:num>
  <w:num w:numId="32" w16cid:durableId="357657910">
    <w:abstractNumId w:val="11"/>
  </w:num>
  <w:num w:numId="33" w16cid:durableId="1396049159">
    <w:abstractNumId w:val="82"/>
  </w:num>
  <w:num w:numId="34" w16cid:durableId="1245526759">
    <w:abstractNumId w:val="40"/>
  </w:num>
  <w:num w:numId="35" w16cid:durableId="83498144">
    <w:abstractNumId w:val="48"/>
  </w:num>
  <w:num w:numId="36" w16cid:durableId="337543018">
    <w:abstractNumId w:val="69"/>
  </w:num>
  <w:num w:numId="37" w16cid:durableId="1100296864">
    <w:abstractNumId w:val="65"/>
  </w:num>
  <w:num w:numId="38" w16cid:durableId="914897613">
    <w:abstractNumId w:val="39"/>
  </w:num>
  <w:num w:numId="39" w16cid:durableId="224530704">
    <w:abstractNumId w:val="31"/>
  </w:num>
  <w:num w:numId="40" w16cid:durableId="1314749513">
    <w:abstractNumId w:val="86"/>
  </w:num>
  <w:num w:numId="41" w16cid:durableId="379549331">
    <w:abstractNumId w:val="49"/>
  </w:num>
  <w:num w:numId="42" w16cid:durableId="720248807">
    <w:abstractNumId w:val="8"/>
  </w:num>
  <w:num w:numId="43" w16cid:durableId="102653483">
    <w:abstractNumId w:val="52"/>
  </w:num>
  <w:num w:numId="44" w16cid:durableId="459029959">
    <w:abstractNumId w:val="30"/>
  </w:num>
  <w:num w:numId="45" w16cid:durableId="1395542626">
    <w:abstractNumId w:val="24"/>
  </w:num>
  <w:num w:numId="46" w16cid:durableId="56169689">
    <w:abstractNumId w:val="72"/>
  </w:num>
  <w:num w:numId="47" w16cid:durableId="2024280730">
    <w:abstractNumId w:val="55"/>
  </w:num>
  <w:num w:numId="48" w16cid:durableId="761560844">
    <w:abstractNumId w:val="51"/>
  </w:num>
  <w:num w:numId="49" w16cid:durableId="1855730355">
    <w:abstractNumId w:val="58"/>
  </w:num>
  <w:num w:numId="50" w16cid:durableId="1572079033">
    <w:abstractNumId w:val="38"/>
  </w:num>
  <w:num w:numId="51" w16cid:durableId="167403674">
    <w:abstractNumId w:val="64"/>
  </w:num>
  <w:num w:numId="52" w16cid:durableId="2031642756">
    <w:abstractNumId w:val="47"/>
  </w:num>
  <w:num w:numId="53" w16cid:durableId="1596480254">
    <w:abstractNumId w:val="14"/>
  </w:num>
  <w:num w:numId="54" w16cid:durableId="1867792200">
    <w:abstractNumId w:val="50"/>
  </w:num>
  <w:num w:numId="55" w16cid:durableId="1042903038">
    <w:abstractNumId w:val="7"/>
  </w:num>
  <w:num w:numId="56" w16cid:durableId="251084122">
    <w:abstractNumId w:val="33"/>
  </w:num>
  <w:num w:numId="57" w16cid:durableId="366417821">
    <w:abstractNumId w:val="88"/>
  </w:num>
  <w:num w:numId="58" w16cid:durableId="2070883614">
    <w:abstractNumId w:val="9"/>
  </w:num>
  <w:num w:numId="59" w16cid:durableId="2074421906">
    <w:abstractNumId w:val="54"/>
  </w:num>
  <w:num w:numId="60" w16cid:durableId="849370144">
    <w:abstractNumId w:val="29"/>
  </w:num>
  <w:num w:numId="61" w16cid:durableId="1092243472">
    <w:abstractNumId w:val="44"/>
  </w:num>
  <w:num w:numId="62" w16cid:durableId="955718876">
    <w:abstractNumId w:val="45"/>
  </w:num>
  <w:num w:numId="63" w16cid:durableId="990255863">
    <w:abstractNumId w:val="43"/>
  </w:num>
  <w:num w:numId="64" w16cid:durableId="564292621">
    <w:abstractNumId w:val="26"/>
  </w:num>
  <w:num w:numId="65" w16cid:durableId="1665664324">
    <w:abstractNumId w:val="67"/>
  </w:num>
  <w:num w:numId="66" w16cid:durableId="8296413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9404619">
    <w:abstractNumId w:val="81"/>
  </w:num>
  <w:num w:numId="68" w16cid:durableId="67776963">
    <w:abstractNumId w:val="35"/>
  </w:num>
  <w:num w:numId="69" w16cid:durableId="1710497362">
    <w:abstractNumId w:val="16"/>
  </w:num>
  <w:num w:numId="70" w16cid:durableId="1360011865">
    <w:abstractNumId w:val="15"/>
  </w:num>
  <w:num w:numId="71" w16cid:durableId="459110750">
    <w:abstractNumId w:val="3"/>
  </w:num>
  <w:num w:numId="72" w16cid:durableId="892887524">
    <w:abstractNumId w:val="70"/>
  </w:num>
  <w:num w:numId="73" w16cid:durableId="745709">
    <w:abstractNumId w:val="2"/>
  </w:num>
  <w:num w:numId="74" w16cid:durableId="1792817354">
    <w:abstractNumId w:val="78"/>
  </w:num>
  <w:num w:numId="75" w16cid:durableId="1835753503">
    <w:abstractNumId w:val="71"/>
  </w:num>
  <w:num w:numId="76" w16cid:durableId="373165477">
    <w:abstractNumId w:val="56"/>
  </w:num>
  <w:num w:numId="77" w16cid:durableId="1279681047">
    <w:abstractNumId w:val="59"/>
  </w:num>
  <w:num w:numId="78" w16cid:durableId="1977951673">
    <w:abstractNumId w:val="0"/>
  </w:num>
  <w:num w:numId="79" w16cid:durableId="338967399">
    <w:abstractNumId w:val="1"/>
  </w:num>
  <w:num w:numId="80" w16cid:durableId="1426532086">
    <w:abstractNumId w:val="10"/>
  </w:num>
  <w:num w:numId="81" w16cid:durableId="171185199">
    <w:abstractNumId w:val="25"/>
  </w:num>
  <w:num w:numId="82" w16cid:durableId="959846051">
    <w:abstractNumId w:val="83"/>
  </w:num>
  <w:num w:numId="83" w16cid:durableId="2028746645">
    <w:abstractNumId w:val="85"/>
  </w:num>
  <w:num w:numId="84" w16cid:durableId="172696022">
    <w:abstractNumId w:val="73"/>
  </w:num>
  <w:num w:numId="85" w16cid:durableId="692918113">
    <w:abstractNumId w:val="27"/>
  </w:num>
  <w:num w:numId="86" w16cid:durableId="403063823">
    <w:abstractNumId w:val="84"/>
  </w:num>
  <w:num w:numId="87" w16cid:durableId="470445062">
    <w:abstractNumId w:val="22"/>
  </w:num>
  <w:num w:numId="88" w16cid:durableId="1033458217">
    <w:abstractNumId w:val="13"/>
  </w:num>
  <w:num w:numId="89" w16cid:durableId="1841312410">
    <w:abstractNumId w:val="17"/>
  </w:num>
  <w:num w:numId="90" w16cid:durableId="1891114893">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9B7"/>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225"/>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D5E25-A53A-4924-ABE1-1FA034954125}">
  <ds:schemaRefs>
    <ds:schemaRef ds:uri="http://schemas.openxmlformats.org/officeDocument/2006/bibliography"/>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92</Pages>
  <Words>33825</Words>
  <Characters>192803</Characters>
  <Application>Microsoft Office Word</Application>
  <DocSecurity>0</DocSecurity>
  <Lines>1606</Lines>
  <Paragraphs>452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8</cp:revision>
  <cp:lastPrinted>1900-12-31T16:00:00Z</cp:lastPrinted>
  <dcterms:created xsi:type="dcterms:W3CDTF">2023-04-25T03:41:00Z</dcterms:created>
  <dcterms:modified xsi:type="dcterms:W3CDTF">2023-04-25T04:04:00Z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