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0FF146E3"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6BC36D14"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FF607A">
        <w:rPr>
          <w:rFonts w:ascii="Arial" w:hAnsi="Arial" w:cs="Arial"/>
          <w:b/>
          <w:bCs/>
          <w:sz w:val="24"/>
          <w:lang w:val="en-US"/>
        </w:rPr>
        <w:t>4</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Report power-class fallback Δ</w:t>
            </w:r>
            <w:proofErr w:type="gramStart"/>
            <w:r>
              <w:rPr>
                <w:rFonts w:eastAsia="Times New Roman"/>
                <w:bCs/>
                <w:lang w:eastAsia="zh-CN"/>
              </w:rPr>
              <w:t>P</w:t>
            </w:r>
            <w:r>
              <w:rPr>
                <w:rFonts w:eastAsia="Times New Roman"/>
                <w:bCs/>
                <w:vertAlign w:val="subscript"/>
                <w:lang w:eastAsia="zh-CN"/>
              </w:rPr>
              <w:t>PowerClass,CA</w:t>
            </w:r>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w:t>
            </w:r>
            <w:proofErr w:type="gramStart"/>
            <w:r>
              <w:rPr>
                <w:rFonts w:eastAsia="Times New Roman"/>
                <w:bCs/>
                <w:lang w:eastAsia="zh-CN"/>
              </w:rPr>
              <w:t>P</w:t>
            </w:r>
            <w:r>
              <w:rPr>
                <w:rFonts w:eastAsia="Times New Roman"/>
                <w:bCs/>
                <w:vertAlign w:val="subscript"/>
                <w:lang w:eastAsia="zh-CN"/>
              </w:rPr>
              <w:t>PowerClass,EN</w:t>
            </w:r>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w:t>
            </w:r>
            <w:proofErr w:type="gramStart"/>
            <w:r w:rsidRPr="00091271">
              <w:rPr>
                <w:rFonts w:eastAsia="宋体"/>
                <w:lang w:val="en-US"/>
              </w:rPr>
              <w:t>So</w:t>
            </w:r>
            <w:proofErr w:type="gramEnd"/>
            <w:r w:rsidRPr="00091271">
              <w:rPr>
                <w:rFonts w:eastAsia="宋体"/>
                <w:lang w:val="en-US"/>
              </w:rPr>
              <w:t xml:space="preserve">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(Spreadtrum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 xml:space="preserve">efault power class, or </w:t>
      </w:r>
      <w:proofErr w:type="gramStart"/>
      <w:r>
        <w:rPr>
          <w:sz w:val="22"/>
          <w:szCs w:val="22"/>
          <w:lang w:val="en-US"/>
        </w:rPr>
        <w:t>P</w:t>
      </w:r>
      <w:r>
        <w:rPr>
          <w:sz w:val="22"/>
          <w:szCs w:val="22"/>
          <w:vertAlign w:val="subscript"/>
          <w:lang w:val="en-US"/>
        </w:rPr>
        <w:t>c,max</w:t>
      </w:r>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considering the following approaches to help UE get a better chance to maintain the </w:t>
      </w:r>
      <w:proofErr w:type="gramStart"/>
      <w:r>
        <w:rPr>
          <w:rFonts w:eastAsia="宋体"/>
          <w:sz w:val="22"/>
          <w:szCs w:val="22"/>
          <w:lang w:val="en-US"/>
        </w:rPr>
        <w:t>high power</w:t>
      </w:r>
      <w:proofErr w:type="gramEnd"/>
      <w:r>
        <w:rPr>
          <w:rFonts w:eastAsia="宋体"/>
          <w:sz w:val="22"/>
          <w:szCs w:val="22"/>
          <w:lang w:val="en-US"/>
        </w:rPr>
        <w:t xml:space="preserve">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Number of symbols or proportion of symbols in the current SAR window that UE assumes to sustain the </w:t>
      </w:r>
      <w:proofErr w:type="gramStart"/>
      <w:r>
        <w:rPr>
          <w:rFonts w:eastAsia="宋体"/>
          <w:sz w:val="22"/>
          <w:szCs w:val="22"/>
          <w:lang w:val="en-US"/>
        </w:rPr>
        <w:t>high power</w:t>
      </w:r>
      <w:proofErr w:type="gramEnd"/>
      <w:r>
        <w:rPr>
          <w:rFonts w:eastAsia="宋体"/>
          <w:sz w:val="22"/>
          <w:szCs w:val="22"/>
          <w:lang w:val="en-US"/>
        </w:rPr>
        <w:t xml:space="preserve">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UE recommended maxUplinkDutyCycle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Power class fallback ΔPPowerClass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w:t>
            </w:r>
            <w:proofErr w:type="gramStart"/>
            <w:r>
              <w:rPr>
                <w:rFonts w:eastAsia="宋体"/>
                <w:lang w:val="en-US"/>
              </w:rPr>
              <w:t>taken into account</w:t>
            </w:r>
            <w:proofErr w:type="gramEnd"/>
            <w:r>
              <w:rPr>
                <w:rFonts w:eastAsia="宋体"/>
                <w:lang w:val="en-US"/>
              </w:rPr>
              <w:t xml:space="preserve">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w:t>
            </w:r>
            <w:proofErr w:type="gramStart"/>
            <w:r w:rsidRPr="00E32218">
              <w:t>P</w:t>
            </w:r>
            <w:r w:rsidRPr="00E32218">
              <w:rPr>
                <w:vertAlign w:val="subscript"/>
              </w:rPr>
              <w:t>PowerClass,CA</w:t>
            </w:r>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r>
              <w:rPr>
                <w:rFonts w:eastAsia="宋体" w:hint="eastAsia"/>
                <w:bCs/>
                <w:lang w:val="en-US" w:eastAsia="zh-CN"/>
              </w:rPr>
              <w:t>S</w:t>
            </w:r>
            <w:r>
              <w:rPr>
                <w:rFonts w:eastAsia="宋体"/>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宋体"/>
                <w:bCs/>
                <w:lang w:val="en-US" w:eastAsia="zh-CN"/>
              </w:rPr>
            </w:pPr>
            <w:r>
              <w:rPr>
                <w:rFonts w:eastAsia="宋体"/>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lastRenderedPageBreak/>
              <w:t>Ericsson</w:t>
            </w:r>
          </w:p>
        </w:tc>
        <w:tc>
          <w:tcPr>
            <w:tcW w:w="7654" w:type="dxa"/>
          </w:tcPr>
          <w:p w14:paraId="0F2B91EC" w14:textId="3B5E429A" w:rsidR="008D1048" w:rsidRPr="008D1048" w:rsidRDefault="008D1048" w:rsidP="008D1048">
            <w:pPr>
              <w:jc w:val="both"/>
              <w:rPr>
                <w:rFonts w:eastAsia="宋体"/>
                <w:lang w:val="en-US"/>
              </w:rPr>
            </w:pPr>
            <w:proofErr w:type="gramStart"/>
            <w:r w:rsidRPr="008D1048">
              <w:rPr>
                <w:rFonts w:eastAsia="宋体"/>
                <w:lang w:val="en-US"/>
              </w:rPr>
              <w:t>Also</w:t>
            </w:r>
            <w:proofErr w:type="gramEnd"/>
            <w:r w:rsidRPr="008D1048">
              <w:rPr>
                <w:rFonts w:eastAsia="宋体"/>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w:t>
            </w:r>
            <w:proofErr w:type="gramStart"/>
            <w:r w:rsidRPr="00E32218">
              <w:t>P</w:t>
            </w:r>
            <w:r w:rsidRPr="00E32218">
              <w:rPr>
                <w:vertAlign w:val="subscript"/>
              </w:rPr>
              <w:t>PowerClass,CA</w:t>
            </w:r>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宋体"/>
                <w:lang w:val="en-US" w:eastAsia="zh-CN"/>
              </w:rPr>
            </w:pPr>
            <w:r>
              <w:rPr>
                <w:rFonts w:eastAsia="宋体"/>
                <w:bCs/>
                <w:lang w:val="en-US" w:eastAsia="zh-CN"/>
              </w:rPr>
              <w:t>Huawei, HiSilicon</w:t>
            </w:r>
          </w:p>
        </w:tc>
        <w:tc>
          <w:tcPr>
            <w:tcW w:w="7654" w:type="dxa"/>
          </w:tcPr>
          <w:p w14:paraId="6525A107" w14:textId="0EFAF53A" w:rsidR="00593811" w:rsidRDefault="00593811" w:rsidP="00593811">
            <w:pPr>
              <w:jc w:val="both"/>
              <w:rPr>
                <w:rFonts w:eastAsia="宋体"/>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PCmax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proofErr w:type="gramStart"/>
            <w:r>
              <w:rPr>
                <w:rFonts w:eastAsia="宋体"/>
                <w:lang w:val="en-US"/>
              </w:rPr>
              <w:t>So</w:t>
            </w:r>
            <w:proofErr w:type="gramEnd"/>
            <w:r>
              <w:rPr>
                <w:rFonts w:eastAsia="宋体"/>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proofErr w:type="gramStart"/>
            <w:r w:rsidR="0083676F" w:rsidRPr="000C69B2">
              <w:rPr>
                <w:i/>
              </w:rPr>
              <w:t>P</w:t>
            </w:r>
            <w:r w:rsidR="0083676F" w:rsidRPr="000C69B2">
              <w:rPr>
                <w:i/>
                <w:vertAlign w:val="subscript"/>
              </w:rPr>
              <w:t>c,max</w:t>
            </w:r>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r>
              <w:rPr>
                <w:rFonts w:eastAsia="宋体" w:hint="eastAsia"/>
                <w:lang w:val="en-US" w:eastAsia="zh-CN"/>
              </w:rPr>
              <w:t>S</w:t>
            </w:r>
            <w:r>
              <w:rPr>
                <w:rFonts w:eastAsia="宋体"/>
                <w:lang w:val="en-US" w:eastAsia="zh-CN"/>
              </w:rPr>
              <w:t>preadtrum</w:t>
            </w:r>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宋体"/>
                <w:lang w:val="en-US" w:eastAsia="zh-CN"/>
              </w:rPr>
            </w:pPr>
            <w:r>
              <w:rPr>
                <w:rFonts w:eastAsia="宋体"/>
                <w:bCs/>
                <w:lang w:val="en-US" w:eastAsia="zh-CN"/>
              </w:rPr>
              <w:t>Huawei, HiSilicon</w:t>
            </w:r>
          </w:p>
        </w:tc>
        <w:tc>
          <w:tcPr>
            <w:tcW w:w="7662" w:type="dxa"/>
          </w:tcPr>
          <w:p w14:paraId="4EBA4305" w14:textId="40F73EB0" w:rsidR="00593811" w:rsidRDefault="00593811" w:rsidP="00593811">
            <w:pPr>
              <w:jc w:val="both"/>
              <w:rPr>
                <w:rFonts w:eastAsia="宋体"/>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lastRenderedPageBreak/>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r>
              <w:rPr>
                <w:rFonts w:eastAsia="宋体"/>
                <w:lang w:val="en-US"/>
              </w:rPr>
              <w:t>Spreadtrum</w:t>
            </w:r>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宋体"/>
                <w:lang w:val="en-US"/>
              </w:rPr>
            </w:pPr>
            <w:r>
              <w:rPr>
                <w:rFonts w:eastAsia="宋体"/>
                <w:lang w:val="en-US"/>
              </w:rPr>
              <w:t>Huawei, HiSilicon</w:t>
            </w:r>
          </w:p>
        </w:tc>
        <w:tc>
          <w:tcPr>
            <w:tcW w:w="7654" w:type="dxa"/>
          </w:tcPr>
          <w:p w14:paraId="3E5D7ACC" w14:textId="122D470C" w:rsidR="00593811" w:rsidRPr="008D1048" w:rsidRDefault="00593811" w:rsidP="00593811">
            <w:pPr>
              <w:jc w:val="both"/>
              <w:rPr>
                <w:rFonts w:eastAsia="宋体"/>
                <w:lang w:val="en-US"/>
              </w:rPr>
            </w:pPr>
            <w:r>
              <w:rPr>
                <w:rFonts w:eastAsia="宋体"/>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prio</w:t>
            </w:r>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prio</w:t>
            </w:r>
          </w:p>
        </w:tc>
        <w:tc>
          <w:tcPr>
            <w:tcW w:w="5511" w:type="dxa"/>
          </w:tcPr>
          <w:p w14:paraId="72A6B78F" w14:textId="0CB29CFD" w:rsidR="008D1048" w:rsidRDefault="008D1048" w:rsidP="008D1048">
            <w:pPr>
              <w:jc w:val="both"/>
              <w:rPr>
                <w:rFonts w:eastAsia="宋体"/>
                <w:lang w:val="en-US"/>
              </w:rPr>
            </w:pPr>
            <w:r>
              <w:rPr>
                <w:rFonts w:eastAsia="宋体"/>
                <w:lang w:val="en-US"/>
              </w:rPr>
              <w:t xml:space="preserve">Our assumption is that the enhancements here target relatively slow changes in power capability in the UE.  In order to minimize the PHR overhead, we are primarily interested in </w:t>
            </w:r>
            <w:proofErr w:type="gramStart"/>
            <w:r>
              <w:rPr>
                <w:rFonts w:eastAsia="宋体"/>
                <w:lang w:val="en-US"/>
              </w:rPr>
              <w:t>event based</w:t>
            </w:r>
            <w:proofErr w:type="gramEnd"/>
            <w:r>
              <w:rPr>
                <w:rFonts w:eastAsia="宋体"/>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81"/>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r w:rsidRPr="002F3BDC">
              <w:rPr>
                <w:rFonts w:eastAsia="宋体"/>
                <w:i/>
                <w:iCs/>
                <w:lang w:val="en-US"/>
              </w:rPr>
              <w:t>ΔPPowerClass</w:t>
            </w:r>
          </w:p>
        </w:tc>
        <w:tc>
          <w:tcPr>
            <w:tcW w:w="3877" w:type="dxa"/>
            <w:gridSpan w:val="2"/>
            <w:vAlign w:val="center"/>
          </w:tcPr>
          <w:p w14:paraId="1EA91F5E" w14:textId="0773D6B5" w:rsidR="00063AC5" w:rsidRDefault="002F3BDC" w:rsidP="00754CC7">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r w:rsidR="00533395" w:rsidRPr="00E93FC0">
              <w:rPr>
                <w:rFonts w:eastAsia="宋体"/>
                <w:lang w:val="en-US"/>
              </w:rPr>
              <w:t>ΔPPowerClass</w:t>
            </w:r>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r w:rsidRPr="00E93FC0">
              <w:rPr>
                <w:rFonts w:eastAsia="宋体"/>
                <w:lang w:val="en-US"/>
              </w:rPr>
              <w:t>Δ</w:t>
            </w:r>
            <w:proofErr w:type="gramStart"/>
            <w:r w:rsidRPr="00E93FC0">
              <w:rPr>
                <w:rFonts w:eastAsia="宋体"/>
                <w:lang w:val="en-US"/>
              </w:rPr>
              <w:t xml:space="preserve">PPowerClass </w:t>
            </w:r>
            <w:r>
              <w:rPr>
                <w:rFonts w:eastAsia="宋体"/>
                <w:lang w:val="en-US"/>
              </w:rPr>
              <w:t>,</w:t>
            </w:r>
            <w:proofErr w:type="gramEnd"/>
            <w:r>
              <w:rPr>
                <w:rFonts w:eastAsia="宋体"/>
                <w:lang w:val="en-US"/>
              </w:rPr>
              <w:t xml:space="preserve"> e.g., codepoint 0 when indicate</w:t>
            </w:r>
            <w:r w:rsidRPr="00E93FC0">
              <w:rPr>
                <w:rFonts w:eastAsia="宋体"/>
                <w:lang w:val="en-US"/>
              </w:rPr>
              <w:t>ΔPPowerClass</w:t>
            </w:r>
            <w:r>
              <w:rPr>
                <w:rFonts w:eastAsia="宋体"/>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宋体"/>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class/ΔPPowerClass</w:t>
            </w:r>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 xml:space="preserve">Parameter: Power class/ΔPPowerClass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宋体"/>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宋体"/>
                <w:lang w:val="en-US"/>
              </w:rPr>
            </w:pPr>
            <w:r w:rsidRPr="00E93FC0">
              <w:rPr>
                <w:rFonts w:eastAsia="宋体"/>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宋体"/>
                <w:lang w:val="en-US"/>
              </w:rPr>
            </w:pPr>
          </w:p>
        </w:tc>
        <w:tc>
          <w:tcPr>
            <w:tcW w:w="755" w:type="dxa"/>
            <w:vAlign w:val="center"/>
          </w:tcPr>
          <w:p w14:paraId="57BB8675" w14:textId="7F453D03"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宋体"/>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宋体"/>
                <w:lang w:val="en-US"/>
              </w:rPr>
            </w:pPr>
          </w:p>
        </w:tc>
        <w:tc>
          <w:tcPr>
            <w:tcW w:w="3839" w:type="dxa"/>
            <w:vMerge/>
            <w:vAlign w:val="center"/>
          </w:tcPr>
          <w:p w14:paraId="2972FA8B" w14:textId="77777777" w:rsidR="009871C3" w:rsidRPr="00EF67C7" w:rsidRDefault="009871C3" w:rsidP="009871C3">
            <w:pPr>
              <w:jc w:val="center"/>
              <w:rPr>
                <w:rFonts w:eastAsia="宋体"/>
                <w:lang w:val="en-US"/>
              </w:rPr>
            </w:pPr>
          </w:p>
        </w:tc>
        <w:tc>
          <w:tcPr>
            <w:tcW w:w="755" w:type="dxa"/>
            <w:vAlign w:val="center"/>
          </w:tcPr>
          <w:p w14:paraId="26226429" w14:textId="75C97EF0"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gramStart"/>
            <w:r>
              <w:rPr>
                <w:lang w:val="en-US" w:eastAsia="zh-CN"/>
              </w:rPr>
              <w:t>Pc,max</w:t>
            </w:r>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宋体"/>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宋体"/>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宋体"/>
                <w:lang w:val="en-US"/>
              </w:rPr>
            </w:pPr>
            <w:r w:rsidRPr="00E93FC0">
              <w:rPr>
                <w:rFonts w:eastAsia="宋体"/>
                <w:lang w:val="en-US"/>
              </w:rPr>
              <w:t xml:space="preserve">Parameter: Power class/ΔPPowerClass </w:t>
            </w:r>
          </w:p>
          <w:p w14:paraId="38AF7241" w14:textId="77777777" w:rsidR="00D11311" w:rsidRDefault="00D11311" w:rsidP="00754CC7">
            <w:pPr>
              <w:jc w:val="both"/>
              <w:rPr>
                <w:rFonts w:eastAsia="宋体"/>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754CC7">
            <w:pPr>
              <w:jc w:val="center"/>
              <w:rPr>
                <w:rFonts w:eastAsia="宋体"/>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宋体"/>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宋体"/>
                <w:lang w:val="en-US"/>
              </w:rPr>
            </w:pPr>
          </w:p>
        </w:tc>
        <w:tc>
          <w:tcPr>
            <w:tcW w:w="3839" w:type="dxa"/>
            <w:vMerge/>
          </w:tcPr>
          <w:p w14:paraId="557C10FC" w14:textId="77777777" w:rsidR="00D11311" w:rsidRPr="00EF67C7" w:rsidRDefault="00D11311" w:rsidP="00754CC7">
            <w:pPr>
              <w:jc w:val="center"/>
              <w:rPr>
                <w:rFonts w:eastAsia="宋体"/>
                <w:lang w:val="en-US"/>
              </w:rPr>
            </w:pPr>
          </w:p>
        </w:tc>
        <w:tc>
          <w:tcPr>
            <w:tcW w:w="755" w:type="dxa"/>
          </w:tcPr>
          <w:p w14:paraId="13A47E2C" w14:textId="77777777" w:rsidR="00D11311" w:rsidRPr="002F3BDC" w:rsidRDefault="00D11311" w:rsidP="00754CC7">
            <w:pPr>
              <w:jc w:val="center"/>
              <w:rPr>
                <w:rFonts w:eastAsia="宋体"/>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宋体"/>
                <w:lang w:val="en-US"/>
              </w:rPr>
            </w:pPr>
            <w:bookmarkStart w:id="4" w:name="_Hlk133239681"/>
            <w:r w:rsidRPr="00223549">
              <w:rPr>
                <w:rFonts w:eastAsia="MS Mincho"/>
                <w:lang w:val="en-US" w:eastAsia="ja-JP"/>
              </w:rPr>
              <w:t xml:space="preserve">The impact of </w:t>
            </w:r>
            <w:r w:rsidRPr="00223549">
              <w:rPr>
                <w:rFonts w:eastAsia="宋体"/>
                <w:lang w:val="en-US"/>
              </w:rPr>
              <w:t xml:space="preserve">Power class or </w:t>
            </w:r>
            <m:oMath>
              <m:r>
                <m:rPr>
                  <m:sty m:val="p"/>
                </m:rPr>
                <w:rPr>
                  <w:rFonts w:ascii="Cambria Math" w:eastAsia="宋体" w:hAnsi="Cambria Math"/>
                  <w:lang w:val="en-US"/>
                </w:rPr>
                <m:t>Δ</m:t>
              </m:r>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PowerClass</m:t>
                  </m:r>
                </m:sub>
              </m:sSub>
            </m:oMath>
            <w:r w:rsidRPr="00223549">
              <w:rPr>
                <w:rFonts w:eastAsia="宋体"/>
                <w:lang w:val="en-US"/>
              </w:rPr>
              <w:t xml:space="preserve"> </w:t>
            </w:r>
            <w:r>
              <w:rPr>
                <w:rFonts w:eastAsia="宋体"/>
                <w:lang w:val="en-US"/>
              </w:rPr>
              <w:t xml:space="preserve">is already reflected in the </w:t>
            </w:r>
            <m:oMath>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CMAX</m:t>
                  </m:r>
                </m:sub>
              </m:sSub>
            </m:oMath>
            <w:r>
              <w:rPr>
                <w:rFonts w:eastAsia="宋体"/>
                <w:lang w:val="en-US"/>
              </w:rPr>
              <w:t>.</w:t>
            </w:r>
          </w:p>
          <w:p w14:paraId="302A2E1D" w14:textId="77777777" w:rsidR="00D11311" w:rsidRDefault="00D11311" w:rsidP="00754CC7">
            <w:pPr>
              <w:jc w:val="both"/>
              <w:rPr>
                <w:rFonts w:eastAsia="宋体"/>
                <w:lang w:val="en-US"/>
              </w:rPr>
            </w:pPr>
            <w:r>
              <w:rPr>
                <w:rFonts w:eastAsia="宋体"/>
                <w:lang w:val="en-US"/>
              </w:rPr>
              <w:t>New trigger events may need to be further discussed.</w:t>
            </w:r>
          </w:p>
          <w:p w14:paraId="5D37E3F4" w14:textId="77777777" w:rsidR="00D11311" w:rsidRPr="00EF67C7" w:rsidRDefault="00D11311" w:rsidP="00754CC7">
            <w:pPr>
              <w:jc w:val="both"/>
              <w:rPr>
                <w:rFonts w:eastAsia="宋体"/>
                <w:lang w:val="en-US"/>
              </w:rPr>
            </w:pPr>
            <w:r>
              <w:rPr>
                <w:rFonts w:eastAsia="宋体"/>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宋体"/>
                <w:lang w:val="en-US"/>
              </w:rPr>
            </w:pPr>
            <w:r>
              <w:rPr>
                <w:rFonts w:eastAsia="宋体"/>
                <w:lang w:eastAsia="zh-CN"/>
              </w:rPr>
              <w:t xml:space="preserve">#3-9: </w:t>
            </w:r>
            <w:r>
              <w:rPr>
                <w:rFonts w:eastAsia="宋体" w:hint="eastAsia"/>
                <w:lang w:eastAsia="zh-CN"/>
              </w:rPr>
              <w:t>O</w:t>
            </w:r>
            <w:r>
              <w:rPr>
                <w:rFonts w:eastAsia="宋体"/>
                <w:lang w:eastAsia="zh-CN"/>
              </w:rPr>
              <w:t>PPO</w:t>
            </w:r>
          </w:p>
        </w:tc>
        <w:tc>
          <w:tcPr>
            <w:tcW w:w="3839" w:type="dxa"/>
            <w:vMerge w:val="restart"/>
          </w:tcPr>
          <w:p w14:paraId="2880B81B" w14:textId="77777777" w:rsidR="00BC0F82" w:rsidRPr="00E93FC0" w:rsidRDefault="00BC0F82" w:rsidP="00BC0F82">
            <w:pPr>
              <w:jc w:val="both"/>
              <w:rPr>
                <w:rFonts w:eastAsia="宋体"/>
                <w:lang w:val="en-US"/>
              </w:rPr>
            </w:pPr>
            <w:r w:rsidRPr="00E93FC0">
              <w:rPr>
                <w:rFonts w:eastAsia="宋体"/>
                <w:lang w:val="en-US"/>
              </w:rPr>
              <w:t xml:space="preserve">Parameter: Power class/ΔPPowerClass </w:t>
            </w:r>
          </w:p>
          <w:p w14:paraId="6D23A1B2" w14:textId="77777777" w:rsidR="00BC0F82" w:rsidRDefault="00BC0F82" w:rsidP="00BC0F82">
            <w:pPr>
              <w:jc w:val="both"/>
              <w:rPr>
                <w:rFonts w:eastAsia="宋体"/>
                <w:lang w:val="en-US"/>
              </w:rPr>
            </w:pPr>
            <w:r w:rsidRPr="000359E8">
              <w:rPr>
                <w:rFonts w:eastAsia="宋体"/>
                <w:lang w:val="en-US"/>
              </w:rPr>
              <w:t xml:space="preserve">Type of report: Reported via PHR. </w:t>
            </w:r>
          </w:p>
          <w:p w14:paraId="776DBFE0" w14:textId="0AFF2B38" w:rsidR="00BC0F82" w:rsidRPr="00EF67C7" w:rsidRDefault="00BC0F82" w:rsidP="00BC0F82">
            <w:pPr>
              <w:jc w:val="both"/>
              <w:rPr>
                <w:rFonts w:eastAsia="宋体"/>
                <w:lang w:val="en-US"/>
              </w:rPr>
            </w:pPr>
            <w:r w:rsidRPr="000359E8">
              <w:rPr>
                <w:rFonts w:eastAsia="宋体"/>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宋体"/>
                <w:lang w:val="en-US"/>
              </w:rPr>
            </w:pPr>
          </w:p>
        </w:tc>
        <w:tc>
          <w:tcPr>
            <w:tcW w:w="3839" w:type="dxa"/>
            <w:vMerge/>
          </w:tcPr>
          <w:p w14:paraId="5CF430DF" w14:textId="77777777" w:rsidR="00BC0F82" w:rsidRPr="00EF67C7" w:rsidRDefault="00BC0F82" w:rsidP="00BC0F82">
            <w:pPr>
              <w:jc w:val="center"/>
              <w:rPr>
                <w:rFonts w:eastAsia="宋体"/>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宋体"/>
                <w:lang w:val="en-US"/>
              </w:rPr>
            </w:pPr>
          </w:p>
        </w:tc>
        <w:tc>
          <w:tcPr>
            <w:tcW w:w="3839" w:type="dxa"/>
          </w:tcPr>
          <w:p w14:paraId="0C588B0D" w14:textId="77777777" w:rsidR="00BC0F82" w:rsidRPr="00EF67C7" w:rsidRDefault="00BC0F82" w:rsidP="00754CC7">
            <w:pPr>
              <w:jc w:val="center"/>
              <w:rPr>
                <w:rFonts w:eastAsia="宋体"/>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81"/>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宋体"/>
                <w:lang w:val="en-US"/>
              </w:rPr>
              <w:t xml:space="preserve">ΔPPowerClass. While it </w:t>
            </w:r>
            <w:proofErr w:type="gramStart"/>
            <w:r>
              <w:rPr>
                <w:rFonts w:eastAsia="宋体"/>
                <w:lang w:val="en-US"/>
              </w:rPr>
              <w:t>seems</w:t>
            </w:r>
            <w:proofErr w:type="gramEnd"/>
            <w:r>
              <w:rPr>
                <w:rFonts w:eastAsia="宋体"/>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宋体"/>
                <w:lang w:val="en-US"/>
              </w:rPr>
              <w:lastRenderedPageBreak/>
              <w:t xml:space="preserve">ΔP_PowerClass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宋体"/>
                <w:lang w:val="en-US"/>
              </w:rPr>
            </w:pPr>
            <w:r>
              <w:rPr>
                <w:rFonts w:eastAsia="宋体"/>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宋体"/>
                <w:lang w:val="en-US"/>
              </w:rPr>
            </w:pPr>
            <w:r>
              <w:rPr>
                <w:rFonts w:eastAsia="宋体"/>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宋体"/>
                <w:lang w:val="en-US"/>
              </w:rPr>
            </w:pPr>
            <w:r>
              <w:rPr>
                <w:rFonts w:eastAsia="宋体"/>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宋体"/>
                <w:lang w:val="en-US"/>
              </w:rPr>
            </w:pPr>
            <w:r>
              <w:rPr>
                <w:rFonts w:eastAsia="宋体"/>
                <w:lang w:val="en-US"/>
              </w:rPr>
              <w:t xml:space="preserve"> Reporting power class directly, instead of indirectly via </w:t>
            </w:r>
            <w:r w:rsidRPr="006D42E6">
              <w:rPr>
                <w:rFonts w:eastAsia="宋体"/>
                <w:lang w:val="en-US"/>
              </w:rPr>
              <w:t>ΔP_PowerClass</w:t>
            </w:r>
            <w:r>
              <w:rPr>
                <w:rFonts w:eastAsia="宋体"/>
                <w:lang w:val="en-US"/>
              </w:rPr>
              <w:t xml:space="preserve">, is more futureproof. Even now, it is unclear how </w:t>
            </w:r>
            <w:r w:rsidRPr="006D42E6">
              <w:rPr>
                <w:rFonts w:eastAsia="宋体"/>
                <w:lang w:val="en-US"/>
              </w:rPr>
              <w:t>ΔP_PowerClass</w:t>
            </w:r>
            <w:r>
              <w:rPr>
                <w:rFonts w:eastAsia="宋体"/>
                <w:lang w:val="en-US"/>
              </w:rPr>
              <w:t xml:space="preserve"> reporting for the power class indication should work when </w:t>
            </w:r>
            <w:r w:rsidRPr="006D42E6">
              <w:rPr>
                <w:rFonts w:eastAsia="宋体"/>
                <w:lang w:val="en-US"/>
              </w:rPr>
              <w:t>ΔP_PowerClass</w:t>
            </w:r>
            <w:r>
              <w:rPr>
                <w:rFonts w:eastAsia="宋体"/>
                <w:lang w:val="en-US"/>
              </w:rPr>
              <w:t xml:space="preserve"> = </w:t>
            </w:r>
            <w:r>
              <w:rPr>
                <w:lang w:eastAsia="zh-CN"/>
              </w:rPr>
              <w:t xml:space="preserve">3dB is applied due to SRS antenna switching with TxD.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宋体"/>
                <w:lang w:val="en-US"/>
              </w:rPr>
            </w:pPr>
            <w:r>
              <w:rPr>
                <w:rFonts w:eastAsia="MS Mincho"/>
                <w:lang w:val="en-US" w:eastAsia="ja-JP"/>
              </w:rPr>
              <w:t xml:space="preserve">We think we can focus on at least the reporting of </w:t>
            </w:r>
            <w:r w:rsidRPr="00E93FC0">
              <w:rPr>
                <w:rFonts w:eastAsia="宋体"/>
                <w:lang w:val="en-US"/>
              </w:rPr>
              <w:t>Power class/ΔPPowerClass</w:t>
            </w:r>
            <w:r>
              <w:rPr>
                <w:rFonts w:eastAsia="宋体"/>
                <w:lang w:val="en-US"/>
              </w:rPr>
              <w:t xml:space="preserve"> given there are a bit </w:t>
            </w:r>
            <w:proofErr w:type="gramStart"/>
            <w:r>
              <w:rPr>
                <w:rFonts w:eastAsia="宋体"/>
                <w:lang w:val="en-US"/>
              </w:rPr>
              <w:t>more interested companies</w:t>
            </w:r>
            <w:proofErr w:type="gramEnd"/>
            <w:r>
              <w:rPr>
                <w:rFonts w:eastAsia="宋体"/>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宋体"/>
                <w:lang w:val="en-US"/>
              </w:rPr>
              <w:t>Power class/ΔPPowerClass</w:t>
            </w:r>
            <w:r>
              <w:rPr>
                <w:rFonts w:eastAsia="宋体"/>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1"/>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宋体"/>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754CC7">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宋体"/>
                <w:lang w:val="en-US"/>
              </w:rPr>
              <w:t>ΔPPowerClass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宋体"/>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宋体"/>
                <w:color w:val="FF0000"/>
                <w:lang w:val="en-US"/>
              </w:rPr>
            </w:pPr>
          </w:p>
        </w:tc>
        <w:tc>
          <w:tcPr>
            <w:tcW w:w="3759" w:type="dxa"/>
            <w:vMerge/>
            <w:vAlign w:val="center"/>
          </w:tcPr>
          <w:p w14:paraId="72A8516A" w14:textId="77777777" w:rsidR="002F3BDC" w:rsidRDefault="002F3BDC" w:rsidP="00754CC7">
            <w:pPr>
              <w:jc w:val="center"/>
              <w:rPr>
                <w:rFonts w:eastAsia="宋体"/>
                <w:color w:val="FF0000"/>
                <w:lang w:val="en-US"/>
              </w:rPr>
            </w:pPr>
          </w:p>
        </w:tc>
        <w:tc>
          <w:tcPr>
            <w:tcW w:w="752" w:type="dxa"/>
            <w:vAlign w:val="center"/>
          </w:tcPr>
          <w:p w14:paraId="3E483C3B" w14:textId="77777777" w:rsidR="002F3BDC" w:rsidRPr="002F3BDC" w:rsidRDefault="002F3BDC" w:rsidP="00754CC7">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gramStart"/>
            <w:r w:rsidRPr="00D74AE5">
              <w:rPr>
                <w:i/>
              </w:rPr>
              <w:t>P</w:t>
            </w:r>
            <w:r w:rsidRPr="00D74AE5">
              <w:rPr>
                <w:i/>
                <w:vertAlign w:val="subscript"/>
              </w:rPr>
              <w:t>c,max</w:t>
            </w:r>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r>
              <w:rPr>
                <w:lang w:val="en-US" w:eastAsia="zh-CN"/>
              </w:rPr>
              <w:t xml:space="preserve">gNB could assume a time duration in which UE would be at high power class, and may be good to gNB’s scheduler. </w:t>
            </w:r>
          </w:p>
          <w:p w14:paraId="2EF78F1A" w14:textId="77777777" w:rsidR="00FF063D" w:rsidRPr="00770DA1" w:rsidRDefault="00FF063D" w:rsidP="00754CC7">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宋体"/>
                <w:lang w:val="en-US" w:eastAsia="zh-CN"/>
              </w:rPr>
              <w:t xml:space="preserve">.  </w:t>
            </w:r>
          </w:p>
          <w:p w14:paraId="4DE1B584" w14:textId="77777777" w:rsidR="00FF063D" w:rsidRPr="0026007A" w:rsidRDefault="00FF063D" w:rsidP="00754CC7">
            <w:pPr>
              <w:jc w:val="both"/>
              <w:rPr>
                <w:rFonts w:eastAsia="宋体"/>
                <w:lang w:val="en-US" w:eastAsia="zh-CN"/>
              </w:rPr>
            </w:pPr>
            <w:r>
              <w:rPr>
                <w:rFonts w:eastAsia="宋体"/>
                <w:lang w:val="en-US" w:eastAsia="zh-CN"/>
              </w:rPr>
              <w:t>Not sure whether this report is really beneficial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宋体"/>
                <w:lang w:val="en-US" w:eastAsia="zh-CN"/>
              </w:rPr>
            </w:pPr>
            <w:r>
              <w:rPr>
                <w:rFonts w:eastAsia="宋体" w:hint="eastAsia"/>
                <w:lang w:val="en-US" w:eastAsia="zh-CN"/>
              </w:rPr>
              <w:t>g</w:t>
            </w:r>
            <w:r>
              <w:rPr>
                <w:rFonts w:eastAsia="宋体"/>
                <w:lang w:val="en-US" w:eastAsia="zh-CN"/>
              </w:rPr>
              <w:t xml:space="preserve">NB </w:t>
            </w:r>
            <w:r>
              <w:rPr>
                <w:rFonts w:eastAsia="宋体" w:hint="eastAsia"/>
                <w:lang w:val="en-US" w:eastAsia="zh-CN"/>
              </w:rPr>
              <w:t>could</w:t>
            </w:r>
            <w:r>
              <w:rPr>
                <w:rFonts w:eastAsia="宋体"/>
                <w:lang w:val="en-US" w:eastAsia="zh-CN"/>
              </w:rPr>
              <w:t xml:space="preserve"> get more information on duration of power class fallback.</w:t>
            </w:r>
          </w:p>
          <w:p w14:paraId="51F0152A" w14:textId="77777777" w:rsidR="000122A6" w:rsidRDefault="000122A6" w:rsidP="000122A6">
            <w:pPr>
              <w:jc w:val="both"/>
              <w:rPr>
                <w:rFonts w:eastAsia="宋体"/>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宋体"/>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宋体"/>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81"/>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class/delta_power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isnt really useful while also saying that time duration of sustainability is too difficult to </w:t>
            </w:r>
            <w:proofErr w:type="gramStart"/>
            <w:r>
              <w:rPr>
                <w:rFonts w:eastAsia="MS Mincho"/>
                <w:lang w:val="en-US" w:eastAsia="ja-JP"/>
              </w:rPr>
              <w:t>take into account</w:t>
            </w:r>
            <w:proofErr w:type="gramEnd"/>
            <w:r>
              <w:rPr>
                <w:rFonts w:eastAsia="MS Mincho"/>
                <w:lang w:val="en-US" w:eastAsia="ja-JP"/>
              </w:rPr>
              <w: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lets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aff1"/>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w:t>
            </w:r>
            <w:proofErr w:type="gramStart"/>
            <w:r>
              <w:rPr>
                <w:rFonts w:eastAsia="MS Mincho"/>
                <w:lang w:val="en-US" w:eastAsia="ja-JP"/>
              </w:rPr>
              <w:t>So</w:t>
            </w:r>
            <w:proofErr w:type="gramEnd"/>
            <w:r>
              <w:rPr>
                <w:rFonts w:eastAsia="MS Mincho"/>
                <w:lang w:val="en-US" w:eastAsia="ja-JP"/>
              </w:rPr>
              <w:t xml:space="preserve">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aff1"/>
        <w:numPr>
          <w:ilvl w:val="0"/>
          <w:numId w:val="81"/>
        </w:numPr>
        <w:jc w:val="both"/>
        <w:rPr>
          <w:sz w:val="22"/>
          <w:szCs w:val="22"/>
          <w:lang w:val="en-US"/>
        </w:rPr>
      </w:pPr>
      <w:r w:rsidRPr="00D17EF4">
        <w:rPr>
          <w:sz w:val="22"/>
          <w:szCs w:val="22"/>
          <w:lang w:val="en-US"/>
        </w:rPr>
        <w:t>reporting of power class/ΔPPowerClass</w:t>
      </w:r>
    </w:p>
    <w:p w14:paraId="6CAF52E2" w14:textId="0E74DCEC" w:rsidR="00D17EF4" w:rsidRPr="00D17EF4" w:rsidRDefault="00D17EF4" w:rsidP="002E49C3">
      <w:pPr>
        <w:pStyle w:val="aff1"/>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aff1"/>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aff1"/>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class/ΔPPowerClass</w:t>
      </w:r>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ΔPPowerClass).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gramStart"/>
      <w:r w:rsidRPr="00D17EF4">
        <w:rPr>
          <w:sz w:val="22"/>
          <w:szCs w:val="22"/>
          <w:lang w:val="en-US"/>
        </w:rPr>
        <w:t>P</w:t>
      </w:r>
      <w:r w:rsidRPr="00D17EF4">
        <w:rPr>
          <w:sz w:val="22"/>
          <w:szCs w:val="22"/>
          <w:vertAlign w:val="subscript"/>
          <w:lang w:val="en-US"/>
        </w:rPr>
        <w:t>c,max</w:t>
      </w:r>
      <w:proofErr w:type="gramEnd"/>
      <w:r w:rsidRPr="00D17EF4">
        <w:rPr>
          <w:sz w:val="22"/>
          <w:szCs w:val="22"/>
          <w:lang w:val="en-US"/>
        </w:rPr>
        <w:t xml:space="preserve"> </w:t>
      </w:r>
    </w:p>
    <w:p w14:paraId="31C2D3C6" w14:textId="6F41EBCD"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w:t>
      </w:r>
      <w:proofErr w:type="gramStart"/>
      <w:r w:rsidRPr="00D17EF4">
        <w:rPr>
          <w:sz w:val="22"/>
          <w:szCs w:val="22"/>
          <w:lang w:val="en-US"/>
        </w:rPr>
        <w:t>P</w:t>
      </w:r>
      <w:r w:rsidRPr="00D17EF4">
        <w:rPr>
          <w:sz w:val="22"/>
          <w:szCs w:val="22"/>
          <w:vertAlign w:val="subscript"/>
          <w:lang w:val="en-US"/>
        </w:rPr>
        <w:t>c,max</w:t>
      </w:r>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aff1"/>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aff1"/>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aff1"/>
        <w:jc w:val="both"/>
        <w:rPr>
          <w:rFonts w:eastAsia="MS Mincho"/>
          <w:sz w:val="22"/>
          <w:szCs w:val="22"/>
          <w:lang w:val="en-US" w:eastAsia="ja-JP"/>
        </w:rPr>
      </w:pPr>
    </w:p>
    <w:p w14:paraId="1E993DC4" w14:textId="5942D6D0" w:rsidR="00D17EF4" w:rsidRPr="00CF7DA0" w:rsidRDefault="00CF7DA0" w:rsidP="00CF7DA0">
      <w:pPr>
        <w:pStyle w:val="aff1"/>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aff1"/>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aff1"/>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aff1"/>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aff1"/>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aff1"/>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aff1"/>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aff1"/>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reporting of ΔPPowerClass</w:t>
      </w:r>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81"/>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宋体"/>
                <w:b w:val="0"/>
                <w:bCs w:val="0"/>
                <w:lang w:val="en-US"/>
              </w:rPr>
            </w:pPr>
            <w:r>
              <w:rPr>
                <w:rFonts w:eastAsia="宋体"/>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Spreadtrum</w:t>
            </w:r>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81"/>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宋体"/>
                <w:b w:val="0"/>
                <w:bCs w:val="0"/>
                <w:lang w:val="en-US"/>
              </w:rPr>
            </w:pPr>
            <w:r>
              <w:rPr>
                <w:rFonts w:eastAsia="宋体"/>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Changes in ΔPPowerClass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Use 2 bits (‘R’ bits for FR1) of PHR to convey ΔPPowerClass and power class fallback, i.e. ‘DPC’ = 00: 0dB; 01: 3dB; 10: 6dB</w:t>
            </w:r>
          </w:p>
          <w:p w14:paraId="33C2EA95"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Considering gNB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aff1"/>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gNB’s DL scheduling. </w:t>
            </w:r>
          </w:p>
          <w:p w14:paraId="7E281D42" w14:textId="77777777" w:rsidR="00CF6A63" w:rsidRDefault="00CF6A63" w:rsidP="00CF6A63">
            <w:pPr>
              <w:rPr>
                <w:lang w:val="en-US" w:eastAsia="zh-CN"/>
              </w:rPr>
            </w:pPr>
            <w:r>
              <w:rPr>
                <w:lang w:val="en-US" w:eastAsia="zh-CN"/>
              </w:rPr>
              <w:t>On the other hand, it is more meaningful for gNB for better future scheduling based on an estimated duration from UE compared to an instant reporting.  So, we also support the proactive enhancement with reporting a duration for the fallback PC/</w:t>
            </w:r>
            <w:r w:rsidRPr="007A781E">
              <w:rPr>
                <w:lang w:val="en-US" w:eastAsia="zh-CN"/>
              </w:rPr>
              <w:t>ΔPPowerClass</w:t>
            </w:r>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According to the discussions so far, none of the alternatives are identified as really useful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r>
              <w:rPr>
                <w:rFonts w:hint="eastAsia"/>
                <w:b/>
                <w:bCs/>
                <w:lang w:val="en-US" w:eastAsia="zh-CN"/>
              </w:rPr>
              <w:t>S</w:t>
            </w:r>
            <w:r>
              <w:rPr>
                <w:b/>
                <w:bCs/>
                <w:lang w:val="en-US" w:eastAsia="zh-CN"/>
              </w:rPr>
              <w:t>preadtrum</w:t>
            </w:r>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81"/>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宋体"/>
                <w:b w:val="0"/>
                <w:bCs w:val="0"/>
                <w:lang w:val="en-US"/>
              </w:rPr>
            </w:pPr>
            <w:r>
              <w:rPr>
                <w:rFonts w:eastAsia="宋体"/>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proofErr w:type="gramStart"/>
            <w:r w:rsidRPr="001B6A9C">
              <w:rPr>
                <w:lang w:val="en-US" w:eastAsia="zh-CN"/>
              </w:rPr>
              <w:t>Spreadtrum(</w:t>
            </w:r>
            <w:proofErr w:type="gramEnd"/>
            <w:r w:rsidRPr="001B6A9C">
              <w:rPr>
                <w:lang w:val="en-US" w:eastAsia="zh-CN"/>
              </w:rPr>
              <w:t>The power backoff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81"/>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宋体"/>
                <w:b w:val="0"/>
                <w:bCs w:val="0"/>
                <w:lang w:val="en-US"/>
              </w:rPr>
            </w:pPr>
            <w:r>
              <w:rPr>
                <w:rFonts w:eastAsia="宋体"/>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Spreadtrum</w:t>
            </w:r>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aff1"/>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r w:rsidRPr="00352A0F">
        <w:rPr>
          <w:b/>
          <w:bCs/>
          <w:sz w:val="22"/>
          <w:szCs w:val="22"/>
          <w:highlight w:val="yellow"/>
          <w:lang w:eastAsia="zh-CN"/>
        </w:rPr>
        <w:t xml:space="preserve"> </w:t>
      </w:r>
    </w:p>
    <w:p w14:paraId="4E328FB8" w14:textId="775D7B95" w:rsidR="00352A0F" w:rsidRPr="00352A0F" w:rsidRDefault="00352A0F" w:rsidP="00B63B07">
      <w:pPr>
        <w:pStyle w:val="aff1"/>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aff1"/>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5439102B" w14:textId="77777777"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Estimated duration over which UE can sustain Pcmax before additional P-MPR is required</w:t>
      </w:r>
    </w:p>
    <w:p w14:paraId="7FAC91DD" w14:textId="77777777" w:rsidR="00352A0F" w:rsidRPr="00352A0F" w:rsidRDefault="00352A0F" w:rsidP="00352A0F">
      <w:pPr>
        <w:pStyle w:val="aff1"/>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22D37ED7" w14:textId="6EB08025" w:rsidR="00B63B07" w:rsidRPr="00352A0F" w:rsidRDefault="00352A0F" w:rsidP="00352A0F">
      <w:pPr>
        <w:pStyle w:val="aff1"/>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aff1"/>
        <w:ind w:left="0"/>
        <w:jc w:val="both"/>
        <w:rPr>
          <w:rFonts w:eastAsia="MS Mincho"/>
          <w:b/>
          <w:bCs/>
          <w:i/>
          <w:iCs/>
          <w:sz w:val="22"/>
          <w:szCs w:val="22"/>
          <w:highlight w:val="yellow"/>
          <w:lang w:val="en-US" w:eastAsia="ja-JP"/>
        </w:rPr>
      </w:pPr>
    </w:p>
    <w:p w14:paraId="0B290CB5" w14:textId="2A74DC14" w:rsidR="00B63B07" w:rsidRPr="00352A0F" w:rsidRDefault="00352A0F" w:rsidP="00B63B07">
      <w:pPr>
        <w:pStyle w:val="aff1"/>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D36F14">
        <w:rPr>
          <w:rFonts w:eastAsia="MS Mincho"/>
          <w:b/>
          <w:bCs/>
          <w:i/>
          <w:iCs/>
          <w:sz w:val="22"/>
          <w:szCs w:val="22"/>
          <w:highlight w:val="yellow"/>
          <w:lang w:val="en-US" w:eastAsia="ja-JP"/>
        </w:rPr>
        <w:t xml:space="preserve">Section 2.1.2 of </w:t>
      </w:r>
      <w:r w:rsidR="00B63B07" w:rsidRPr="00352A0F">
        <w:rPr>
          <w:rFonts w:eastAsia="MS Mincho"/>
          <w:b/>
          <w:bCs/>
          <w:i/>
          <w:iCs/>
          <w:sz w:val="22"/>
          <w:szCs w:val="22"/>
          <w:highlight w:val="yellow"/>
          <w:lang w:val="en-US" w:eastAsia="ja-JP"/>
        </w:rPr>
        <w:t>R1-230392</w:t>
      </w:r>
      <w:r w:rsidR="00D36F14">
        <w:rPr>
          <w:rFonts w:eastAsia="MS Mincho"/>
          <w:b/>
          <w:bCs/>
          <w:i/>
          <w:iCs/>
          <w:sz w:val="22"/>
          <w:szCs w:val="22"/>
          <w:highlight w:val="yellow"/>
          <w:lang w:val="en-US" w:eastAsia="ja-JP"/>
        </w:rPr>
        <w:t>4</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aff1"/>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aff1"/>
        <w:ind w:left="0"/>
        <w:jc w:val="both"/>
        <w:rPr>
          <w:rFonts w:eastAsia="MS Mincho"/>
          <w:sz w:val="22"/>
          <w:szCs w:val="22"/>
          <w:highlight w:val="yellow"/>
          <w:lang w:val="en-US" w:eastAsia="ja-JP"/>
        </w:rPr>
      </w:pPr>
    </w:p>
    <w:p w14:paraId="1D77E8C8" w14:textId="555B36A0" w:rsidR="00352A0F" w:rsidRPr="00352A0F" w:rsidRDefault="00352A0F" w:rsidP="00B63B07">
      <w:pPr>
        <w:pStyle w:val="aff1"/>
        <w:ind w:left="0"/>
        <w:jc w:val="both"/>
        <w:rPr>
          <w:rFonts w:eastAsia="MS Mincho"/>
          <w:sz w:val="22"/>
          <w:szCs w:val="22"/>
          <w:lang w:val="en-US" w:eastAsia="ja-JP"/>
        </w:rPr>
      </w:pPr>
      <w:r w:rsidRPr="00352A0F">
        <w:rPr>
          <w:rFonts w:eastAsia="MS Mincho"/>
          <w:sz w:val="22"/>
          <w:szCs w:val="22"/>
          <w:lang w:val="en-US" w:eastAsia="ja-JP"/>
        </w:rPr>
        <w:t>The above describes the current status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aff1"/>
        <w:ind w:left="0"/>
        <w:jc w:val="both"/>
        <w:rPr>
          <w:rFonts w:eastAsia="MS Mincho"/>
          <w:sz w:val="22"/>
          <w:szCs w:val="22"/>
          <w:lang w:val="en-US" w:eastAsia="ja-JP"/>
        </w:rPr>
      </w:pPr>
    </w:p>
    <w:p w14:paraId="26B552E2" w14:textId="5309353A" w:rsidR="00352A0F" w:rsidRPr="00352A0F" w:rsidRDefault="00352A0F" w:rsidP="00B63B07">
      <w:pPr>
        <w:pStyle w:val="aff1"/>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81"/>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宋体"/>
                <w:b w:val="0"/>
                <w:bCs w:val="0"/>
                <w:lang w:val="en-US"/>
              </w:rPr>
            </w:pPr>
            <w:r>
              <w:rPr>
                <w:rFonts w:eastAsia="宋体"/>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7925BB67" w:rsidR="001F0B1A" w:rsidRPr="00520C3A" w:rsidRDefault="00301C3C" w:rsidP="0082636C">
            <w:pPr>
              <w:jc w:val="center"/>
              <w:rPr>
                <w:rFonts w:eastAsia="MS Mincho"/>
                <w:b/>
                <w:bCs/>
                <w:lang w:val="en-US" w:eastAsia="ja-JP"/>
              </w:rPr>
            </w:pPr>
            <w:r>
              <w:rPr>
                <w:rFonts w:eastAsia="MS Mincho"/>
                <w:b/>
                <w:bCs/>
                <w:lang w:val="en-US" w:eastAsia="ja-JP"/>
              </w:rPr>
              <w:t>Panasonic</w:t>
            </w:r>
          </w:p>
        </w:tc>
        <w:tc>
          <w:tcPr>
            <w:tcW w:w="7716" w:type="dxa"/>
            <w:vAlign w:val="center"/>
          </w:tcPr>
          <w:p w14:paraId="72E9BC16" w14:textId="77777777" w:rsidR="001F0B1A" w:rsidRDefault="00A41947" w:rsidP="0082636C">
            <w:pPr>
              <w:rPr>
                <w:rFonts w:eastAsia="MS Mincho"/>
                <w:lang w:val="en-US" w:eastAsia="ja-JP"/>
              </w:rPr>
            </w:pPr>
            <w:r>
              <w:rPr>
                <w:rFonts w:eastAsia="MS Mincho"/>
                <w:lang w:val="en-US" w:eastAsia="ja-JP"/>
              </w:rPr>
              <w:t xml:space="preserve">Thanks, FL, for </w:t>
            </w:r>
            <w:r w:rsidR="00E41625">
              <w:rPr>
                <w:rFonts w:eastAsia="MS Mincho"/>
                <w:lang w:val="en-US" w:eastAsia="ja-JP"/>
              </w:rPr>
              <w:t>your effort</w:t>
            </w:r>
            <w:r>
              <w:rPr>
                <w:rFonts w:eastAsia="MS Mincho"/>
                <w:lang w:val="en-US" w:eastAsia="ja-JP"/>
              </w:rPr>
              <w:t xml:space="preserve">. </w:t>
            </w:r>
            <w:r w:rsidR="003D411B">
              <w:rPr>
                <w:rFonts w:eastAsia="MS Mincho"/>
                <w:lang w:val="en-US" w:eastAsia="ja-JP"/>
              </w:rPr>
              <w:t xml:space="preserve">We are fine with the proposed observation. </w:t>
            </w:r>
          </w:p>
          <w:p w14:paraId="34D11DE2" w14:textId="624C36B5" w:rsidR="00B459AD" w:rsidRPr="00FF5A84" w:rsidRDefault="00617A6E" w:rsidP="0082636C">
            <w:pPr>
              <w:rPr>
                <w:rFonts w:eastAsia="MS Mincho"/>
                <w:lang w:val="en-US" w:eastAsia="ja-JP"/>
              </w:rPr>
            </w:pPr>
            <w:r>
              <w:rPr>
                <w:rFonts w:eastAsia="MS Mincho"/>
                <w:lang w:val="en-US" w:eastAsia="ja-JP"/>
              </w:rPr>
              <w:t xml:space="preserve">Regarding the wording, we suggest replacing “quantities” by “aspects” </w:t>
            </w:r>
            <w:r w:rsidR="00741CA7">
              <w:rPr>
                <w:rFonts w:eastAsia="MS Mincho"/>
                <w:lang w:val="en-US" w:eastAsia="ja-JP"/>
              </w:rPr>
              <w:t xml:space="preserve">because the list includes solutions for different aspects. </w:t>
            </w:r>
          </w:p>
        </w:tc>
      </w:tr>
      <w:tr w:rsidR="001F0B1A" w14:paraId="363A222B" w14:textId="77777777" w:rsidTr="0082636C">
        <w:trPr>
          <w:trHeight w:val="891"/>
        </w:trPr>
        <w:tc>
          <w:tcPr>
            <w:tcW w:w="1985" w:type="dxa"/>
            <w:vAlign w:val="center"/>
          </w:tcPr>
          <w:p w14:paraId="64ECB1C0" w14:textId="10C8D5BF" w:rsidR="001F0B1A" w:rsidRPr="008A430F" w:rsidRDefault="008A430F" w:rsidP="0082636C">
            <w:pPr>
              <w:jc w:val="center"/>
              <w:rPr>
                <w:rFonts w:hint="eastAsia"/>
                <w:b/>
                <w:bCs/>
                <w:lang w:val="en-US" w:eastAsia="zh-CN"/>
              </w:rPr>
            </w:pPr>
            <w:r>
              <w:rPr>
                <w:rFonts w:hint="eastAsia"/>
                <w:b/>
                <w:bCs/>
                <w:lang w:val="en-US" w:eastAsia="zh-CN"/>
              </w:rPr>
              <w:t>O</w:t>
            </w:r>
            <w:r>
              <w:rPr>
                <w:b/>
                <w:bCs/>
                <w:lang w:val="en-US" w:eastAsia="zh-CN"/>
              </w:rPr>
              <w:t>PPO</w:t>
            </w:r>
          </w:p>
        </w:tc>
        <w:tc>
          <w:tcPr>
            <w:tcW w:w="7716" w:type="dxa"/>
            <w:vAlign w:val="center"/>
          </w:tcPr>
          <w:p w14:paraId="676C064A" w14:textId="299CA0E7" w:rsidR="001F0B1A" w:rsidRPr="008A430F" w:rsidRDefault="008A430F" w:rsidP="008A430F">
            <w:pPr>
              <w:rPr>
                <w:rFonts w:hint="eastAsia"/>
                <w:lang w:val="en-US" w:eastAsia="zh-CN"/>
              </w:rPr>
            </w:pPr>
            <w:r>
              <w:rPr>
                <w:rFonts w:hint="eastAsia"/>
                <w:lang w:val="en-US" w:eastAsia="zh-CN"/>
              </w:rPr>
              <w:t>F</w:t>
            </w:r>
            <w:r>
              <w:rPr>
                <w:lang w:val="en-US" w:eastAsia="zh-CN"/>
              </w:rPr>
              <w:t>ine with the proposal.</w:t>
            </w:r>
          </w:p>
        </w:tc>
      </w:tr>
      <w:tr w:rsidR="008A430F" w14:paraId="19AC23A4" w14:textId="77777777" w:rsidTr="0082636C">
        <w:trPr>
          <w:trHeight w:val="891"/>
        </w:trPr>
        <w:tc>
          <w:tcPr>
            <w:tcW w:w="1985" w:type="dxa"/>
            <w:vAlign w:val="center"/>
          </w:tcPr>
          <w:p w14:paraId="36AF468F" w14:textId="77777777" w:rsidR="008A430F" w:rsidRPr="00520C3A" w:rsidRDefault="008A430F" w:rsidP="0082636C">
            <w:pPr>
              <w:jc w:val="center"/>
              <w:rPr>
                <w:rFonts w:eastAsia="MS Mincho"/>
                <w:b/>
                <w:bCs/>
                <w:lang w:val="en-US" w:eastAsia="ja-JP"/>
              </w:rPr>
            </w:pPr>
          </w:p>
        </w:tc>
        <w:tc>
          <w:tcPr>
            <w:tcW w:w="7716" w:type="dxa"/>
            <w:vAlign w:val="center"/>
          </w:tcPr>
          <w:p w14:paraId="7D329C89" w14:textId="77777777" w:rsidR="008A430F" w:rsidRPr="00FF5A84" w:rsidRDefault="008A430F" w:rsidP="00482E7B">
            <w:pPr>
              <w:rPr>
                <w:rFonts w:eastAsia="MS Mincho"/>
                <w:lang w:val="en-US" w:eastAsia="ja-JP"/>
              </w:rPr>
            </w:pPr>
            <w:bookmarkStart w:id="16" w:name="_GoBack"/>
            <w:bookmarkEnd w:id="16"/>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lastRenderedPageBreak/>
        <w:t>High priority aspects</w:t>
      </w:r>
    </w:p>
    <w:p w14:paraId="5FAF1407" w14:textId="77777777" w:rsidR="00584963" w:rsidRDefault="000933A6">
      <w:pPr>
        <w:pStyle w:val="aff1"/>
        <w:numPr>
          <w:ilvl w:val="1"/>
          <w:numId w:val="6"/>
        </w:numPr>
        <w:jc w:val="both"/>
        <w:rPr>
          <w:color w:val="000000" w:themeColor="text1"/>
          <w:sz w:val="22"/>
          <w:lang w:val="en-US"/>
        </w:rPr>
      </w:pPr>
      <w:bookmarkStart w:id="17" w:name="_Hlk79588713"/>
      <w:r>
        <w:rPr>
          <w:color w:val="000000" w:themeColor="text1"/>
          <w:sz w:val="22"/>
          <w:lang w:val="en-US"/>
        </w:rPr>
        <w:t>Design aspects of FDSS-SE – DMRS</w:t>
      </w:r>
    </w:p>
    <w:bookmarkEnd w:id="17"/>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18" w:name="_Hlk118799445"/>
      <w:r>
        <w:rPr>
          <w:sz w:val="22"/>
          <w:lang w:val="en-US"/>
        </w:rPr>
        <w:t>Design aspects of FDSS w/ SE – DMRS</w:t>
      </w:r>
    </w:p>
    <w:bookmarkEnd w:id="18"/>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lastRenderedPageBreak/>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lastRenderedPageBreak/>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lastRenderedPageBreak/>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lastRenderedPageBreak/>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w:t>
            </w:r>
            <w:r w:rsidRPr="008D1048">
              <w:rPr>
                <w:rFonts w:eastAsia="宋体"/>
                <w:lang w:val="en-US"/>
              </w:rPr>
              <w:lastRenderedPageBreak/>
              <w:t>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 xml:space="preserve">It seems that the intention of alt-2 is to support all possible DMRS extension and generation methods, will these different DMRS extension and generation </w:t>
            </w:r>
            <w:r>
              <w:rPr>
                <w:lang w:val="en-US"/>
              </w:rPr>
              <w:lastRenderedPageBreak/>
              <w:t>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RAN1 can inform 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proofErr w:type="gramStart"/>
            <w:r w:rsidRPr="006D20E8">
              <w:rPr>
                <w:rFonts w:eastAsia="宋体"/>
                <w:lang w:val="en-US"/>
              </w:rPr>
              <w:t>make a decision</w:t>
            </w:r>
            <w:proofErr w:type="gramEnd"/>
            <w:r w:rsidRPr="006D20E8">
              <w:rPr>
                <w:rFonts w:eastAsia="宋体"/>
                <w:lang w:val="en-US"/>
              </w:rPr>
              <w:t xml:space="preserve">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lastRenderedPageBreak/>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lastRenderedPageBreak/>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 xml:space="preserve">Similar comment to QC: </w:t>
            </w:r>
            <w:proofErr w:type="gramStart"/>
            <w:r w:rsidRPr="004A6B82">
              <w:rPr>
                <w:rFonts w:eastAsia="宋体"/>
                <w:lang w:val="en-US"/>
              </w:rPr>
              <w:t>need</w:t>
            </w:r>
            <w:proofErr w:type="gramEnd"/>
            <w:r w:rsidRPr="004A6B82">
              <w:rPr>
                <w:rFonts w:eastAsia="宋体"/>
                <w:lang w:val="en-US"/>
              </w:rPr>
              <w:t xml:space="preserve"> to handle the larger allocations first.  </w:t>
            </w:r>
            <w:proofErr w:type="gramStart"/>
            <w:r w:rsidRPr="004A6B82">
              <w:rPr>
                <w:rFonts w:eastAsia="宋体"/>
                <w:lang w:val="en-US"/>
              </w:rPr>
              <w:t>Also</w:t>
            </w:r>
            <w:proofErr w:type="gramEnd"/>
            <w:r w:rsidRPr="004A6B82">
              <w:rPr>
                <w:rFonts w:eastAsia="宋体"/>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r>
              <w:rPr>
                <w:rFonts w:eastAsia="宋体"/>
                <w:lang w:val="en-US" w:eastAsia="zh-CN"/>
              </w:rPr>
              <w:t>Spreadtrum</w:t>
            </w:r>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r>
              <w:rPr>
                <w:rFonts w:eastAsia="宋体"/>
                <w:lang w:val="en-US" w:eastAsia="zh-CN"/>
              </w:rPr>
              <w:t>Hisilicon</w:t>
            </w:r>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lastRenderedPageBreak/>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4086D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43CB45"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lastRenderedPageBreak/>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lastRenderedPageBreak/>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lastRenderedPageBreak/>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1"/>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754CC7">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754CC7">
            <w:pPr>
              <w:jc w:val="center"/>
              <w:rPr>
                <w:rFonts w:eastAsia="宋体"/>
                <w:b w:val="0"/>
                <w:bCs w:val="0"/>
                <w:lang w:val="en-US"/>
              </w:rPr>
            </w:pPr>
            <w:r>
              <w:rPr>
                <w:rFonts w:eastAsia="宋体"/>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宋体"/>
                <w:color w:val="FF0000"/>
                <w:lang w:val="en-US"/>
              </w:rPr>
            </w:pPr>
          </w:p>
        </w:tc>
        <w:tc>
          <w:tcPr>
            <w:tcW w:w="2977" w:type="dxa"/>
          </w:tcPr>
          <w:p w14:paraId="0482B52D" w14:textId="367B3C95" w:rsidR="007513C8" w:rsidRDefault="007513C8" w:rsidP="00754CC7">
            <w:pPr>
              <w:jc w:val="both"/>
              <w:rPr>
                <w:rFonts w:eastAsia="宋体"/>
                <w:color w:val="FF0000"/>
                <w:lang w:val="en-US"/>
              </w:rPr>
            </w:pPr>
          </w:p>
        </w:tc>
        <w:tc>
          <w:tcPr>
            <w:tcW w:w="4386" w:type="dxa"/>
          </w:tcPr>
          <w:p w14:paraId="256D3883" w14:textId="19ADAAB9" w:rsidR="007513C8" w:rsidRDefault="007513C8" w:rsidP="00754CC7">
            <w:pPr>
              <w:jc w:val="both"/>
              <w:rPr>
                <w:rFonts w:eastAsia="宋体"/>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宋体"/>
                <w:lang w:val="en-US"/>
              </w:rPr>
            </w:pPr>
          </w:p>
        </w:tc>
        <w:tc>
          <w:tcPr>
            <w:tcW w:w="2977" w:type="dxa"/>
          </w:tcPr>
          <w:p w14:paraId="532BB317" w14:textId="359A21F5" w:rsidR="007513C8" w:rsidRPr="0004145F" w:rsidRDefault="007513C8" w:rsidP="00754CC7">
            <w:pPr>
              <w:jc w:val="both"/>
              <w:rPr>
                <w:rFonts w:eastAsia="宋体"/>
                <w:lang w:val="en-US"/>
              </w:rPr>
            </w:pPr>
          </w:p>
        </w:tc>
        <w:tc>
          <w:tcPr>
            <w:tcW w:w="4386" w:type="dxa"/>
          </w:tcPr>
          <w:p w14:paraId="4E825451" w14:textId="77777777" w:rsidR="007513C8" w:rsidRDefault="007513C8" w:rsidP="00754CC7">
            <w:pPr>
              <w:jc w:val="both"/>
              <w:rPr>
                <w:rFonts w:eastAsia="宋体"/>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宋体"/>
                <w:color w:val="FF0000"/>
                <w:lang w:val="en-US"/>
              </w:rPr>
            </w:pPr>
          </w:p>
        </w:tc>
        <w:tc>
          <w:tcPr>
            <w:tcW w:w="2977" w:type="dxa"/>
          </w:tcPr>
          <w:p w14:paraId="4B669E9E" w14:textId="22140410" w:rsidR="007513C8" w:rsidRDefault="007513C8" w:rsidP="00754CC7">
            <w:pPr>
              <w:jc w:val="both"/>
              <w:rPr>
                <w:rFonts w:eastAsia="宋体"/>
                <w:color w:val="FF0000"/>
                <w:lang w:val="en-US"/>
              </w:rPr>
            </w:pPr>
          </w:p>
        </w:tc>
        <w:tc>
          <w:tcPr>
            <w:tcW w:w="4386" w:type="dxa"/>
          </w:tcPr>
          <w:p w14:paraId="3ADFF70E" w14:textId="5676AE92" w:rsidR="007513C8" w:rsidRDefault="007513C8" w:rsidP="00754CC7">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1"/>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754CC7">
            <w:pPr>
              <w:jc w:val="center"/>
              <w:rPr>
                <w:rFonts w:eastAsia="宋体"/>
                <w:b w:val="0"/>
                <w:bCs w:val="0"/>
                <w:lang w:val="en-US"/>
              </w:rPr>
            </w:pPr>
            <w:r>
              <w:rPr>
                <w:rFonts w:eastAsia="宋体"/>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lastRenderedPageBreak/>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aff1"/>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aff1"/>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aff1"/>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aff1"/>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aff1"/>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lastRenderedPageBreak/>
        <w:t>FL’s comments on April 21 (After GTW)</w:t>
      </w:r>
    </w:p>
    <w:p w14:paraId="052ED22C" w14:textId="240DD90E" w:rsidR="006A422D" w:rsidRDefault="006A422D" w:rsidP="005C7348">
      <w:pPr>
        <w:jc w:val="both"/>
        <w:rPr>
          <w:sz w:val="22"/>
          <w:lang w:val="en-US"/>
        </w:rPr>
      </w:pPr>
      <w:r>
        <w:rPr>
          <w:sz w:val="22"/>
          <w:lang w:val="en-US"/>
        </w:rPr>
        <w:t>The following agreement was made online.</w:t>
      </w:r>
    </w:p>
    <w:tbl>
      <w:tblPr>
        <w:tblStyle w:val="afa"/>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If FDSS-SE is supported in Rel-18, DMRS are mapped on PRBs of both inband and extension and gNB can assume that they are filtered using the same Tx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宋体"/>
          <w:color w:val="000000"/>
          <w:sz w:val="22"/>
          <w:szCs w:val="22"/>
          <w:lang w:val="en-US" w:eastAsia="zh-CN"/>
        </w:rPr>
      </w:pPr>
      <w:r w:rsidRPr="00015BC4">
        <w:rPr>
          <w:rFonts w:eastAsia="宋体"/>
          <w:color w:val="000000"/>
          <w:sz w:val="22"/>
          <w:szCs w:val="22"/>
          <w:lang w:val="en-US" w:eastAsia="zh-CN"/>
        </w:rPr>
        <w:t xml:space="preserve">Thanks a lot for all the good comments. </w:t>
      </w:r>
      <w:r w:rsidR="00015BC4">
        <w:rPr>
          <w:rFonts w:eastAsia="宋体"/>
          <w:color w:val="000000"/>
          <w:sz w:val="22"/>
          <w:szCs w:val="22"/>
          <w:lang w:val="en-US" w:eastAsia="zh-CN"/>
        </w:rPr>
        <w:t xml:space="preserve">I think that to move forward we would need further discussions about the FFS. </w:t>
      </w:r>
      <w:r w:rsidR="00A96F9E">
        <w:rPr>
          <w:rFonts w:eastAsia="宋体"/>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宋体"/>
          <w:color w:val="000000"/>
          <w:sz w:val="22"/>
          <w:szCs w:val="22"/>
          <w:lang w:val="en-US" w:eastAsia="zh-CN"/>
        </w:rPr>
        <w:t xml:space="preserve"> </w:t>
      </w:r>
    </w:p>
    <w:p w14:paraId="7F394F56" w14:textId="3D8411D5" w:rsidR="007314E5" w:rsidRDefault="007314E5" w:rsidP="006A422D">
      <w:pPr>
        <w:shd w:val="clear" w:color="auto" w:fill="FFFFFF"/>
        <w:jc w:val="both"/>
        <w:rPr>
          <w:rFonts w:eastAsia="宋体"/>
          <w:color w:val="000000"/>
          <w:sz w:val="22"/>
          <w:szCs w:val="22"/>
          <w:lang w:val="en-US" w:eastAsia="zh-CN"/>
        </w:rPr>
      </w:pPr>
      <w:r>
        <w:rPr>
          <w:rFonts w:eastAsia="宋体"/>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宋体"/>
          <w:color w:val="000000"/>
          <w:sz w:val="22"/>
          <w:szCs w:val="22"/>
          <w:lang w:val="en-US" w:eastAsia="zh-CN"/>
        </w:rPr>
      </w:pPr>
      <w:r>
        <w:rPr>
          <w:rFonts w:eastAsia="宋体"/>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19"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20" w:name="_Ref118905470"/>
      <w:r>
        <w:rPr>
          <w:sz w:val="22"/>
          <w:lang w:val="fr-FR"/>
        </w:rPr>
        <w:t>MPR/PAR reduction techniques – modulation order</w:t>
      </w:r>
      <w:bookmarkEnd w:id="20"/>
    </w:p>
    <w:p w14:paraId="6EB525ED" w14:textId="77777777" w:rsidR="00584963" w:rsidRDefault="000933A6">
      <w:pPr>
        <w:pStyle w:val="aff1"/>
        <w:numPr>
          <w:ilvl w:val="0"/>
          <w:numId w:val="26"/>
        </w:numPr>
        <w:jc w:val="both"/>
        <w:rPr>
          <w:sz w:val="22"/>
          <w:lang w:val="en-US"/>
        </w:rPr>
      </w:pPr>
      <w:bookmarkStart w:id="21" w:name="_Ref118904799"/>
      <w:bookmarkEnd w:id="19"/>
      <w:r>
        <w:rPr>
          <w:sz w:val="22"/>
          <w:lang w:val="en-US"/>
        </w:rPr>
        <w:t xml:space="preserve">Design aspects of FDSS w/ SE – </w:t>
      </w:r>
      <w:bookmarkEnd w:id="21"/>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2" w:name="_Toc415085486"/>
      <w:bookmarkStart w:id="23"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lastRenderedPageBreak/>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lastRenderedPageBreak/>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24"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inband resource, then several legacy operations would be unchanged and </w:t>
      </w:r>
      <w:r>
        <w:rPr>
          <w:rStyle w:val="eop"/>
          <w:bCs/>
          <w:iCs/>
          <w:sz w:val="22"/>
          <w:szCs w:val="22"/>
          <w:lang w:val="en-US"/>
        </w:rPr>
        <w:lastRenderedPageBreak/>
        <w:t>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lastRenderedPageBreak/>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6.7pt" o:ole="">
                  <v:imagedata r:id="rId13" o:title=""/>
                </v:shape>
                <o:OLEObject Type="Embed" ProgID="Equation.DSMT4" ShapeID="_x0000_i1025" DrawAspect="Content" ObjectID="_1743928187" r:id="rId14"/>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5.65pt;height:19.65pt" o:ole="">
                  <v:imagedata r:id="rId15" o:title=""/>
                </v:shape>
                <o:OLEObject Type="Embed" ProgID="Equation.DSMT4" ShapeID="_x0000_i1026" DrawAspect="Content" ObjectID="_1743928188"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pt;height:16.7pt" o:ole="">
                  <v:imagedata r:id="rId13" o:title=""/>
                </v:shape>
                <o:OLEObject Type="Embed" ProgID="Equation.DSMT4" ShapeID="_x0000_i1027" DrawAspect="Content" ObjectID="_1743928189" r:id="rId22"/>
              </w:object>
            </w:r>
            <w:r w:rsidRPr="0043527A">
              <w:rPr>
                <w:rFonts w:eastAsia="宋体"/>
                <w:kern w:val="2"/>
                <w:lang w:val="en-US" w:eastAsia="zh-CN"/>
              </w:rPr>
              <w:t xml:space="preserve"> in PUSCH transmission occasion </w:t>
            </w:r>
            <w:r w:rsidRPr="0043527A">
              <w:rPr>
                <w:rFonts w:eastAsia="宋体"/>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9pt;height:34.15pt" o:ole="">
                        <v:imagedata r:id="rId24" o:title=""/>
                      </v:shape>
                      <o:OLEObject Type="Embed" ProgID="Equation.DSMT4" ShapeID="_x0000_i1028" DrawAspect="Content" ObjectID="_1743928190" r:id="rId25"/>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5.65pt;height:16.7pt" o:ole="">
                        <v:imagedata r:id="rId26" o:title=""/>
                      </v:shape>
                      <o:OLEObject Type="Embed" ProgID="Equation.DSMT4" ShapeID="_x0000_i1029" DrawAspect="Content" ObjectID="_1743928191" r:id="rId27"/>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lastRenderedPageBreak/>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6.45pt;height:16.7pt" o:ole="">
                        <v:imagedata r:id="rId28" o:title=""/>
                      </v:shape>
                      <o:OLEObject Type="Embed" ProgID="Equation.DSMT4" ShapeID="_x0000_i1030" DrawAspect="Content" ObjectID="_1743928192" r:id="rId29"/>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where </w:t>
                  </w:r>
                  <w:r w:rsidRPr="00461EE3">
                    <w:rPr>
                      <w:rFonts w:eastAsia="宋体"/>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5.65pt;height:19.65pt" o:ole="">
                        <v:imagedata r:id="rId15" o:title=""/>
                      </v:shape>
                      <o:OLEObject Type="Embed" ProgID="Equation.DSMT4" ShapeID="_x0000_i1031" DrawAspect="Content" ObjectID="_1743928193" r:id="rId33"/>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15pt;height:16.7pt" o:ole="">
                        <v:imagedata r:id="rId34" o:title=""/>
                      </v:shape>
                      <o:OLEObject Type="Embed" ProgID="Equation.DSMT4" ShapeID="_x0000_i1032" DrawAspect="Content" ObjectID="_1743928194" r:id="rId35"/>
                    </w:object>
                  </w:r>
                  <w:r w:rsidRPr="00461EE3">
                    <w:rPr>
                      <w:rFonts w:eastAsia="宋体"/>
                      <w:kern w:val="2"/>
                      <w:sz w:val="22"/>
                      <w:szCs w:val="22"/>
                      <w:lang w:val="en-US" w:eastAsia="zh-CN"/>
                    </w:rPr>
                    <w:t xml:space="preserve">is a parameter to control the pathloss compensation ratio, </w:t>
                  </w:r>
                  <w:r w:rsidRPr="00461EE3">
                    <w:rPr>
                      <w:rFonts w:eastAsia="宋体"/>
                      <w:kern w:val="2"/>
                      <w:position w:val="-14"/>
                      <w:sz w:val="22"/>
                      <w:szCs w:val="22"/>
                      <w:lang w:val="en-US" w:eastAsia="zh-CN"/>
                    </w:rPr>
                    <w:object w:dxaOrig="1080" w:dyaOrig="380" w14:anchorId="70438BD5">
                      <v:shape id="_x0000_i1033" type="#_x0000_t75" style="width:52.35pt;height:16.7pt" o:ole="">
                        <v:imagedata r:id="rId36" o:title=""/>
                      </v:shape>
                      <o:OLEObject Type="Embed" ProgID="Equation.DSMT4" ShapeID="_x0000_i1033" DrawAspect="Content" ObjectID="_1743928195" r:id="rId37"/>
                    </w:object>
                  </w:r>
                  <w:r w:rsidRPr="00461EE3">
                    <w:rPr>
                      <w:rFonts w:eastAsia="宋体"/>
                      <w:kern w:val="2"/>
                      <w:sz w:val="22"/>
                      <w:szCs w:val="22"/>
                      <w:lang w:val="en-US" w:eastAsia="zh-CN"/>
                    </w:rPr>
                    <w:t xml:space="preserve">is a downlink pathloss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1.15pt;height:19.65pt" o:ole="">
                        <v:imagedata r:id="rId38" o:title=""/>
                      </v:shape>
                      <o:OLEObject Type="Embed" ProgID="Equation.DSMT4" ShapeID="_x0000_i1034" DrawAspect="Content" ObjectID="_1743928196" r:id="rId39"/>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6.1pt;height:34.15pt" o:ole="">
                        <v:imagedata r:id="rId40" o:title=""/>
                      </v:shape>
                      <o:OLEObject Type="Embed" ProgID="Equation.DSMT4" ShapeID="_x0000_i1035" DrawAspect="Content" ObjectID="_1743928197" r:id="rId41"/>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6.7pt;height:18.95pt" o:ole="">
                        <v:imagedata r:id="rId42" o:title=""/>
                      </v:shape>
                      <o:OLEObject Type="Embed" ProgID="Equation.DSMT4" ShapeID="_x0000_i1036" DrawAspect="Content" ObjectID="_1743928198" r:id="rId43"/>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2.25pt;height:18.95pt" o:ole="">
                        <v:imagedata r:id="rId44" o:title=""/>
                      </v:shape>
                      <o:OLEObject Type="Embed" ProgID="Equation.DSMT4" ShapeID="_x0000_i1037" DrawAspect="Content" ObjectID="_1743928199" r:id="rId45"/>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3.35pt;height:38.6pt" o:ole="">
                        <v:imagedata r:id="rId46" o:title=""/>
                      </v:shape>
                      <o:OLEObject Type="Embed" ProgID="Equation.DSMT4" ShapeID="_x0000_i1038" DrawAspect="Content" ObjectID="_1743928200" r:id="rId47"/>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0.85pt;height:27.1pt" o:ole="">
                        <v:imagedata r:id="rId48" o:title=""/>
                      </v:shape>
                      <o:OLEObject Type="Embed" ProgID="Equation.DSMT4" ShapeID="_x0000_i1039" DrawAspect="Content" ObjectID="_1743928201" r:id="rId49"/>
                    </w:object>
                  </w:r>
                  <w:r w:rsidRPr="00461EE3">
                    <w:rPr>
                      <w:rFonts w:eastAsia="宋体"/>
                      <w:kern w:val="2"/>
                      <w:sz w:val="22"/>
                      <w:szCs w:val="22"/>
                      <w:lang w:val="en-US" w:eastAsia="zh-CN"/>
                    </w:rPr>
                    <w:t xml:space="preserve">is the symbol number of the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5.65pt;height:19.65pt" o:ole="">
                        <v:imagedata r:id="rId50" o:title=""/>
                      </v:shape>
                      <o:OLEObject Type="Embed" ProgID="Equation.DSMT4" ShapeID="_x0000_i1040" DrawAspect="Content" ObjectID="_1743928202" r:id="rId51"/>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65pt;height:19.65pt" o:ole="">
                        <v:imagedata r:id="rId52" o:title=""/>
                      </v:shape>
                      <o:OLEObject Type="Embed" ProgID="Equation.DSMT4" ShapeID="_x0000_i1041" DrawAspect="Content" ObjectID="_1743928203" r:id="rId53"/>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6.7pt;height:18.95pt" o:ole="">
                        <v:imagedata r:id="rId54" o:title=""/>
                      </v:shape>
                      <o:OLEObject Type="Embed" ProgID="Equation.DSMT4" ShapeID="_x0000_i1042" DrawAspect="Content" ObjectID="_1743928204" r:id="rId55"/>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6pt;height:16.7pt" o:ole="">
                        <v:imagedata r:id="rId56" o:title=""/>
                      </v:shape>
                      <o:OLEObject Type="Embed" ProgID="Equation.DSMT4" ShapeID="_x0000_i1043" DrawAspect="Content" ObjectID="_1743928205" r:id="rId57"/>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lastRenderedPageBreak/>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5.65pt;height:19.65pt" o:ole="">
            <v:imagedata r:id="rId15" o:title=""/>
          </v:shape>
          <o:OLEObject Type="Embed" ProgID="Equation.DSMT4" ShapeID="_x0000_i1044" DrawAspect="Content" ObjectID="_1743928206"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1"/>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754CC7">
            <w:pPr>
              <w:jc w:val="center"/>
              <w:rPr>
                <w:rFonts w:eastAsia="宋体"/>
                <w:b w:val="0"/>
                <w:bCs w:val="0"/>
                <w:lang w:val="en-US"/>
              </w:rPr>
            </w:pPr>
            <w:r>
              <w:rPr>
                <w:rFonts w:eastAsia="宋体"/>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5.65pt;height:19.65pt" o:ole="">
                  <v:imagedata r:id="rId15" o:title=""/>
                </v:shape>
                <o:OLEObject Type="Embed" ProgID="Equation.DSMT4" ShapeID="_x0000_i1045" DrawAspect="Content" ObjectID="_1743928207"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is able to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e.g. TBS determination, power control, etc, and then to identify how they would change, and </w:t>
            </w:r>
            <w:r>
              <w:rPr>
                <w:rFonts w:eastAsia="MS Mincho"/>
                <w:lang w:val="en-US" w:eastAsia="ja-JP"/>
              </w:rPr>
              <w:lastRenderedPageBreak/>
              <w:t>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5"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6" w:name="_Hlk132999650"/>
      <w:r w:rsidRPr="00671EA3">
        <w:rPr>
          <w:rFonts w:eastAsia="宋体"/>
          <w:color w:val="FF0000"/>
          <w:kern w:val="2"/>
          <w:position w:val="-14"/>
          <w:sz w:val="22"/>
          <w:szCs w:val="22"/>
          <w:highlight w:val="yellow"/>
          <w:lang w:val="en-US" w:eastAsia="zh-CN"/>
        </w:rPr>
        <w:object w:dxaOrig="1120" w:dyaOrig="400" w14:anchorId="7B84BBEC">
          <v:shape id="_x0000_i1046" type="#_x0000_t75" style="width:55.65pt;height:19.65pt" o:ole="">
            <v:imagedata r:id="rId15" o:title=""/>
          </v:shape>
          <o:OLEObject Type="Embed" ProgID="Equation.DSMT4" ShapeID="_x0000_i1046" DrawAspect="Content" ObjectID="_1743928208" r:id="rId60"/>
        </w:object>
      </w:r>
      <w:bookmarkEnd w:id="26"/>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w:t>
      </w:r>
      <w:r>
        <w:rPr>
          <w:sz w:val="22"/>
          <w:szCs w:val="22"/>
          <w:lang w:val="en-US"/>
        </w:rPr>
        <w:lastRenderedPageBreak/>
        <w:t xml:space="preserve">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81"/>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宋体"/>
                <w:b w:val="0"/>
                <w:bCs w:val="0"/>
                <w:lang w:val="en-US"/>
              </w:rPr>
            </w:pPr>
            <w:r>
              <w:rPr>
                <w:rFonts w:eastAsia="宋体"/>
                <w:lang w:val="en-US"/>
              </w:rPr>
              <w:t>Company</w:t>
            </w:r>
          </w:p>
        </w:tc>
        <w:tc>
          <w:tcPr>
            <w:tcW w:w="7662" w:type="dxa"/>
            <w:vAlign w:val="center"/>
          </w:tcPr>
          <w:p w14:paraId="6CA2835D" w14:textId="77777777" w:rsidR="00953CAB" w:rsidRDefault="00953CAB" w:rsidP="00754CC7">
            <w:pPr>
              <w:jc w:val="center"/>
              <w:rPr>
                <w:rFonts w:eastAsia="宋体"/>
                <w:b w:val="0"/>
                <w:bCs w:val="0"/>
                <w:lang w:val="en-US"/>
              </w:rPr>
            </w:pPr>
            <w:r>
              <w:rPr>
                <w:rFonts w:eastAsia="宋体"/>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aff1"/>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aff1"/>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lastRenderedPageBreak/>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81"/>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宋体"/>
                <w:b w:val="0"/>
                <w:bCs w:val="0"/>
                <w:lang w:val="en-US"/>
              </w:rPr>
            </w:pPr>
            <w:r>
              <w:rPr>
                <w:rFonts w:eastAsia="宋体"/>
                <w:lang w:val="en-US"/>
              </w:rPr>
              <w:t>Company</w:t>
            </w:r>
          </w:p>
        </w:tc>
        <w:tc>
          <w:tcPr>
            <w:tcW w:w="7662" w:type="dxa"/>
            <w:vAlign w:val="center"/>
          </w:tcPr>
          <w:p w14:paraId="49584EF4" w14:textId="77777777" w:rsidR="00741D33" w:rsidRDefault="00741D33" w:rsidP="00754CC7">
            <w:pPr>
              <w:jc w:val="center"/>
              <w:rPr>
                <w:rFonts w:eastAsia="宋体"/>
                <w:b w:val="0"/>
                <w:bCs w:val="0"/>
                <w:lang w:val="en-US"/>
              </w:rPr>
            </w:pPr>
            <w:r>
              <w:rPr>
                <w:rFonts w:eastAsia="宋体"/>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r w:rsidR="003A1EF0">
              <w:rPr>
                <w:rFonts w:eastAsia="MS Mincho"/>
                <w:lang w:val="en-US" w:eastAsia="ja-JP"/>
              </w:rPr>
              <w:t>inband</w:t>
            </w:r>
            <w:r>
              <w:rPr>
                <w:rFonts w:eastAsia="MS Mincho"/>
                <w:lang w:val="en-US" w:eastAsia="ja-JP"/>
              </w:rPr>
              <w:t>+extended PRBs should be considered)</w:t>
            </w:r>
          </w:p>
        </w:tc>
      </w:tr>
      <w:tr w:rsidR="00A11A63" w14:paraId="4536CE55" w14:textId="77777777" w:rsidTr="00754CC7">
        <w:trPr>
          <w:trHeight w:val="300"/>
        </w:trPr>
        <w:tc>
          <w:tcPr>
            <w:tcW w:w="1977" w:type="dxa"/>
          </w:tcPr>
          <w:p w14:paraId="0571279E" w14:textId="77777777" w:rsidR="00A11A63" w:rsidRPr="00A64764" w:rsidRDefault="00A11A63" w:rsidP="00A11A63">
            <w:pPr>
              <w:jc w:val="both"/>
              <w:rPr>
                <w:color w:val="FF0000"/>
                <w:lang w:val="en-US" w:eastAsia="zh-CN"/>
              </w:rPr>
            </w:pPr>
          </w:p>
        </w:tc>
        <w:tc>
          <w:tcPr>
            <w:tcW w:w="7662" w:type="dxa"/>
          </w:tcPr>
          <w:p w14:paraId="610984C1" w14:textId="77777777" w:rsidR="00A11A63" w:rsidRPr="00A64764" w:rsidRDefault="00A11A63" w:rsidP="00A11A63">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81"/>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宋体"/>
                <w:b w:val="0"/>
                <w:bCs w:val="0"/>
                <w:lang w:val="en-US"/>
              </w:rPr>
            </w:pPr>
            <w:r>
              <w:rPr>
                <w:rFonts w:eastAsia="宋体"/>
                <w:lang w:val="en-US"/>
              </w:rPr>
              <w:t>Company</w:t>
            </w:r>
          </w:p>
        </w:tc>
        <w:tc>
          <w:tcPr>
            <w:tcW w:w="7662" w:type="dxa"/>
            <w:vAlign w:val="center"/>
          </w:tcPr>
          <w:p w14:paraId="54C024B0" w14:textId="77777777" w:rsidR="00741D33" w:rsidRDefault="00741D33" w:rsidP="00754CC7">
            <w:pPr>
              <w:jc w:val="center"/>
              <w:rPr>
                <w:rFonts w:eastAsia="宋体"/>
                <w:b w:val="0"/>
                <w:bCs w:val="0"/>
                <w:lang w:val="en-US"/>
              </w:rPr>
            </w:pPr>
            <w:r>
              <w:rPr>
                <w:rFonts w:eastAsia="宋体"/>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TBS determination (only inband PRBs among the allocated PRBs should be considered), DMRS/PTRS sequence mapping to resource elements (only inband PRBs among the allocated PRBs should be considered</w:t>
            </w:r>
            <w:r w:rsidR="007C0AD2">
              <w:rPr>
                <w:rFonts w:eastAsia="MS Mincho"/>
                <w:lang w:val="en-US" w:eastAsia="ja-JP"/>
              </w:rPr>
              <w:t xml:space="preserve"> if the sequence length only considers inband</w:t>
            </w:r>
            <w:r>
              <w:rPr>
                <w:rFonts w:eastAsia="MS Mincho"/>
                <w:lang w:val="en-US" w:eastAsia="ja-JP"/>
              </w:rPr>
              <w:t xml:space="preserve">), DFT size </w:t>
            </w:r>
            <w:r w:rsidR="009B30E8">
              <w:rPr>
                <w:rFonts w:eastAsia="MS Mincho"/>
                <w:lang w:val="en-US" w:eastAsia="ja-JP"/>
              </w:rPr>
              <w:t>(</w:t>
            </w:r>
            <w:r>
              <w:rPr>
                <w:rFonts w:eastAsia="MS Mincho"/>
                <w:lang w:val="en-US" w:eastAsia="ja-JP"/>
              </w:rPr>
              <w:t>inband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A11A63" w14:paraId="5C3CCD95" w14:textId="77777777" w:rsidTr="00754CC7">
        <w:trPr>
          <w:trHeight w:val="300"/>
        </w:trPr>
        <w:tc>
          <w:tcPr>
            <w:tcW w:w="1977" w:type="dxa"/>
          </w:tcPr>
          <w:p w14:paraId="40403E81" w14:textId="77777777" w:rsidR="00A11A63" w:rsidRPr="00A64764" w:rsidRDefault="00A11A63" w:rsidP="00A11A63">
            <w:pPr>
              <w:jc w:val="both"/>
              <w:rPr>
                <w:color w:val="FF0000"/>
                <w:lang w:val="en-US" w:eastAsia="zh-CN"/>
              </w:rPr>
            </w:pPr>
          </w:p>
        </w:tc>
        <w:tc>
          <w:tcPr>
            <w:tcW w:w="7662" w:type="dxa"/>
          </w:tcPr>
          <w:p w14:paraId="7BAAA304" w14:textId="77777777" w:rsidR="00A11A63" w:rsidRPr="00A64764" w:rsidRDefault="00A11A63" w:rsidP="00A11A63">
            <w:pPr>
              <w:jc w:val="both"/>
              <w:rPr>
                <w:color w:val="FF0000"/>
                <w:lang w:val="en-US" w:eastAsia="zh-CN"/>
              </w:rPr>
            </w:pPr>
          </w:p>
        </w:tc>
      </w:tr>
    </w:tbl>
    <w:p w14:paraId="23A7B428" w14:textId="465C2FD9" w:rsidR="00741D33" w:rsidRDefault="00741D33" w:rsidP="00741D33">
      <w:pPr>
        <w:jc w:val="both"/>
        <w:rPr>
          <w:sz w:val="22"/>
        </w:rPr>
      </w:pPr>
      <w:r>
        <w:rPr>
          <w:sz w:val="22"/>
        </w:rPr>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5"/>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w:t>
      </w:r>
      <w:r>
        <w:rPr>
          <w:sz w:val="22"/>
          <w:szCs w:val="22"/>
          <w:lang w:val="en-US"/>
        </w:rPr>
        <w:lastRenderedPageBreak/>
        <w:t>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lastRenderedPageBreak/>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w:t>
            </w:r>
            <w:proofErr w:type="gramStart"/>
            <w:r w:rsidRPr="006B67B1">
              <w:rPr>
                <w:rFonts w:eastAsia="宋体"/>
                <w:lang w:val="en-US"/>
              </w:rPr>
              <w:t>needs</w:t>
            </w:r>
            <w:proofErr w:type="gramEnd"/>
            <w:r w:rsidRPr="006B67B1">
              <w:rPr>
                <w:rFonts w:eastAsia="宋体"/>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w:t>
            </w:r>
            <w:proofErr w:type="gramStart"/>
            <w:r w:rsidRPr="001576F2">
              <w:rPr>
                <w:rFonts w:eastAsia="宋体"/>
                <w:lang w:val="en-US"/>
              </w:rPr>
              <w:t>be</w:t>
            </w:r>
            <w:proofErr w:type="gramEnd"/>
            <w:r w:rsidRPr="001576F2">
              <w:rPr>
                <w:rFonts w:eastAsia="宋体"/>
                <w:lang w:val="en-US"/>
              </w:rPr>
              <w:t xml:space="preserv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r>
              <w:rPr>
                <w:rFonts w:eastAsia="宋体"/>
                <w:lang w:val="en-US" w:eastAsia="zh-CN"/>
              </w:rPr>
              <w:t>Hisilicon</w:t>
            </w:r>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w:t>
            </w:r>
            <w:r w:rsidR="00B82EEE">
              <w:rPr>
                <w:rFonts w:eastAsia="宋体"/>
                <w:lang w:val="en-US" w:eastAsia="zh-CN"/>
              </w:rPr>
              <w:lastRenderedPageBreak/>
              <w:t xml:space="preserve">number of scheduled PRBs is 20 PRBs for ¼ SE and around 22 PRBs for 1/9 SE. Therefore, assuming that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lastRenderedPageBreak/>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lastRenderedPageBreak/>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1"/>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754CC7">
            <w:pPr>
              <w:jc w:val="center"/>
              <w:rPr>
                <w:rFonts w:eastAsia="宋体"/>
                <w:b w:val="0"/>
                <w:bCs w:val="0"/>
                <w:lang w:val="en-US"/>
              </w:rPr>
            </w:pPr>
            <w:r>
              <w:rPr>
                <w:rFonts w:eastAsia="宋体"/>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gramStart"/>
            <w:r>
              <w:rPr>
                <w:lang w:val="en-US" w:eastAsia="zh-CN"/>
              </w:rPr>
              <w:t>cant</w:t>
            </w:r>
            <w:proofErr w:type="gramEnd"/>
            <w:r>
              <w:rPr>
                <w:lang w:val="en-US" w:eastAsia="zh-CN"/>
              </w:rPr>
              <w:t xml:space="preserve">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宋体"/>
                <w:lang w:val="en-US" w:eastAsia="zh-CN"/>
              </w:rPr>
            </w:pPr>
            <w:r>
              <w:rPr>
                <w:rFonts w:eastAsia="宋体"/>
                <w:lang w:val="en-US" w:eastAsia="zh-CN"/>
              </w:rPr>
              <w:t xml:space="preserve">We do not see the urgency to conclude on these factors, and </w:t>
            </w:r>
            <w:r w:rsidRPr="00CB2854">
              <w:rPr>
                <w:rFonts w:eastAsia="宋体"/>
                <w:lang w:val="en-US" w:eastAsia="zh-CN"/>
              </w:rPr>
              <w:t xml:space="preserve">this can be determined </w:t>
            </w:r>
            <w:r>
              <w:rPr>
                <w:rFonts w:eastAsia="宋体"/>
                <w:lang w:val="en-US" w:eastAsia="zh-CN"/>
              </w:rPr>
              <w:t>based on the</w:t>
            </w:r>
            <w:r w:rsidRPr="00CB2854">
              <w:rPr>
                <w:rFonts w:eastAsia="宋体"/>
                <w:lang w:val="en-US" w:eastAsia="zh-CN"/>
              </w:rPr>
              <w:t xml:space="preserve"> </w:t>
            </w:r>
            <w:r>
              <w:rPr>
                <w:rFonts w:eastAsia="宋体"/>
                <w:lang w:val="en-US" w:eastAsia="zh-CN"/>
              </w:rPr>
              <w:t xml:space="preserve">further </w:t>
            </w:r>
            <w:r w:rsidRPr="00CB2854">
              <w:rPr>
                <w:rFonts w:eastAsia="宋体"/>
                <w:lang w:val="en-US" w:eastAsia="zh-CN"/>
              </w:rPr>
              <w:t xml:space="preserve">input from </w:t>
            </w:r>
            <w:r>
              <w:rPr>
                <w:rFonts w:eastAsia="宋体"/>
                <w:lang w:val="en-US" w:eastAsia="zh-CN"/>
              </w:rPr>
              <w:t xml:space="preserve">both RAN4 and </w:t>
            </w:r>
            <w:r w:rsidRPr="00CB2854">
              <w:rPr>
                <w:rFonts w:eastAsia="宋体"/>
                <w:lang w:val="en-US" w:eastAsia="zh-CN"/>
              </w:rPr>
              <w:t>RAN1</w:t>
            </w:r>
            <w:r>
              <w:rPr>
                <w:rFonts w:eastAsia="宋体"/>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宋体"/>
                <w:lang w:val="en-US" w:eastAsia="zh-CN"/>
              </w:rPr>
            </w:pPr>
            <w:r>
              <w:rPr>
                <w:rFonts w:eastAsia="宋体"/>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宋体"/>
                <w:lang w:val="en-US" w:eastAsia="zh-CN"/>
              </w:rPr>
            </w:pPr>
            <w:r>
              <w:rPr>
                <w:rFonts w:eastAsia="宋体"/>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宋体"/>
                <w:lang w:val="en-US" w:eastAsia="zh-CN"/>
              </w:rPr>
              <w:t>R1-2302351</w:t>
            </w:r>
          </w:p>
          <w:p w14:paraId="6FE3C3C2" w14:textId="77777777" w:rsidR="00593811" w:rsidRDefault="00593811" w:rsidP="00593811">
            <w:pPr>
              <w:jc w:val="both"/>
              <w:rPr>
                <w:rFonts w:eastAsia="宋体"/>
                <w:lang w:val="en-US" w:eastAsia="zh-CN"/>
              </w:rPr>
            </w:pPr>
            <w:r>
              <w:rPr>
                <w:rFonts w:eastAsia="宋体"/>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宋体"/>
                <w:lang w:val="en-US" w:eastAsia="zh-CN"/>
              </w:rPr>
            </w:pPr>
            <w:r>
              <w:rPr>
                <w:rFonts w:eastAsia="宋体"/>
                <w:lang w:val="en-US" w:eastAsia="zh-CN"/>
              </w:rPr>
              <w:lastRenderedPageBreak/>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宋体"/>
                <w:lang w:val="en-US" w:eastAsia="zh-CN"/>
              </w:rPr>
            </w:pPr>
            <w:r>
              <w:rPr>
                <w:rFonts w:eastAsia="宋体"/>
                <w:lang w:val="en-US" w:eastAsia="zh-CN"/>
              </w:rPr>
              <w:t xml:space="preserve">Additionally, </w:t>
            </w:r>
            <w:r w:rsidR="00593811">
              <w:rPr>
                <w:rFonts w:eastAsia="宋体"/>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宋体"/>
                <w:lang w:val="en-US" w:eastAsia="zh-CN"/>
              </w:rPr>
            </w:pPr>
            <w:r>
              <w:rPr>
                <w:rFonts w:eastAsia="宋体"/>
                <w:lang w:val="en-US" w:eastAsia="zh-CN"/>
              </w:rPr>
              <w:t>Therefore, we don’t agree a WA without 1/9 SE.</w:t>
            </w:r>
          </w:p>
          <w:p w14:paraId="64E68C12" w14:textId="45126A5B" w:rsidR="00593811" w:rsidRDefault="00593811" w:rsidP="00593811">
            <w:pPr>
              <w:jc w:val="both"/>
              <w:rPr>
                <w:rFonts w:eastAsia="宋体"/>
                <w:lang w:val="en-US" w:eastAsia="zh-CN"/>
              </w:rPr>
            </w:pPr>
            <w:r w:rsidRPr="004418DC">
              <w:rPr>
                <w:rFonts w:eastAsia="宋体"/>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4"/>
    <w:p w14:paraId="4BA14FBE" w14:textId="77777777" w:rsidR="00584963" w:rsidRDefault="00584963">
      <w:pPr>
        <w:jc w:val="both"/>
        <w:rPr>
          <w:lang w:val="en-US"/>
        </w:rPr>
      </w:pPr>
    </w:p>
    <w:p w14:paraId="067CFB00" w14:textId="7292FEE8" w:rsidR="00584963" w:rsidRDefault="006A422D">
      <w:pPr>
        <w:pStyle w:val="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lastRenderedPageBreak/>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754CC7">
            <w:pPr>
              <w:jc w:val="center"/>
              <w:rPr>
                <w:rFonts w:eastAsia="宋体"/>
                <w:b w:val="0"/>
                <w:bCs w:val="0"/>
                <w:lang w:val="en-US"/>
              </w:rPr>
            </w:pPr>
            <w:r>
              <w:rPr>
                <w:rFonts w:eastAsia="宋体"/>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w:t>
            </w:r>
            <w:r w:rsidR="00493318">
              <w:rPr>
                <w:lang w:val="en-US" w:eastAsia="zh-CN"/>
              </w:rPr>
              <w:lastRenderedPageBreak/>
              <w:t xml:space="preserve">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lastRenderedPageBreak/>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宋体"/>
                <w:b w:val="0"/>
                <w:bCs w:val="0"/>
                <w:lang w:val="en-US"/>
              </w:rPr>
            </w:pPr>
            <w:r>
              <w:rPr>
                <w:rFonts w:eastAsia="宋体"/>
                <w:lang w:val="en-US"/>
              </w:rPr>
              <w:t>Company</w:t>
            </w:r>
          </w:p>
        </w:tc>
        <w:tc>
          <w:tcPr>
            <w:tcW w:w="7662" w:type="dxa"/>
            <w:vAlign w:val="center"/>
          </w:tcPr>
          <w:p w14:paraId="51AF3B41" w14:textId="77777777" w:rsidR="004B3FBD" w:rsidRDefault="004B3FBD" w:rsidP="00754CC7">
            <w:pPr>
              <w:jc w:val="center"/>
              <w:rPr>
                <w:rFonts w:eastAsia="宋体"/>
                <w:b w:val="0"/>
                <w:bCs w:val="0"/>
                <w:lang w:val="en-US"/>
              </w:rPr>
            </w:pPr>
            <w:r>
              <w:rPr>
                <w:rFonts w:eastAsia="宋体"/>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lastRenderedPageBreak/>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7" w:name="_Hlk132122502"/>
            <w:r>
              <w:rPr>
                <w:rFonts w:eastAsia="Microsoft YaHei UI" w:cs="Times"/>
                <w:color w:val="000000"/>
                <w:lang w:val="en-US"/>
              </w:rPr>
              <w:t>where extension factor (α) is given by spectrum extension size / Total allocation size.</w:t>
            </w:r>
            <w:bookmarkEnd w:id="27"/>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lastRenderedPageBreak/>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8" w:name="_Hlk132121304"/>
                  <w:r>
                    <w:rPr>
                      <w:lang w:val="en-US" w:eastAsia="ja-JP"/>
                    </w:rPr>
                    <w:t>Extension factor [FDSS-SE] / sideband size [TR] (α)</w:t>
                  </w:r>
                  <w:bookmarkEnd w:id="28"/>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lastRenderedPageBreak/>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2"/>
    <w:bookmarkEnd w:id="23"/>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宋体"/>
          <w:color w:val="FF0000"/>
          <w:kern w:val="2"/>
          <w:position w:val="-14"/>
          <w:sz w:val="22"/>
          <w:szCs w:val="22"/>
          <w:lang w:val="en-US" w:eastAsia="zh-CN"/>
        </w:rPr>
        <w:object w:dxaOrig="1120" w:dyaOrig="400" w14:anchorId="6277AF0C">
          <v:shape id="_x0000_i1047" type="#_x0000_t75" style="width:55.65pt;height:19.65pt" o:ole="">
            <v:imagedata r:id="rId15" o:title=""/>
          </v:shape>
          <o:OLEObject Type="Embed" ProgID="Equation.DSMT4" ShapeID="_x0000_i1047" DrawAspect="Content" ObjectID="_1743928209"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9"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9"/>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30" w:name="_Hlk132128087"/>
      <w:bookmarkStart w:id="31"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32"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lastRenderedPageBreak/>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30"/>
    </w:p>
    <w:bookmarkEnd w:id="31"/>
    <w:p w14:paraId="42E22DAC" w14:textId="77777777" w:rsidR="00584963" w:rsidRDefault="00584963">
      <w:pPr>
        <w:pStyle w:val="aff1"/>
        <w:spacing w:after="0"/>
        <w:ind w:left="360"/>
        <w:rPr>
          <w:sz w:val="22"/>
          <w:szCs w:val="22"/>
          <w:lang w:val="en-US"/>
        </w:rPr>
      </w:pPr>
    </w:p>
    <w:bookmarkEnd w:id="32"/>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w:t>
            </w:r>
            <w:proofErr w:type="gramStart"/>
            <w:r>
              <w:rPr>
                <w:rFonts w:eastAsia="宋体"/>
                <w:i/>
                <w:iCs/>
                <w:lang w:eastAsia="zh-CN"/>
              </w:rPr>
              <w:t>taking into account</w:t>
            </w:r>
            <w:proofErr w:type="gramEnd"/>
            <w:r>
              <w:rPr>
                <w:rFonts w:eastAsia="宋体"/>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lastRenderedPageBreak/>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 xml:space="preserve">efault power class, or </w:t>
            </w:r>
            <w:proofErr w:type="gramStart"/>
            <w:r>
              <w:rPr>
                <w:i/>
              </w:rPr>
              <w:t>P</w:t>
            </w:r>
            <w:r>
              <w:rPr>
                <w:i/>
                <w:vertAlign w:val="subscript"/>
              </w:rPr>
              <w:t>c,max</w:t>
            </w:r>
            <w:proofErr w:type="gramEnd"/>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lastRenderedPageBreak/>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 xml:space="preserve">Consider the following approaches to help UE get a better chance to maintain the </w:t>
            </w:r>
            <w:proofErr w:type="gramStart"/>
            <w:r>
              <w:rPr>
                <w:rFonts w:eastAsia="宋体"/>
                <w:bCs/>
                <w:i/>
              </w:rPr>
              <w:t>high Power</w:t>
            </w:r>
            <w:proofErr w:type="gramEnd"/>
            <w:r>
              <w:rPr>
                <w:rFonts w:eastAsia="宋体"/>
                <w:bCs/>
                <w:i/>
              </w:rPr>
              <w:t xml:space="preserve">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Number of symbols or proportion of symbols in the current SAR window that UE assumes to sustain the </w:t>
            </w:r>
            <w:proofErr w:type="gramStart"/>
            <w:r>
              <w:rPr>
                <w:rFonts w:eastAsia="宋体"/>
                <w:bCs/>
                <w:i/>
              </w:rPr>
              <w:t>high power</w:t>
            </w:r>
            <w:proofErr w:type="gramEnd"/>
            <w:r>
              <w:rPr>
                <w:rFonts w:eastAsia="宋体"/>
                <w:bCs/>
                <w:i/>
              </w:rPr>
              <w:t xml:space="preserve">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lastRenderedPageBreak/>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lastRenderedPageBreak/>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3"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33"/>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lastRenderedPageBreak/>
              <w:t>R1-2302351 Huawei/HiSi</w:t>
            </w:r>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lastRenderedPageBreak/>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lastRenderedPageBreak/>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lastRenderedPageBreak/>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lastRenderedPageBreak/>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bookmarkStart w:id="34" w:name="_Hlk133243035"/>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bookmarkEnd w:id="34"/>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lastRenderedPageBreak/>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lastRenderedPageBreak/>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lastRenderedPageBreak/>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lastRenderedPageBreak/>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D0F14" w14:textId="77777777" w:rsidR="00A453C7" w:rsidRDefault="00A453C7">
      <w:pPr>
        <w:spacing w:after="0"/>
      </w:pPr>
      <w:r>
        <w:separator/>
      </w:r>
    </w:p>
  </w:endnote>
  <w:endnote w:type="continuationSeparator" w:id="0">
    <w:p w14:paraId="5D670C82" w14:textId="77777777" w:rsidR="00A453C7" w:rsidRDefault="00A453C7">
      <w:pPr>
        <w:spacing w:after="0"/>
      </w:pPr>
      <w:r>
        <w:continuationSeparator/>
      </w:r>
    </w:p>
  </w:endnote>
  <w:endnote w:type="continuationNotice" w:id="1">
    <w:p w14:paraId="21A4BC22" w14:textId="77777777" w:rsidR="00A453C7" w:rsidRDefault="00A453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7025" w14:textId="77777777" w:rsidR="00A453C7" w:rsidRDefault="00A453C7">
      <w:pPr>
        <w:spacing w:after="0"/>
      </w:pPr>
      <w:r>
        <w:separator/>
      </w:r>
    </w:p>
  </w:footnote>
  <w:footnote w:type="continuationSeparator" w:id="0">
    <w:p w14:paraId="1CD38023" w14:textId="77777777" w:rsidR="00A453C7" w:rsidRDefault="00A453C7">
      <w:pPr>
        <w:spacing w:after="0"/>
      </w:pPr>
      <w:r>
        <w:continuationSeparator/>
      </w:r>
    </w:p>
  </w:footnote>
  <w:footnote w:type="continuationNotice" w:id="1">
    <w:p w14:paraId="63E35EA6" w14:textId="77777777" w:rsidR="00A453C7" w:rsidRDefault="00A453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1B6A9C" w:rsidRDefault="001B6A9C">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7"/>
  </w:num>
  <w:num w:numId="3">
    <w:abstractNumId w:val="36"/>
  </w:num>
  <w:num w:numId="4">
    <w:abstractNumId w:val="21"/>
  </w:num>
  <w:num w:numId="5">
    <w:abstractNumId w:val="6"/>
  </w:num>
  <w:num w:numId="6">
    <w:abstractNumId w:val="28"/>
  </w:num>
  <w:num w:numId="7">
    <w:abstractNumId w:val="34"/>
  </w:num>
  <w:num w:numId="8">
    <w:abstractNumId w:val="18"/>
  </w:num>
  <w:num w:numId="9">
    <w:abstractNumId w:val="62"/>
  </w:num>
  <w:num w:numId="10">
    <w:abstractNumId w:val="77"/>
  </w:num>
  <w:num w:numId="11">
    <w:abstractNumId w:val="60"/>
  </w:num>
  <w:num w:numId="12">
    <w:abstractNumId w:val="5"/>
  </w:num>
  <w:num w:numId="13">
    <w:abstractNumId w:val="63"/>
  </w:num>
  <w:num w:numId="14">
    <w:abstractNumId w:val="37"/>
  </w:num>
  <w:num w:numId="15">
    <w:abstractNumId w:val="12"/>
  </w:num>
  <w:num w:numId="16">
    <w:abstractNumId w:val="4"/>
  </w:num>
  <w:num w:numId="17">
    <w:abstractNumId w:val="89"/>
  </w:num>
  <w:num w:numId="18">
    <w:abstractNumId w:val="20"/>
  </w:num>
  <w:num w:numId="19">
    <w:abstractNumId w:val="41"/>
  </w:num>
  <w:num w:numId="20">
    <w:abstractNumId w:val="61"/>
  </w:num>
  <w:num w:numId="21">
    <w:abstractNumId w:val="19"/>
  </w:num>
  <w:num w:numId="22">
    <w:abstractNumId w:val="87"/>
  </w:num>
  <w:num w:numId="23">
    <w:abstractNumId w:val="75"/>
  </w:num>
  <w:num w:numId="24">
    <w:abstractNumId w:val="66"/>
  </w:num>
  <w:num w:numId="25">
    <w:abstractNumId w:val="46"/>
  </w:num>
  <w:num w:numId="26">
    <w:abstractNumId w:val="76"/>
  </w:num>
  <w:num w:numId="27">
    <w:abstractNumId w:val="53"/>
  </w:num>
  <w:num w:numId="28">
    <w:abstractNumId w:val="23"/>
  </w:num>
  <w:num w:numId="29">
    <w:abstractNumId w:val="32"/>
  </w:num>
  <w:num w:numId="30">
    <w:abstractNumId w:val="68"/>
  </w:num>
  <w:num w:numId="31">
    <w:abstractNumId w:val="79"/>
  </w:num>
  <w:num w:numId="32">
    <w:abstractNumId w:val="11"/>
  </w:num>
  <w:num w:numId="33">
    <w:abstractNumId w:val="82"/>
  </w:num>
  <w:num w:numId="34">
    <w:abstractNumId w:val="40"/>
  </w:num>
  <w:num w:numId="35">
    <w:abstractNumId w:val="48"/>
  </w:num>
  <w:num w:numId="36">
    <w:abstractNumId w:val="69"/>
  </w:num>
  <w:num w:numId="37">
    <w:abstractNumId w:val="65"/>
  </w:num>
  <w:num w:numId="38">
    <w:abstractNumId w:val="39"/>
  </w:num>
  <w:num w:numId="39">
    <w:abstractNumId w:val="31"/>
  </w:num>
  <w:num w:numId="40">
    <w:abstractNumId w:val="86"/>
  </w:num>
  <w:num w:numId="41">
    <w:abstractNumId w:val="49"/>
  </w:num>
  <w:num w:numId="42">
    <w:abstractNumId w:val="8"/>
  </w:num>
  <w:num w:numId="43">
    <w:abstractNumId w:val="52"/>
  </w:num>
  <w:num w:numId="44">
    <w:abstractNumId w:val="30"/>
  </w:num>
  <w:num w:numId="45">
    <w:abstractNumId w:val="24"/>
  </w:num>
  <w:num w:numId="46">
    <w:abstractNumId w:val="72"/>
  </w:num>
  <w:num w:numId="47">
    <w:abstractNumId w:val="55"/>
  </w:num>
  <w:num w:numId="48">
    <w:abstractNumId w:val="51"/>
  </w:num>
  <w:num w:numId="49">
    <w:abstractNumId w:val="58"/>
  </w:num>
  <w:num w:numId="50">
    <w:abstractNumId w:val="38"/>
  </w:num>
  <w:num w:numId="51">
    <w:abstractNumId w:val="64"/>
  </w:num>
  <w:num w:numId="52">
    <w:abstractNumId w:val="47"/>
  </w:num>
  <w:num w:numId="53">
    <w:abstractNumId w:val="14"/>
  </w:num>
  <w:num w:numId="54">
    <w:abstractNumId w:val="50"/>
  </w:num>
  <w:num w:numId="55">
    <w:abstractNumId w:val="7"/>
  </w:num>
  <w:num w:numId="56">
    <w:abstractNumId w:val="33"/>
  </w:num>
  <w:num w:numId="57">
    <w:abstractNumId w:val="88"/>
  </w:num>
  <w:num w:numId="58">
    <w:abstractNumId w:val="9"/>
  </w:num>
  <w:num w:numId="59">
    <w:abstractNumId w:val="54"/>
  </w:num>
  <w:num w:numId="60">
    <w:abstractNumId w:val="29"/>
  </w:num>
  <w:num w:numId="61">
    <w:abstractNumId w:val="44"/>
  </w:num>
  <w:num w:numId="62">
    <w:abstractNumId w:val="45"/>
  </w:num>
  <w:num w:numId="63">
    <w:abstractNumId w:val="43"/>
  </w:num>
  <w:num w:numId="64">
    <w:abstractNumId w:val="26"/>
  </w:num>
  <w:num w:numId="65">
    <w:abstractNumId w:val="67"/>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35"/>
  </w:num>
  <w:num w:numId="69">
    <w:abstractNumId w:val="16"/>
  </w:num>
  <w:num w:numId="70">
    <w:abstractNumId w:val="15"/>
  </w:num>
  <w:num w:numId="71">
    <w:abstractNumId w:val="3"/>
  </w:num>
  <w:num w:numId="72">
    <w:abstractNumId w:val="70"/>
  </w:num>
  <w:num w:numId="73">
    <w:abstractNumId w:val="2"/>
  </w:num>
  <w:num w:numId="74">
    <w:abstractNumId w:val="78"/>
  </w:num>
  <w:num w:numId="75">
    <w:abstractNumId w:val="71"/>
  </w:num>
  <w:num w:numId="76">
    <w:abstractNumId w:val="56"/>
  </w:num>
  <w:num w:numId="77">
    <w:abstractNumId w:val="59"/>
  </w:num>
  <w:num w:numId="78">
    <w:abstractNumId w:val="0"/>
  </w:num>
  <w:num w:numId="79">
    <w:abstractNumId w:val="1"/>
  </w:num>
  <w:num w:numId="80">
    <w:abstractNumId w:val="10"/>
  </w:num>
  <w:num w:numId="81">
    <w:abstractNumId w:val="25"/>
  </w:num>
  <w:num w:numId="82">
    <w:abstractNumId w:val="83"/>
  </w:num>
  <w:num w:numId="83">
    <w:abstractNumId w:val="85"/>
  </w:num>
  <w:num w:numId="84">
    <w:abstractNumId w:val="73"/>
  </w:num>
  <w:num w:numId="85">
    <w:abstractNumId w:val="27"/>
  </w:num>
  <w:num w:numId="86">
    <w:abstractNumId w:val="84"/>
  </w:num>
  <w:num w:numId="87">
    <w:abstractNumId w:val="22"/>
  </w:num>
  <w:num w:numId="88">
    <w:abstractNumId w:val="13"/>
  </w:num>
  <w:num w:numId="89">
    <w:abstractNumId w:val="17"/>
  </w:num>
  <w:num w:numId="90">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37FA"/>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1C3C"/>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1B"/>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2E7B"/>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17A6E"/>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5EE0"/>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086"/>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CA7"/>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0F"/>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947"/>
    <w:rsid w:val="00A41BF6"/>
    <w:rsid w:val="00A41DB5"/>
    <w:rsid w:val="00A41EF8"/>
    <w:rsid w:val="00A42643"/>
    <w:rsid w:val="00A42751"/>
    <w:rsid w:val="00A42D05"/>
    <w:rsid w:val="00A43141"/>
    <w:rsid w:val="00A453C7"/>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9AD"/>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A7D86"/>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9FC"/>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6F14"/>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625"/>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26F0"/>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07A"/>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C4AD5E25-A53A-4924-ABE1-1FA03495412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92</Pages>
  <Words>33488</Words>
  <Characters>190885</Characters>
  <Application>Microsoft Office Word</Application>
  <DocSecurity>0</DocSecurity>
  <Lines>1590</Lines>
  <Paragraphs>447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崔胜江</cp:lastModifiedBy>
  <cp:revision>7</cp:revision>
  <cp:lastPrinted>1900-12-31T16:00:00Z</cp:lastPrinted>
  <dcterms:created xsi:type="dcterms:W3CDTF">2023-04-25T03:04:00Z</dcterms:created>
  <dcterms:modified xsi:type="dcterms:W3CDTF">2023-04-25T03:33:00Z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