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2DC49B5F"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B60B2B">
        <w:rPr>
          <w:rFonts w:ascii="Arial" w:hAnsi="Arial" w:cs="Arial"/>
          <w:b/>
          <w:bCs/>
          <w:sz w:val="24"/>
          <w:lang w:val="en-US"/>
        </w:rPr>
        <w:t>3</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Report power-class fallback ΔP</w:t>
            </w:r>
            <w:r>
              <w:rPr>
                <w:rFonts w:eastAsia="Times New Roman"/>
                <w:bCs/>
                <w:vertAlign w:val="subscript"/>
                <w:lang w:eastAsia="zh-CN"/>
              </w:rPr>
              <w:t>PowerClass,CA</w:t>
            </w:r>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class, or P</w:t>
      </w:r>
      <w:r>
        <w:rPr>
          <w:sz w:val="22"/>
          <w:szCs w:val="22"/>
          <w:vertAlign w:val="subscript"/>
          <w:lang w:val="en-US"/>
        </w:rPr>
        <w:t>c,max</w:t>
      </w:r>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UE recommended maxUplinkDutyCycle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Power class fallback ΔPPowerClass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r w:rsidRPr="00E32218">
              <w:t>ΔP</w:t>
            </w:r>
            <w:r>
              <w:rPr>
                <w:vertAlign w:val="subscript"/>
              </w:rPr>
              <w:t>PowerClass</w:t>
            </w:r>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Huawei, HiSilicon</w:t>
            </w:r>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r w:rsidRPr="009E53CB">
              <w:rPr>
                <w:sz w:val="22"/>
                <w:szCs w:val="22"/>
                <w:lang w:val="en-US"/>
              </w:rPr>
              <w:t>ΔPPowerClass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Huawei, HiSilicon</w:t>
            </w:r>
          </w:p>
        </w:tc>
        <w:tc>
          <w:tcPr>
            <w:tcW w:w="7654" w:type="dxa"/>
          </w:tcPr>
          <w:p w14:paraId="6525A107" w14:textId="0EFAF53A" w:rsidR="00593811" w:rsidRDefault="00593811" w:rsidP="00593811">
            <w:pPr>
              <w:jc w:val="both"/>
              <w:rPr>
                <w:rFonts w:eastAsia="SimSun"/>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PCmax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tx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r w:rsidR="0083676F">
              <w:rPr>
                <w:lang w:val="en-US" w:eastAsia="zh-CN"/>
              </w:rPr>
              <w:t>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r w:rsidR="0083676F" w:rsidRPr="00640670">
              <w:rPr>
                <w:rFonts w:eastAsia="Times New Roman"/>
                <w:bCs/>
                <w:lang w:eastAsia="zh-CN"/>
              </w:rPr>
              <w:t>P</w:t>
            </w:r>
            <w:r w:rsidR="0083676F" w:rsidRPr="00640670">
              <w:rPr>
                <w:rFonts w:eastAsia="Times New Roman"/>
                <w:bCs/>
                <w:vertAlign w:val="subscript"/>
                <w:lang w:eastAsia="zh-CN"/>
              </w:rPr>
              <w:t>PowerClass</w:t>
            </w:r>
            <w:r w:rsidR="0083676F">
              <w:rPr>
                <w:rFonts w:eastAsia="Times New Roman"/>
                <w:bCs/>
                <w:lang w:eastAsia="zh-CN"/>
              </w:rPr>
              <w:t>/the fallback power class</w:t>
            </w:r>
            <w:r w:rsidR="0083676F">
              <w:rPr>
                <w:bCs/>
                <w:lang w:eastAsia="zh-CN"/>
              </w:rPr>
              <w:t xml:space="preserve">. The reported duration could also apply to </w:t>
            </w:r>
            <w:r w:rsidR="0083676F" w:rsidRPr="000C69B2">
              <w:rPr>
                <w:i/>
              </w:rPr>
              <w:t>P</w:t>
            </w:r>
            <w:r w:rsidR="0083676F" w:rsidRPr="000C69B2">
              <w:rPr>
                <w:i/>
                <w:vertAlign w:val="subscript"/>
              </w:rPr>
              <w:t>c,max</w:t>
            </w:r>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r w:rsidRPr="001F76CD">
              <w:rPr>
                <w:i/>
              </w:rPr>
              <w:t>phr-ProhibitTimer</w:t>
            </w:r>
            <w:r>
              <w:t xml:space="preserve">, </w:t>
            </w:r>
            <w:r w:rsidRPr="001F76CD">
              <w:rPr>
                <w:i/>
              </w:rPr>
              <w:t>phr-PeriodicTimer</w:t>
            </w:r>
            <w:r>
              <w:t xml:space="preserve">, </w:t>
            </w:r>
            <w:r w:rsidRPr="001F76CD">
              <w:rPr>
                <w:i/>
              </w:rPr>
              <w:t>phr-Tx-PowerFactorChange</w:t>
            </w:r>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Huawei, HiSilicon</w:t>
            </w:r>
          </w:p>
        </w:tc>
        <w:tc>
          <w:tcPr>
            <w:tcW w:w="7662" w:type="dxa"/>
          </w:tcPr>
          <w:p w14:paraId="4EBA4305" w14:textId="40F73EB0" w:rsidR="00593811" w:rsidRDefault="00593811" w:rsidP="00593811">
            <w:pPr>
              <w:jc w:val="both"/>
              <w:rPr>
                <w:rFonts w:eastAsia="SimSun"/>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tx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Huawei, HiSilicon</w:t>
            </w:r>
          </w:p>
        </w:tc>
        <w:tc>
          <w:tcPr>
            <w:tcW w:w="7654" w:type="dxa"/>
          </w:tcPr>
          <w:p w14:paraId="3E5D7ACC" w14:textId="122D470C" w:rsidR="00593811" w:rsidRPr="008D1048" w:rsidRDefault="00593811" w:rsidP="00593811">
            <w:pPr>
              <w:jc w:val="both"/>
              <w:rPr>
                <w:rFonts w:eastAsia="SimSun"/>
                <w:lang w:val="en-US"/>
              </w:rPr>
            </w:pPr>
            <w:r>
              <w:rPr>
                <w:rFonts w:eastAsia="SimSun"/>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prio</w:t>
            </w:r>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prio</w:t>
            </w:r>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ms.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r w:rsidRPr="002F3BDC">
              <w:rPr>
                <w:rFonts w:eastAsia="SimSun"/>
                <w:i/>
                <w:iCs/>
                <w:lang w:val="en-US"/>
              </w:rPr>
              <w:t>ΔPPowerClass</w:t>
            </w:r>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r w:rsidR="00533395" w:rsidRPr="00E93FC0">
              <w:rPr>
                <w:rFonts w:eastAsia="SimSun"/>
                <w:lang w:val="en-US"/>
              </w:rPr>
              <w:t>ΔPPowerClass</w:t>
            </w:r>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r>
              <w:rPr>
                <w:rFonts w:eastAsia="MS Mincho"/>
                <w:lang w:val="en-US" w:eastAsia="ja-JP"/>
              </w:rPr>
              <w:t>Its not clear if RAN4 intended new MPR table, and other capabilities come into effect. Its not clear if UE is expected to fall back even if tx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r w:rsidRPr="00E93FC0">
              <w:rPr>
                <w:rFonts w:eastAsia="SimSun"/>
                <w:lang w:val="en-US"/>
              </w:rPr>
              <w:t xml:space="preserve">ΔPPowerClass </w:t>
            </w:r>
            <w:r>
              <w:rPr>
                <w:rFonts w:eastAsia="SimSun"/>
                <w:lang w:val="en-US"/>
              </w:rPr>
              <w:t>, e.g., codepoint 0 when indicate</w:t>
            </w:r>
            <w:r w:rsidRPr="00E93FC0">
              <w:rPr>
                <w:rFonts w:eastAsia="SimSun"/>
                <w:lang w:val="en-US"/>
              </w:rPr>
              <w:t>ΔPPowerClass</w:t>
            </w:r>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r>
              <w:rPr>
                <w:rFonts w:eastAsia="SimSun"/>
                <w:lang w:val="en-US"/>
              </w:rPr>
              <w:t>ΔPPowerClass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 xml:space="preserve">Parameter: Power class/ΔPPowerClass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class/ΔPPowerClass</w:t>
            </w:r>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 xml:space="preserve">Parameter: Power class/ΔPPowerClass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 xml:space="preserve">Parameter: Power class/ΔPPowerClass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Pc,max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D968FA">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D968FA">
            <w:pPr>
              <w:jc w:val="both"/>
              <w:rPr>
                <w:rFonts w:eastAsia="SimSun"/>
                <w:lang w:val="en-US"/>
              </w:rPr>
            </w:pPr>
            <w:r w:rsidRPr="00E93FC0">
              <w:rPr>
                <w:rFonts w:eastAsia="SimSun"/>
                <w:lang w:val="en-US"/>
              </w:rPr>
              <w:t xml:space="preserve">Parameter: Power class/ΔPPowerClass </w:t>
            </w:r>
          </w:p>
          <w:p w14:paraId="38AF7241" w14:textId="77777777" w:rsidR="00D11311" w:rsidRDefault="00D11311" w:rsidP="00D968FA">
            <w:pPr>
              <w:jc w:val="both"/>
              <w:rPr>
                <w:rFonts w:eastAsia="SimSun"/>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gNB.</w:t>
            </w:r>
          </w:p>
        </w:tc>
        <w:tc>
          <w:tcPr>
            <w:tcW w:w="755" w:type="dxa"/>
          </w:tcPr>
          <w:p w14:paraId="3DBEEDA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D968FA">
            <w:pPr>
              <w:rPr>
                <w:rFonts w:eastAsia="SimSun"/>
                <w:lang w:val="en-US"/>
              </w:rPr>
            </w:pPr>
            <w:r>
              <w:rPr>
                <w:lang w:val="en-US"/>
              </w:rPr>
              <w:t>gNB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D968FA">
            <w:pPr>
              <w:jc w:val="center"/>
              <w:rPr>
                <w:rFonts w:eastAsia="SimSun"/>
                <w:lang w:val="en-US"/>
              </w:rPr>
            </w:pPr>
          </w:p>
        </w:tc>
        <w:tc>
          <w:tcPr>
            <w:tcW w:w="3839" w:type="dxa"/>
            <w:vMerge/>
          </w:tcPr>
          <w:p w14:paraId="557C10FC" w14:textId="77777777" w:rsidR="00D11311" w:rsidRPr="00EF67C7" w:rsidRDefault="00D11311" w:rsidP="00D968FA">
            <w:pPr>
              <w:jc w:val="center"/>
              <w:rPr>
                <w:rFonts w:eastAsia="SimSun"/>
                <w:lang w:val="en-US"/>
              </w:rPr>
            </w:pPr>
          </w:p>
        </w:tc>
        <w:tc>
          <w:tcPr>
            <w:tcW w:w="755" w:type="dxa"/>
          </w:tcPr>
          <w:p w14:paraId="13A47E2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D968FA">
            <w:pPr>
              <w:jc w:val="both"/>
              <w:rPr>
                <w:rFonts w:eastAsia="SimSun"/>
                <w:lang w:val="en-US"/>
              </w:rPr>
            </w:pPr>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D968FA">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D968FA">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p>
        </w:tc>
      </w:tr>
      <w:tr w:rsidR="00BC0F82" w:rsidRPr="00EF67C7" w14:paraId="19E7DBE9" w14:textId="77777777" w:rsidTr="00D84771">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 xml:space="preserve">Parameter: Power class/ΔPPowerClass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Trigger based and/or periodic reporting as configured by gNB.</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r>
              <w:rPr>
                <w:lang w:val="en-US" w:eastAsia="zh-CN"/>
              </w:rPr>
              <w:t xml:space="preserve">gNB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D84771">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r>
              <w:rPr>
                <w:rFonts w:eastAsia="MS Mincho"/>
                <w:lang w:val="en-US" w:eastAsia="ja-JP"/>
              </w:rPr>
              <w:t>gNB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D968FA">
            <w:pPr>
              <w:jc w:val="center"/>
              <w:rPr>
                <w:rFonts w:eastAsia="SimSun"/>
                <w:lang w:val="en-US"/>
              </w:rPr>
            </w:pPr>
          </w:p>
        </w:tc>
        <w:tc>
          <w:tcPr>
            <w:tcW w:w="3839" w:type="dxa"/>
          </w:tcPr>
          <w:p w14:paraId="0C588B0D" w14:textId="77777777" w:rsidR="00BC0F82" w:rsidRPr="00EF67C7" w:rsidRDefault="00BC0F82" w:rsidP="00D968FA">
            <w:pPr>
              <w:jc w:val="center"/>
              <w:rPr>
                <w:rFonts w:eastAsia="SimSun"/>
                <w:lang w:val="en-US"/>
              </w:rPr>
            </w:pPr>
          </w:p>
        </w:tc>
        <w:tc>
          <w:tcPr>
            <w:tcW w:w="755" w:type="dxa"/>
          </w:tcPr>
          <w:p w14:paraId="3BDB33BC" w14:textId="77777777" w:rsidR="00BC0F82" w:rsidRPr="002F3BDC" w:rsidRDefault="00BC0F82" w:rsidP="00D968FA">
            <w:pPr>
              <w:jc w:val="center"/>
              <w:rPr>
                <w:rFonts w:eastAsia="MS Mincho"/>
                <w:b/>
                <w:bCs/>
                <w:sz w:val="16"/>
                <w:szCs w:val="16"/>
                <w:lang w:val="en-US" w:eastAsia="ja-JP"/>
              </w:rPr>
            </w:pPr>
          </w:p>
        </w:tc>
        <w:tc>
          <w:tcPr>
            <w:tcW w:w="3122" w:type="dxa"/>
          </w:tcPr>
          <w:p w14:paraId="635C8E1C" w14:textId="77777777" w:rsidR="00BC0F82" w:rsidRPr="00223549" w:rsidRDefault="00BC0F82" w:rsidP="00D968FA">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r>
              <w:rPr>
                <w:rFonts w:eastAsia="SimSun"/>
                <w:lang w:val="en-US"/>
              </w:rPr>
              <w:t xml:space="preserve">ΔPPowerClass.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r w:rsidRPr="006D42E6">
              <w:rPr>
                <w:rFonts w:eastAsia="SimSun"/>
                <w:lang w:val="en-US"/>
              </w:rPr>
              <w:lastRenderedPageBreak/>
              <w:t xml:space="preserve">ΔP_PowerClass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The reporting of P-MPR triggered by gNB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Pcmax, as power class impacts also other parameters, e.g. MPR table. Pcmax can be impacted by other parameters, e.g. P-MPR, so power class change cannot be determined from the reported Pcmax.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r w:rsidRPr="006D42E6">
              <w:rPr>
                <w:rFonts w:eastAsia="SimSun"/>
                <w:lang w:val="en-US"/>
              </w:rPr>
              <w:t>ΔP_PowerClass</w:t>
            </w:r>
            <w:r>
              <w:rPr>
                <w:rFonts w:eastAsia="SimSun"/>
                <w:lang w:val="en-US"/>
              </w:rPr>
              <w:t xml:space="preserve">, is more futureproof. Even now, it is unclear how </w:t>
            </w:r>
            <w:r w:rsidRPr="006D42E6">
              <w:rPr>
                <w:rFonts w:eastAsia="SimSun"/>
                <w:lang w:val="en-US"/>
              </w:rPr>
              <w:t>ΔP_PowerClass</w:t>
            </w:r>
            <w:r>
              <w:rPr>
                <w:rFonts w:eastAsia="SimSun"/>
                <w:lang w:val="en-US"/>
              </w:rPr>
              <w:t xml:space="preserve"> reporting for the power class indication should work when </w:t>
            </w:r>
            <w:r w:rsidRPr="006D42E6">
              <w:rPr>
                <w:rFonts w:eastAsia="SimSun"/>
                <w:lang w:val="en-US"/>
              </w:rPr>
              <w:t>ΔP_PowerClass</w:t>
            </w:r>
            <w:r>
              <w:rPr>
                <w:rFonts w:eastAsia="SimSun"/>
                <w:lang w:val="en-US"/>
              </w:rPr>
              <w:t xml:space="preserve"> = </w:t>
            </w:r>
            <w:r>
              <w:rPr>
                <w:lang w:eastAsia="zh-CN"/>
              </w:rPr>
              <w:t xml:space="preserve">3dB is applied due to SRS antenna switching with TxD.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SimSun"/>
                <w:lang w:val="en-US"/>
              </w:rPr>
            </w:pPr>
            <w:r>
              <w:rPr>
                <w:rFonts w:eastAsia="MS Mincho"/>
                <w:lang w:val="en-US" w:eastAsia="ja-JP"/>
              </w:rPr>
              <w:t xml:space="preserve">We think we can focus on at least the reporting of </w:t>
            </w:r>
            <w:r w:rsidRPr="00E93FC0">
              <w:rPr>
                <w:rFonts w:eastAsia="SimSun"/>
                <w:lang w:val="en-US"/>
              </w:rPr>
              <w:t>Power class/ΔPPowerClass</w:t>
            </w:r>
            <w:r>
              <w:rPr>
                <w:rFonts w:eastAsia="SimSun"/>
                <w:lang w:val="en-US"/>
              </w:rPr>
              <w:t xml:space="preserve"> given there are a bit more interested companies. On P-MPR, our view is that it is beneficial even if it is temporal value. Meanwhile, it may need to be clarified that how sustained it can be. If the validity of reporting can be sustained somehow, we see the same benefit as for </w:t>
            </w:r>
            <w:r w:rsidRPr="00E93FC0">
              <w:rPr>
                <w:rFonts w:eastAsia="SimSun"/>
                <w:lang w:val="en-US"/>
              </w:rPr>
              <w:t>Power class/ΔPPowerClass</w:t>
            </w:r>
            <w:r>
              <w:rPr>
                <w:rFonts w:eastAsia="SimSun"/>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3D7AB1">
            <w:pPr>
              <w:jc w:val="center"/>
              <w:rPr>
                <w:rFonts w:eastAsia="SimSun"/>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r w:rsidRPr="00D74AE5">
              <w:rPr>
                <w:rFonts w:eastAsia="Times New Roman"/>
                <w:bCs/>
                <w:i/>
                <w:lang w:eastAsia="zh-CN"/>
              </w:rPr>
              <w:t>P</w:t>
            </w:r>
            <w:r w:rsidRPr="00D74AE5">
              <w:rPr>
                <w:rFonts w:eastAsia="Times New Roman"/>
                <w:bCs/>
                <w:i/>
                <w:vertAlign w:val="subscript"/>
                <w:lang w:eastAsia="zh-CN"/>
              </w:rPr>
              <w:t>PowerClass</w:t>
            </w:r>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r w:rsidRPr="00D74AE5">
              <w:rPr>
                <w:i/>
              </w:rPr>
              <w:t>P</w:t>
            </w:r>
            <w:r w:rsidRPr="00D74AE5">
              <w:rPr>
                <w:i/>
                <w:vertAlign w:val="subscript"/>
              </w:rPr>
              <w:t>c,max</w:t>
            </w:r>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gNB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D968FA">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D968FA">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D968FA">
            <w:pPr>
              <w:jc w:val="both"/>
              <w:rPr>
                <w:rFonts w:eastAsia="MS Mincho"/>
                <w:lang w:val="en-US"/>
              </w:rPr>
            </w:pPr>
            <w:r w:rsidRPr="004B23DC">
              <w:rPr>
                <w:rFonts w:eastAsia="MS Mincho"/>
                <w:lang w:val="en-US"/>
              </w:rPr>
              <w:t xml:space="preserve">Type of report: Reported via PHR. </w:t>
            </w:r>
            <w:r w:rsidRPr="00F22E7A">
              <w:rPr>
                <w:rFonts w:eastAsia="MS Mincho"/>
                <w:lang w:val="en-US"/>
              </w:rPr>
              <w:t>Trigger based and/or periodic reporting as configured by gNB</w:t>
            </w:r>
            <w:r w:rsidRPr="004B23DC">
              <w:rPr>
                <w:rFonts w:eastAsia="MS Mincho"/>
                <w:lang w:val="en-US"/>
              </w:rPr>
              <w:t xml:space="preserve"> </w:t>
            </w:r>
          </w:p>
        </w:tc>
        <w:tc>
          <w:tcPr>
            <w:tcW w:w="752" w:type="dxa"/>
          </w:tcPr>
          <w:p w14:paraId="0E994CE0"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D968FA">
            <w:pPr>
              <w:jc w:val="both"/>
              <w:rPr>
                <w:lang w:val="en-US" w:eastAsia="zh-CN"/>
              </w:rPr>
            </w:pPr>
            <w:r>
              <w:rPr>
                <w:lang w:val="en-US" w:eastAsia="zh-CN"/>
              </w:rPr>
              <w:t xml:space="preserve">gNB could assume a time duration in which UE would be at high power class, and may be good to gNB’s scheduler. </w:t>
            </w:r>
          </w:p>
          <w:p w14:paraId="2EF78F1A" w14:textId="77777777" w:rsidR="00FF063D" w:rsidRPr="00770DA1" w:rsidRDefault="00FF063D" w:rsidP="00D968FA">
            <w:pPr>
              <w:jc w:val="both"/>
              <w:rPr>
                <w:lang w:val="en-US" w:eastAsia="zh-CN"/>
              </w:rPr>
            </w:pPr>
            <w:r>
              <w:rPr>
                <w:lang w:val="en-US" w:eastAsia="zh-CN"/>
              </w:rPr>
              <w:t>However, gNB should also be able to estimate the received power change via detecting UL singals,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D968FA">
            <w:pPr>
              <w:jc w:val="center"/>
              <w:rPr>
                <w:rFonts w:eastAsia="MS Mincho"/>
                <w:lang w:val="en-US" w:eastAsia="ja-JP"/>
              </w:rPr>
            </w:pPr>
          </w:p>
        </w:tc>
        <w:tc>
          <w:tcPr>
            <w:tcW w:w="3759" w:type="dxa"/>
            <w:vMerge/>
          </w:tcPr>
          <w:p w14:paraId="0032F7A6" w14:textId="77777777" w:rsidR="00FF063D" w:rsidRPr="004B23DC" w:rsidRDefault="00FF063D" w:rsidP="00D968FA">
            <w:pPr>
              <w:jc w:val="center"/>
              <w:rPr>
                <w:rFonts w:eastAsia="MS Mincho"/>
                <w:lang w:val="en-US" w:eastAsia="ja-JP"/>
              </w:rPr>
            </w:pPr>
          </w:p>
        </w:tc>
        <w:tc>
          <w:tcPr>
            <w:tcW w:w="752" w:type="dxa"/>
          </w:tcPr>
          <w:p w14:paraId="3E535D04"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D968FA">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4DE1B584" w14:textId="77777777" w:rsidR="00FF063D" w:rsidRPr="0026007A" w:rsidRDefault="00FF063D" w:rsidP="00D968FA">
            <w:pPr>
              <w:jc w:val="both"/>
              <w:rPr>
                <w:rFonts w:eastAsia="SimSun"/>
                <w:lang w:val="en-US" w:eastAsia="zh-CN"/>
              </w:rPr>
            </w:pPr>
            <w:r>
              <w:rPr>
                <w:rFonts w:eastAsia="SimSun"/>
                <w:lang w:val="en-US" w:eastAsia="zh-CN"/>
              </w:rPr>
              <w:t>Not sure whether this report is really beneficial to scheduler given any power change on UE side can already be implicitly reflected on the uplink measurement at gNB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Trigger based and/or periodic reporting as configured by gNB.</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r>
              <w:rPr>
                <w:rFonts w:eastAsia="SimSun" w:hint="eastAsia"/>
                <w:lang w:val="en-US" w:eastAsia="zh-CN"/>
              </w:rPr>
              <w:t>g</w:t>
            </w:r>
            <w:r>
              <w:rPr>
                <w:rFonts w:eastAsia="SimSun"/>
                <w:lang w:val="en-US" w:eastAsia="zh-CN"/>
              </w:rPr>
              <w:t xml:space="preserve">NB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D968FA">
            <w:pPr>
              <w:jc w:val="center"/>
              <w:rPr>
                <w:rFonts w:eastAsia="MS Mincho"/>
                <w:lang w:val="en-US" w:eastAsia="ja-JP"/>
              </w:rPr>
            </w:pPr>
          </w:p>
        </w:tc>
        <w:tc>
          <w:tcPr>
            <w:tcW w:w="3759" w:type="dxa"/>
          </w:tcPr>
          <w:p w14:paraId="43593A18" w14:textId="77777777" w:rsidR="000122A6" w:rsidRPr="004B23DC" w:rsidRDefault="000122A6" w:rsidP="00D968FA">
            <w:pPr>
              <w:jc w:val="center"/>
              <w:rPr>
                <w:rFonts w:eastAsia="MS Mincho"/>
                <w:lang w:val="en-US" w:eastAsia="ja-JP"/>
              </w:rPr>
            </w:pPr>
          </w:p>
        </w:tc>
        <w:tc>
          <w:tcPr>
            <w:tcW w:w="752" w:type="dxa"/>
          </w:tcPr>
          <w:p w14:paraId="51168C20" w14:textId="77777777" w:rsidR="000122A6" w:rsidRPr="002F3BDC" w:rsidRDefault="000122A6" w:rsidP="00D968FA">
            <w:pPr>
              <w:jc w:val="center"/>
              <w:rPr>
                <w:rFonts w:eastAsia="MS Mincho"/>
                <w:b/>
                <w:bCs/>
                <w:sz w:val="16"/>
                <w:szCs w:val="16"/>
                <w:lang w:val="en-US" w:eastAsia="ja-JP"/>
              </w:rPr>
            </w:pPr>
          </w:p>
        </w:tc>
        <w:tc>
          <w:tcPr>
            <w:tcW w:w="3069" w:type="dxa"/>
          </w:tcPr>
          <w:p w14:paraId="690A868F" w14:textId="77777777" w:rsidR="000122A6" w:rsidRDefault="000122A6" w:rsidP="00D968FA">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condier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class/delta_power class</w:t>
            </w:r>
            <w:r>
              <w:rPr>
                <w:rFonts w:eastAsia="MS Mincho"/>
                <w:lang w:val="en-US" w:eastAsia="ja-JP"/>
              </w:rPr>
              <w:t xml:space="preserve">. The instantaneous information provided by the UE is expected to be not useful to the gNB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r w:rsidR="003408F2" w14:paraId="3C89C00E" w14:textId="77777777" w:rsidTr="00DD78AB">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It seems that companies on the one hand are saying instantaneous value reporting isnt really useful while also saying that time duration of sustainability is too difficult to take into account. Putting the two together would mean that the entire PHR framework is rather useless. Given that PHR is a longstanding feature, its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now lets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r>
              <w:rPr>
                <w:rFonts w:eastAsia="MS Mincho"/>
                <w:lang w:val="en-US" w:eastAsia="ja-JP"/>
              </w:rPr>
              <w:t>Proposal:RAN1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DD78AB">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DD78AB">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DD78AB">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So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discussion, and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Thank you for the comment made so far and thanks to Naoya for adding the new tables.</w:t>
      </w:r>
    </w:p>
    <w:p w14:paraId="60C1AA06" w14:textId="101C1877" w:rsidR="001A3306" w:rsidRDefault="001A3306" w:rsidP="001A3306">
      <w:pPr>
        <w:spacing w:before="120" w:after="120"/>
        <w:jc w:val="both"/>
        <w:rPr>
          <w:sz w:val="22"/>
          <w:lang w:val="en-US"/>
        </w:rPr>
      </w:pPr>
      <w:r>
        <w:rPr>
          <w:sz w:val="22"/>
          <w:lang w:val="en-US"/>
        </w:rPr>
        <w:t>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downselecting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adding comprehensive comments and views. This is a very precious contribution in the context of this Release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D17EF4">
      <w:pPr>
        <w:pStyle w:val="ListParagraph"/>
        <w:numPr>
          <w:ilvl w:val="0"/>
          <w:numId w:val="83"/>
        </w:numPr>
        <w:jc w:val="both"/>
        <w:rPr>
          <w:sz w:val="22"/>
          <w:szCs w:val="22"/>
          <w:lang w:val="en-US"/>
        </w:rPr>
      </w:pPr>
      <w:r w:rsidRPr="00D17EF4">
        <w:rPr>
          <w:sz w:val="22"/>
          <w:szCs w:val="22"/>
          <w:lang w:val="en-US"/>
        </w:rPr>
        <w:t>reporting of power class/ΔPPowerClass</w:t>
      </w:r>
    </w:p>
    <w:p w14:paraId="6CAF52E2" w14:textId="0E74DCEC" w:rsidR="00D17EF4" w:rsidRPr="00D17EF4" w:rsidRDefault="00D17EF4" w:rsidP="00D17EF4">
      <w:pPr>
        <w:pStyle w:val="ListParagraph"/>
        <w:numPr>
          <w:ilvl w:val="1"/>
          <w:numId w:val="83"/>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D17EF4">
      <w:pPr>
        <w:pStyle w:val="ListParagraph"/>
        <w:numPr>
          <w:ilvl w:val="0"/>
          <w:numId w:val="83"/>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D17EF4">
      <w:pPr>
        <w:pStyle w:val="ListParagraph"/>
        <w:numPr>
          <w:ilvl w:val="1"/>
          <w:numId w:val="83"/>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gNB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class/ΔPPowerClass</w:t>
      </w:r>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ΔPPowerClass).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gNB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D17EF4">
      <w:pPr>
        <w:pStyle w:val="ListParagraph"/>
        <w:numPr>
          <w:ilvl w:val="0"/>
          <w:numId w:val="88"/>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D17EF4">
      <w:pPr>
        <w:pStyle w:val="ListParagraph"/>
        <w:numPr>
          <w:ilvl w:val="1"/>
          <w:numId w:val="88"/>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D17EF4">
      <w:pPr>
        <w:pStyle w:val="ListParagraph"/>
        <w:numPr>
          <w:ilvl w:val="0"/>
          <w:numId w:val="88"/>
        </w:numPr>
        <w:spacing w:after="160" w:line="252" w:lineRule="auto"/>
        <w:rPr>
          <w:sz w:val="22"/>
          <w:szCs w:val="22"/>
          <w:lang w:val="en-US"/>
        </w:rPr>
      </w:pPr>
      <w:r w:rsidRPr="00D17EF4">
        <w:rPr>
          <w:sz w:val="22"/>
          <w:szCs w:val="22"/>
          <w:lang w:val="en-US"/>
        </w:rPr>
        <w:t>Reporting of estimated duration for applying fallback PC or the reported P</w:t>
      </w:r>
      <w:r w:rsidRPr="00D17EF4">
        <w:rPr>
          <w:sz w:val="22"/>
          <w:szCs w:val="22"/>
          <w:vertAlign w:val="subscript"/>
          <w:lang w:val="en-US"/>
        </w:rPr>
        <w:t>c,max</w:t>
      </w:r>
      <w:r w:rsidRPr="00D17EF4">
        <w:rPr>
          <w:sz w:val="22"/>
          <w:szCs w:val="22"/>
          <w:lang w:val="en-US"/>
        </w:rPr>
        <w:t xml:space="preserve"> </w:t>
      </w:r>
    </w:p>
    <w:p w14:paraId="31C2D3C6" w14:textId="6F41EBCD" w:rsidR="00D17EF4" w:rsidRPr="00D17EF4" w:rsidRDefault="00D17EF4" w:rsidP="00D17EF4">
      <w:pPr>
        <w:pStyle w:val="ListParagraph"/>
        <w:numPr>
          <w:ilvl w:val="1"/>
          <w:numId w:val="88"/>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D17EF4">
      <w:pPr>
        <w:pStyle w:val="ListParagraph"/>
        <w:numPr>
          <w:ilvl w:val="0"/>
          <w:numId w:val="88"/>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D17EF4">
      <w:pPr>
        <w:pStyle w:val="ListParagraph"/>
        <w:numPr>
          <w:ilvl w:val="1"/>
          <w:numId w:val="88"/>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D17EF4">
      <w:pPr>
        <w:pStyle w:val="ListParagraph"/>
        <w:numPr>
          <w:ilvl w:val="0"/>
          <w:numId w:val="88"/>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D17EF4">
      <w:pPr>
        <w:pStyle w:val="ListParagraph"/>
        <w:numPr>
          <w:ilvl w:val="1"/>
          <w:numId w:val="88"/>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gNB additional information on duration of PC fallback, sustainable P</w:t>
      </w:r>
      <w:r w:rsidRPr="00D17EF4">
        <w:rPr>
          <w:sz w:val="22"/>
          <w:szCs w:val="22"/>
          <w:vertAlign w:val="subscript"/>
          <w:lang w:val="en-US"/>
        </w:rPr>
        <w:t>c,max</w:t>
      </w:r>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Concerns were raised mainly on UE implementation and the usefulness of the additional information at gNB.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w:t>
      </w:r>
      <w:r w:rsidRPr="00D17EF4">
        <w:rPr>
          <w:rFonts w:eastAsia="MS Mincho"/>
          <w:sz w:val="22"/>
          <w:szCs w:val="22"/>
          <w:lang w:val="en-US" w:eastAsia="ja-JP"/>
        </w:rPr>
        <w:t xml:space="preserve"> seem to be necessary for proactive enhancements</w:t>
      </w:r>
      <w:r w:rsidRPr="00D17EF4">
        <w:rPr>
          <w:rFonts w:eastAsia="MS Mincho"/>
          <w:sz w:val="22"/>
          <w:szCs w:val="22"/>
          <w:lang w:val="en-US" w:eastAsia="ja-JP"/>
        </w:rPr>
        <w:t xml:space="preserve">. </w:t>
      </w:r>
      <w:r w:rsidRPr="00D17EF4">
        <w:rPr>
          <w:rFonts w:eastAsia="MS Mincho"/>
          <w:sz w:val="22"/>
          <w:szCs w:val="22"/>
          <w:lang w:val="en-US" w:eastAsia="ja-JP"/>
        </w:rPr>
        <w:t>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D17EF4">
      <w:pPr>
        <w:pStyle w:val="ListParagraph"/>
        <w:numPr>
          <w:ilvl w:val="0"/>
          <w:numId w:val="84"/>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CF7DA0">
      <w:pPr>
        <w:pStyle w:val="ListParagraph"/>
        <w:numPr>
          <w:ilvl w:val="0"/>
          <w:numId w:val="85"/>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ListParagraph"/>
        <w:jc w:val="both"/>
        <w:rPr>
          <w:rFonts w:eastAsia="MS Mincho"/>
          <w:sz w:val="22"/>
          <w:szCs w:val="22"/>
          <w:lang w:val="en-US" w:eastAsia="ja-JP"/>
        </w:rPr>
      </w:pPr>
    </w:p>
    <w:p w14:paraId="1E993DC4" w14:textId="5942D6D0" w:rsidR="00D17EF4" w:rsidRPr="00CF7DA0" w:rsidRDefault="00CF7DA0" w:rsidP="00CF7DA0">
      <w:pPr>
        <w:pStyle w:val="ListParagraph"/>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CF7DA0">
      <w:pPr>
        <w:pStyle w:val="ListParagraph"/>
        <w:numPr>
          <w:ilvl w:val="0"/>
          <w:numId w:val="84"/>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CF7DA0">
      <w:pPr>
        <w:pStyle w:val="ListParagraph"/>
        <w:numPr>
          <w:ilvl w:val="0"/>
          <w:numId w:val="86"/>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ListParagraph"/>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0E645C">
      <w:pPr>
        <w:pStyle w:val="ListParagraph"/>
        <w:numPr>
          <w:ilvl w:val="0"/>
          <w:numId w:val="87"/>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0E645C">
      <w:pPr>
        <w:pStyle w:val="ListParagraph"/>
        <w:numPr>
          <w:ilvl w:val="0"/>
          <w:numId w:val="87"/>
        </w:numPr>
        <w:jc w:val="both"/>
        <w:rPr>
          <w:rFonts w:eastAsia="MS Mincho"/>
          <w:sz w:val="22"/>
          <w:szCs w:val="22"/>
          <w:lang w:val="en-US" w:eastAsia="ja-JP"/>
        </w:rPr>
      </w:pPr>
      <w:r w:rsidRPr="000E645C">
        <w:rPr>
          <w:rFonts w:eastAsia="MS Mincho"/>
          <w:sz w:val="22"/>
          <w:szCs w:val="22"/>
          <w:lang w:val="en-US" w:eastAsia="ja-JP"/>
        </w:rPr>
        <w:t xml:space="preserve">RAN1 </w:t>
      </w:r>
      <w:r w:rsidRPr="000E645C">
        <w:rPr>
          <w:rFonts w:eastAsia="MS Mincho"/>
          <w:sz w:val="22"/>
          <w:szCs w:val="22"/>
          <w:lang w:val="en-US" w:eastAsia="ja-JP"/>
        </w:rPr>
        <w:t xml:space="preserve">could then </w:t>
      </w:r>
      <w:r w:rsidRPr="000E645C">
        <w:rPr>
          <w:rFonts w:eastAsia="MS Mincho"/>
          <w:sz w:val="22"/>
          <w:szCs w:val="22"/>
          <w:lang w:val="en-US" w:eastAsia="ja-JP"/>
        </w:rPr>
        <w:t>inform RAN4 about th</w:t>
      </w:r>
      <w:r w:rsidRPr="000E645C">
        <w:rPr>
          <w:rFonts w:eastAsia="MS Mincho"/>
          <w:sz w:val="22"/>
          <w:szCs w:val="22"/>
          <w:lang w:val="en-US" w:eastAsia="ja-JP"/>
        </w:rPr>
        <w:t>e corresponding</w:t>
      </w:r>
      <w:r w:rsidRPr="000E645C">
        <w:rPr>
          <w:rFonts w:eastAsia="MS Mincho"/>
          <w:sz w:val="22"/>
          <w:szCs w:val="22"/>
          <w:lang w:val="en-US" w:eastAsia="ja-JP"/>
        </w:rPr>
        <w:t xml:space="preserve">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513C5249" w:rsidR="000E645C" w:rsidRPr="00520C3A" w:rsidRDefault="000E645C">
      <w:pPr>
        <w:jc w:val="both"/>
        <w:rPr>
          <w:b/>
          <w:bCs/>
          <w:i/>
          <w:iCs/>
          <w:sz w:val="22"/>
          <w:szCs w:val="22"/>
          <w:highlight w:val="yellow"/>
          <w:lang w:val="en-US"/>
        </w:rPr>
      </w:pPr>
      <w:r w:rsidRPr="00520C3A">
        <w:rPr>
          <w:b/>
          <w:bCs/>
          <w:i/>
          <w:iCs/>
          <w:sz w:val="22"/>
          <w:szCs w:val="22"/>
          <w:highlight w:val="yellow"/>
          <w:lang w:val="en-US"/>
        </w:rPr>
        <w:t>Which 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 xml:space="preserve">enhancements to the PHR report framework to be potentially useful </w:t>
      </w:r>
      <w:r w:rsidRPr="000E645C">
        <w:rPr>
          <w:rFonts w:eastAsia="MS Mincho"/>
          <w:b/>
          <w:bCs/>
          <w:i/>
          <w:iCs/>
          <w:sz w:val="22"/>
          <w:szCs w:val="22"/>
          <w:highlight w:val="yellow"/>
          <w:lang w:val="en-US" w:eastAsia="ja-JP"/>
        </w:rPr>
        <w:t>for</w:t>
      </w:r>
      <w:r w:rsidRPr="000E645C">
        <w:rPr>
          <w:rFonts w:eastAsia="MS Mincho"/>
          <w:b/>
          <w:bCs/>
          <w:i/>
          <w:iCs/>
          <w:sz w:val="22"/>
          <w:szCs w:val="22"/>
          <w:highlight w:val="yellow"/>
          <w:lang w:val="en-US" w:eastAsia="ja-JP"/>
        </w:rPr>
        <w:t xml:space="preserve"> realizing high power uplink transmissions in CA and DC:</w:t>
      </w:r>
    </w:p>
    <w:p w14:paraId="418C0959" w14:textId="4B327A5D" w:rsidR="00CF7DA0" w:rsidRPr="000E645C" w:rsidRDefault="000E645C" w:rsidP="00CF7DA0">
      <w:pPr>
        <w:pStyle w:val="ListParagraph"/>
        <w:numPr>
          <w:ilvl w:val="0"/>
          <w:numId w:val="85"/>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0E645C">
      <w:pPr>
        <w:pStyle w:val="ListParagraph"/>
        <w:numPr>
          <w:ilvl w:val="0"/>
          <w:numId w:val="85"/>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w:t>
      </w:r>
      <w:r w:rsidRPr="0021044B">
        <w:rPr>
          <w:b/>
          <w:bCs/>
          <w:sz w:val="22"/>
          <w:szCs w:val="22"/>
          <w:highlight w:val="yellow"/>
          <w:lang w:val="en-US"/>
        </w:rPr>
        <w:t xml:space="preserve"> Q</w:t>
      </w:r>
      <w:r w:rsidRPr="0021044B">
        <w:rPr>
          <w:b/>
          <w:bCs/>
          <w:sz w:val="22"/>
          <w:szCs w:val="22"/>
          <w:highlight w:val="yellow"/>
          <w:lang w:val="en-US"/>
        </w:rPr>
        <w:t>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433D5">
      <w:pPr>
        <w:pStyle w:val="ListParagraph"/>
        <w:numPr>
          <w:ilvl w:val="0"/>
          <w:numId w:val="85"/>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433D5">
      <w:pPr>
        <w:pStyle w:val="ListParagraph"/>
        <w:numPr>
          <w:ilvl w:val="0"/>
          <w:numId w:val="85"/>
        </w:numPr>
        <w:jc w:val="both"/>
        <w:rPr>
          <w:b/>
          <w:bCs/>
          <w:i/>
          <w:iCs/>
          <w:sz w:val="22"/>
          <w:szCs w:val="22"/>
          <w:highlight w:val="yellow"/>
          <w:lang w:val="en-US"/>
        </w:rPr>
      </w:pPr>
      <w:r w:rsidRPr="00520C3A">
        <w:rPr>
          <w:b/>
          <w:bCs/>
          <w:i/>
          <w:iCs/>
          <w:sz w:val="22"/>
          <w:szCs w:val="22"/>
          <w:highlight w:val="yellow"/>
          <w:lang w:val="en-US"/>
        </w:rPr>
        <w:t>reporting of ΔPPowerClass</w:t>
      </w:r>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w:t>
      </w:r>
      <w:r w:rsidRPr="00520C3A">
        <w:rPr>
          <w:b/>
          <w:bCs/>
          <w:sz w:val="22"/>
          <w:szCs w:val="22"/>
          <w:highlight w:val="yellow"/>
          <w:lang w:val="en-US"/>
        </w:rPr>
        <w:t>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r w:rsidRPr="00520C3A">
        <w:rPr>
          <w:rFonts w:eastAsia="MS Mincho"/>
          <w:b/>
          <w:bCs/>
          <w:i/>
          <w:iCs/>
          <w:sz w:val="22"/>
          <w:szCs w:val="22"/>
          <w:highlight w:val="yellow"/>
          <w:lang w:val="en-US" w:eastAsia="ja-JP"/>
        </w:rPr>
        <w:t>?</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r>
        <w:rPr>
          <w:b/>
          <w:bCs/>
          <w:sz w:val="28"/>
          <w:szCs w:val="24"/>
          <w:highlight w:val="yellow"/>
          <w:lang w:val="en-US"/>
        </w:rPr>
        <w:t>2.1.2-Q</w:t>
      </w:r>
      <w:r>
        <w:rPr>
          <w:b/>
          <w:bCs/>
          <w:sz w:val="28"/>
          <w:szCs w:val="24"/>
          <w:highlight w:val="yellow"/>
          <w:lang w:val="en-US"/>
        </w:rPr>
        <w:t>5</w:t>
      </w:r>
      <w:r>
        <w:rPr>
          <w:b/>
          <w:bCs/>
          <w:sz w:val="28"/>
          <w:szCs w:val="24"/>
          <w:highlight w:val="yellow"/>
          <w:lang w:val="en-US"/>
        </w:rPr>
        <w:t xml:space="preserve"> </w:t>
      </w:r>
    </w:p>
    <w:tbl>
      <w:tblPr>
        <w:tblStyle w:val="TableGrid8"/>
        <w:tblW w:w="9701" w:type="dxa"/>
        <w:tblLook w:val="04A0" w:firstRow="1" w:lastRow="0" w:firstColumn="1" w:lastColumn="0" w:noHBand="0" w:noVBand="1"/>
      </w:tblPr>
      <w:tblGrid>
        <w:gridCol w:w="1985"/>
        <w:gridCol w:w="7716"/>
      </w:tblGrid>
      <w:tr w:rsidR="00520C3A" w14:paraId="2CB85CCD" w14:textId="77777777" w:rsidTr="00A1691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8B20DD">
            <w:pPr>
              <w:jc w:val="center"/>
              <w:rPr>
                <w:rFonts w:eastAsia="SimSun"/>
                <w:b w:val="0"/>
                <w:bCs w:val="0"/>
                <w:lang w:val="en-US"/>
              </w:rPr>
            </w:pPr>
            <w:r>
              <w:rPr>
                <w:rFonts w:eastAsia="SimSun"/>
                <w:lang w:val="en-US"/>
              </w:rPr>
              <w:t>Alternative</w:t>
            </w:r>
          </w:p>
        </w:tc>
        <w:tc>
          <w:tcPr>
            <w:tcW w:w="7716" w:type="dxa"/>
            <w:vAlign w:val="center"/>
          </w:tcPr>
          <w:p w14:paraId="730F4AE0" w14:textId="2991049E"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1A37C68F" w14:textId="77777777" w:rsidTr="0079768F">
        <w:trPr>
          <w:trHeight w:val="891"/>
        </w:trPr>
        <w:tc>
          <w:tcPr>
            <w:tcW w:w="1985" w:type="dxa"/>
            <w:vAlign w:val="center"/>
          </w:tcPr>
          <w:p w14:paraId="37CCEDD4" w14:textId="0F3F3D59" w:rsidR="00520C3A" w:rsidRPr="00520C3A" w:rsidRDefault="00520C3A" w:rsidP="008B20DD">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08ED0D3D" w:rsidR="00520C3A" w:rsidRPr="00FF5A84" w:rsidRDefault="00520C3A" w:rsidP="008B20DD">
            <w:pPr>
              <w:jc w:val="center"/>
              <w:rPr>
                <w:rFonts w:eastAsia="MS Mincho"/>
                <w:lang w:val="en-US" w:eastAsia="ja-JP"/>
              </w:rPr>
            </w:pPr>
          </w:p>
        </w:tc>
      </w:tr>
      <w:tr w:rsidR="00520C3A" w14:paraId="03BB680A" w14:textId="77777777" w:rsidTr="0079768F">
        <w:trPr>
          <w:trHeight w:val="891"/>
        </w:trPr>
        <w:tc>
          <w:tcPr>
            <w:tcW w:w="1985" w:type="dxa"/>
            <w:vAlign w:val="center"/>
          </w:tcPr>
          <w:p w14:paraId="7E98453D" w14:textId="6054F16B" w:rsidR="00520C3A" w:rsidRPr="00520C3A" w:rsidRDefault="00520C3A" w:rsidP="008B20DD">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77777777" w:rsidR="00520C3A" w:rsidRPr="00FF5A84" w:rsidRDefault="00520C3A" w:rsidP="008B20DD">
            <w:pPr>
              <w:jc w:val="center"/>
              <w:rPr>
                <w:rFonts w:eastAsia="MS Mincho"/>
                <w:lang w:val="en-US" w:eastAsia="ja-JP"/>
              </w:rPr>
            </w:pPr>
          </w:p>
        </w:tc>
      </w:tr>
      <w:tr w:rsidR="00520C3A" w14:paraId="61699E9E" w14:textId="77777777" w:rsidTr="0079768F">
        <w:trPr>
          <w:trHeight w:val="891"/>
        </w:trPr>
        <w:tc>
          <w:tcPr>
            <w:tcW w:w="1985" w:type="dxa"/>
            <w:vAlign w:val="center"/>
          </w:tcPr>
          <w:p w14:paraId="51B71E50" w14:textId="4CD6A04A" w:rsidR="00520C3A" w:rsidRPr="00520C3A" w:rsidRDefault="00520C3A" w:rsidP="008B20DD">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77777777" w:rsidR="00520C3A" w:rsidRPr="00FF5A84" w:rsidRDefault="00520C3A" w:rsidP="008B20DD">
            <w:pPr>
              <w:jc w:val="center"/>
              <w:rPr>
                <w:rFonts w:eastAsia="MS Mincho"/>
                <w:lang w:val="en-US" w:eastAsia="ja-JP"/>
              </w:rPr>
            </w:pPr>
          </w:p>
        </w:tc>
      </w:tr>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4" w:name="_Hlk132999120"/>
      <w:r>
        <w:rPr>
          <w:b/>
          <w:bCs/>
          <w:sz w:val="28"/>
          <w:szCs w:val="24"/>
          <w:highlight w:val="yellow"/>
          <w:lang w:val="en-US"/>
        </w:rPr>
        <w:t xml:space="preserve">Additional comments on the chosen alternative in </w:t>
      </w:r>
      <w:r>
        <w:rPr>
          <w:b/>
          <w:bCs/>
          <w:sz w:val="28"/>
          <w:szCs w:val="24"/>
          <w:highlight w:val="yellow"/>
          <w:lang w:val="en-US"/>
        </w:rPr>
        <w:t xml:space="preserve">2.1.2-Q5 </w:t>
      </w:r>
    </w:p>
    <w:tbl>
      <w:tblPr>
        <w:tblStyle w:val="TableGrid8"/>
        <w:tblW w:w="9701" w:type="dxa"/>
        <w:tblLook w:val="04A0" w:firstRow="1" w:lastRow="0" w:firstColumn="1" w:lastColumn="0" w:noHBand="0" w:noVBand="1"/>
      </w:tblPr>
      <w:tblGrid>
        <w:gridCol w:w="1985"/>
        <w:gridCol w:w="7716"/>
      </w:tblGrid>
      <w:tr w:rsidR="00520C3A" w14:paraId="1F527B77"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8B20DD">
            <w:pPr>
              <w:jc w:val="center"/>
              <w:rPr>
                <w:rFonts w:eastAsia="SimSun"/>
                <w:b w:val="0"/>
                <w:bCs w:val="0"/>
                <w:lang w:val="en-US"/>
              </w:rPr>
            </w:pPr>
            <w:r>
              <w:rPr>
                <w:rFonts w:eastAsia="SimSun"/>
                <w:lang w:val="en-US"/>
              </w:rPr>
              <w:t>Company</w:t>
            </w:r>
          </w:p>
        </w:tc>
        <w:tc>
          <w:tcPr>
            <w:tcW w:w="7716" w:type="dxa"/>
            <w:vAlign w:val="center"/>
          </w:tcPr>
          <w:p w14:paraId="29A7A430" w14:textId="290D1BA8" w:rsidR="00520C3A" w:rsidRPr="00FF5A84" w:rsidRDefault="00520C3A" w:rsidP="008B20DD">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8B20DD">
        <w:trPr>
          <w:trHeight w:val="891"/>
        </w:trPr>
        <w:tc>
          <w:tcPr>
            <w:tcW w:w="1985" w:type="dxa"/>
            <w:vAlign w:val="center"/>
          </w:tcPr>
          <w:p w14:paraId="3A573649" w14:textId="76AE3AB2" w:rsidR="00520C3A" w:rsidRPr="00520C3A" w:rsidRDefault="00520C3A" w:rsidP="008B20DD">
            <w:pPr>
              <w:jc w:val="center"/>
              <w:rPr>
                <w:rFonts w:eastAsia="MS Mincho"/>
                <w:b/>
                <w:bCs/>
                <w:lang w:val="en-US" w:eastAsia="ja-JP"/>
              </w:rPr>
            </w:pPr>
          </w:p>
        </w:tc>
        <w:tc>
          <w:tcPr>
            <w:tcW w:w="7716" w:type="dxa"/>
            <w:vAlign w:val="center"/>
          </w:tcPr>
          <w:p w14:paraId="3ECA4EE2" w14:textId="77777777" w:rsidR="00520C3A" w:rsidRPr="00FF5A84" w:rsidRDefault="00520C3A" w:rsidP="008B20DD">
            <w:pPr>
              <w:jc w:val="center"/>
              <w:rPr>
                <w:rFonts w:eastAsia="MS Mincho"/>
                <w:lang w:val="en-US" w:eastAsia="ja-JP"/>
              </w:rPr>
            </w:pPr>
          </w:p>
        </w:tc>
      </w:tr>
      <w:tr w:rsidR="00520C3A" w14:paraId="5F755C38" w14:textId="77777777" w:rsidTr="008B20DD">
        <w:trPr>
          <w:trHeight w:val="891"/>
        </w:trPr>
        <w:tc>
          <w:tcPr>
            <w:tcW w:w="1985" w:type="dxa"/>
            <w:vAlign w:val="center"/>
          </w:tcPr>
          <w:p w14:paraId="44EBC648" w14:textId="150EAE16" w:rsidR="00520C3A" w:rsidRPr="00520C3A" w:rsidRDefault="00520C3A" w:rsidP="008B20DD">
            <w:pPr>
              <w:jc w:val="center"/>
              <w:rPr>
                <w:rFonts w:eastAsia="MS Mincho"/>
                <w:b/>
                <w:bCs/>
                <w:lang w:val="en-US" w:eastAsia="ja-JP"/>
              </w:rPr>
            </w:pPr>
          </w:p>
        </w:tc>
        <w:tc>
          <w:tcPr>
            <w:tcW w:w="7716" w:type="dxa"/>
            <w:vAlign w:val="center"/>
          </w:tcPr>
          <w:p w14:paraId="2422A089" w14:textId="77777777" w:rsidR="00520C3A" w:rsidRPr="00FF5A84" w:rsidRDefault="00520C3A" w:rsidP="008B20DD">
            <w:pPr>
              <w:jc w:val="center"/>
              <w:rPr>
                <w:rFonts w:eastAsia="MS Mincho"/>
                <w:lang w:val="en-US" w:eastAsia="ja-JP"/>
              </w:rPr>
            </w:pPr>
          </w:p>
        </w:tc>
      </w:tr>
      <w:bookmarkEnd w:id="4"/>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2.1.2-Q</w:t>
      </w:r>
      <w:r>
        <w:rPr>
          <w:b/>
          <w:bCs/>
          <w:sz w:val="28"/>
          <w:szCs w:val="24"/>
          <w:highlight w:val="yellow"/>
          <w:lang w:val="en-US"/>
        </w:rPr>
        <w:t>6</w:t>
      </w:r>
      <w:r>
        <w:rPr>
          <w:b/>
          <w:bCs/>
          <w:sz w:val="28"/>
          <w:szCs w:val="24"/>
          <w:highlight w:val="yellow"/>
          <w:lang w:val="en-US"/>
        </w:rPr>
        <w:t xml:space="preserve"> </w:t>
      </w:r>
    </w:p>
    <w:tbl>
      <w:tblPr>
        <w:tblStyle w:val="TableGrid8"/>
        <w:tblW w:w="9701" w:type="dxa"/>
        <w:tblLook w:val="04A0" w:firstRow="1" w:lastRow="0" w:firstColumn="1" w:lastColumn="0" w:noHBand="0" w:noVBand="1"/>
      </w:tblPr>
      <w:tblGrid>
        <w:gridCol w:w="1985"/>
        <w:gridCol w:w="7716"/>
      </w:tblGrid>
      <w:tr w:rsidR="00520C3A" w14:paraId="5FD733A7"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8B20DD">
            <w:pPr>
              <w:jc w:val="center"/>
              <w:rPr>
                <w:rFonts w:eastAsia="SimSun"/>
                <w:b w:val="0"/>
                <w:bCs w:val="0"/>
                <w:lang w:val="en-US"/>
              </w:rPr>
            </w:pPr>
            <w:r>
              <w:rPr>
                <w:rFonts w:eastAsia="SimSun"/>
                <w:lang w:val="en-US"/>
              </w:rPr>
              <w:t>Answer</w:t>
            </w:r>
          </w:p>
        </w:tc>
        <w:tc>
          <w:tcPr>
            <w:tcW w:w="7716" w:type="dxa"/>
            <w:vAlign w:val="center"/>
          </w:tcPr>
          <w:p w14:paraId="3D68281A" w14:textId="77777777"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322392E7" w14:textId="77777777" w:rsidTr="008B20DD">
        <w:trPr>
          <w:trHeight w:val="891"/>
        </w:trPr>
        <w:tc>
          <w:tcPr>
            <w:tcW w:w="1985" w:type="dxa"/>
            <w:vAlign w:val="center"/>
          </w:tcPr>
          <w:p w14:paraId="5DE56F13" w14:textId="19437BDD" w:rsidR="00520C3A" w:rsidRPr="00520C3A" w:rsidRDefault="00520C3A" w:rsidP="008B20DD">
            <w:pPr>
              <w:jc w:val="center"/>
              <w:rPr>
                <w:rFonts w:eastAsia="MS Mincho"/>
                <w:b/>
                <w:bCs/>
                <w:lang w:val="en-US" w:eastAsia="ja-JP"/>
              </w:rPr>
            </w:pPr>
            <w:r>
              <w:rPr>
                <w:rFonts w:eastAsia="MS Mincho"/>
                <w:b/>
                <w:bCs/>
                <w:lang w:val="en-US" w:eastAsia="ja-JP"/>
              </w:rPr>
              <w:lastRenderedPageBreak/>
              <w:t>Yes</w:t>
            </w:r>
          </w:p>
        </w:tc>
        <w:tc>
          <w:tcPr>
            <w:tcW w:w="7716" w:type="dxa"/>
            <w:vAlign w:val="center"/>
          </w:tcPr>
          <w:p w14:paraId="45E30AD6" w14:textId="77777777" w:rsidR="00520C3A" w:rsidRPr="00FF5A84" w:rsidRDefault="00520C3A" w:rsidP="008B20DD">
            <w:pPr>
              <w:jc w:val="center"/>
              <w:rPr>
                <w:rFonts w:eastAsia="MS Mincho"/>
                <w:lang w:val="en-US" w:eastAsia="ja-JP"/>
              </w:rPr>
            </w:pPr>
          </w:p>
        </w:tc>
      </w:tr>
      <w:tr w:rsidR="00520C3A" w14:paraId="2F74A5E8" w14:textId="77777777" w:rsidTr="008B20DD">
        <w:trPr>
          <w:trHeight w:val="891"/>
        </w:trPr>
        <w:tc>
          <w:tcPr>
            <w:tcW w:w="1985" w:type="dxa"/>
            <w:vAlign w:val="center"/>
          </w:tcPr>
          <w:p w14:paraId="19C7759F" w14:textId="4FBC22C3" w:rsidR="00520C3A" w:rsidRPr="00520C3A" w:rsidRDefault="00520C3A" w:rsidP="008B20DD">
            <w:pPr>
              <w:jc w:val="center"/>
              <w:rPr>
                <w:rFonts w:eastAsia="MS Mincho"/>
                <w:b/>
                <w:bCs/>
                <w:lang w:val="en-US" w:eastAsia="ja-JP"/>
              </w:rPr>
            </w:pPr>
            <w:r>
              <w:rPr>
                <w:rFonts w:eastAsia="MS Mincho"/>
                <w:b/>
                <w:bCs/>
                <w:lang w:val="en-US" w:eastAsia="ja-JP"/>
              </w:rPr>
              <w:t>No</w:t>
            </w:r>
          </w:p>
        </w:tc>
        <w:tc>
          <w:tcPr>
            <w:tcW w:w="7716" w:type="dxa"/>
            <w:vAlign w:val="center"/>
          </w:tcPr>
          <w:p w14:paraId="13F8161A" w14:textId="77777777" w:rsidR="00520C3A" w:rsidRPr="00FF5A84" w:rsidRDefault="00520C3A" w:rsidP="008B20DD">
            <w:pPr>
              <w:jc w:val="center"/>
              <w:rPr>
                <w:rFonts w:eastAsia="MS Mincho"/>
                <w:lang w:val="en-US" w:eastAsia="ja-JP"/>
              </w:rPr>
            </w:pP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2.1.2-Q</w:t>
      </w:r>
      <w:r>
        <w:rPr>
          <w:b/>
          <w:bCs/>
          <w:sz w:val="28"/>
          <w:szCs w:val="24"/>
          <w:highlight w:val="yellow"/>
          <w:lang w:val="en-US"/>
        </w:rPr>
        <w:t>7</w:t>
      </w:r>
      <w:r>
        <w:rPr>
          <w:b/>
          <w:bCs/>
          <w:sz w:val="28"/>
          <w:szCs w:val="24"/>
          <w:highlight w:val="yellow"/>
          <w:lang w:val="en-US"/>
        </w:rPr>
        <w:t xml:space="preserve"> </w:t>
      </w:r>
    </w:p>
    <w:tbl>
      <w:tblPr>
        <w:tblStyle w:val="TableGrid8"/>
        <w:tblW w:w="9701" w:type="dxa"/>
        <w:tblLook w:val="04A0" w:firstRow="1" w:lastRow="0" w:firstColumn="1" w:lastColumn="0" w:noHBand="0" w:noVBand="1"/>
      </w:tblPr>
      <w:tblGrid>
        <w:gridCol w:w="1985"/>
        <w:gridCol w:w="7716"/>
      </w:tblGrid>
      <w:tr w:rsidR="00520C3A" w14:paraId="12CCD6DA"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8B20DD">
            <w:pPr>
              <w:jc w:val="center"/>
              <w:rPr>
                <w:rFonts w:eastAsia="SimSun"/>
                <w:b w:val="0"/>
                <w:bCs w:val="0"/>
                <w:lang w:val="en-US"/>
              </w:rPr>
            </w:pPr>
            <w:r>
              <w:rPr>
                <w:rFonts w:eastAsia="SimSun"/>
                <w:lang w:val="en-US"/>
              </w:rPr>
              <w:t>Answer</w:t>
            </w:r>
          </w:p>
        </w:tc>
        <w:tc>
          <w:tcPr>
            <w:tcW w:w="7716" w:type="dxa"/>
            <w:vAlign w:val="center"/>
          </w:tcPr>
          <w:p w14:paraId="17D99F9C" w14:textId="77777777"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64A1AF15" w14:textId="77777777" w:rsidTr="008B20DD">
        <w:trPr>
          <w:trHeight w:val="891"/>
        </w:trPr>
        <w:tc>
          <w:tcPr>
            <w:tcW w:w="1985" w:type="dxa"/>
            <w:vAlign w:val="center"/>
          </w:tcPr>
          <w:p w14:paraId="575B2D5C" w14:textId="77777777" w:rsidR="00520C3A" w:rsidRPr="00520C3A" w:rsidRDefault="00520C3A" w:rsidP="008B20DD">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77777777" w:rsidR="00520C3A" w:rsidRPr="00FF5A84" w:rsidRDefault="00520C3A" w:rsidP="008B20DD">
            <w:pPr>
              <w:jc w:val="center"/>
              <w:rPr>
                <w:rFonts w:eastAsia="MS Mincho"/>
                <w:lang w:val="en-US" w:eastAsia="ja-JP"/>
              </w:rPr>
            </w:pPr>
          </w:p>
        </w:tc>
      </w:tr>
      <w:tr w:rsidR="00520C3A" w14:paraId="2E799BB3" w14:textId="77777777" w:rsidTr="008B20DD">
        <w:trPr>
          <w:trHeight w:val="891"/>
        </w:trPr>
        <w:tc>
          <w:tcPr>
            <w:tcW w:w="1985" w:type="dxa"/>
            <w:vAlign w:val="center"/>
          </w:tcPr>
          <w:p w14:paraId="29C6AC18" w14:textId="77777777" w:rsidR="00520C3A" w:rsidRPr="00520C3A" w:rsidRDefault="00520C3A" w:rsidP="008B20DD">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8B20DD">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2251B4C6" w14:textId="2AA4149C" w:rsidR="00520C3A" w:rsidRPr="00520C3A" w:rsidRDefault="00520C3A">
      <w:pPr>
        <w:jc w:val="both"/>
        <w:rPr>
          <w:sz w:val="22"/>
          <w:szCs w:val="22"/>
          <w:lang w:val="en-US"/>
        </w:rPr>
      </w:pPr>
    </w:p>
    <w:p w14:paraId="5509AE6A" w14:textId="77777777" w:rsidR="00520C3A" w:rsidRDefault="00520C3A">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5" w:name="_Hlk79588713"/>
      <w:r>
        <w:rPr>
          <w:color w:val="000000" w:themeColor="text1"/>
          <w:sz w:val="22"/>
          <w:lang w:val="en-US"/>
        </w:rPr>
        <w:t>Design aspects of FDSS-SE – DMRS</w:t>
      </w:r>
    </w:p>
    <w:bookmarkEnd w:id="5"/>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lastRenderedPageBreak/>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6" w:name="_Hlk118799445"/>
      <w:r>
        <w:rPr>
          <w:sz w:val="22"/>
          <w:lang w:val="en-US"/>
        </w:rPr>
        <w:t>Design aspects of FDSS w/ SE – DMRS</w:t>
      </w:r>
    </w:p>
    <w:bookmarkEnd w:id="6"/>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lastRenderedPageBreak/>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lastRenderedPageBreak/>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lastRenderedPageBreak/>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RAN1 has not been able to determine the net performance of different DMRS designs, since most companies in RAN1 do not work with RF+baseband simulations.  From our simulations of OBO for data+DMRS, we do not see that the DMRS design impacts OBO.  Our understanding is that OBO is calculated for the full PUSCH (data+DMRS) in RAN4.  One more nuanced aspect is that EVM depends on the channel estimate and so data and dmrs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lastRenderedPageBreak/>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My suggestion would be to inform RAN4 of the design alternatives that are feasible from a RAN1 perspective, and to have RAN4 identify the performance differences and assess relative UE complexity.   If FDSS-SE is pursued in RAN4, then downselection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lastRenderedPageBreak/>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w:t>
            </w:r>
            <w:r w:rsidRPr="0004145F">
              <w:rPr>
                <w:lang w:val="en-US"/>
              </w:rPr>
              <w:lastRenderedPageBreak/>
              <w:t xml:space="preserve">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lastRenderedPageBreak/>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lastRenderedPageBreak/>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lastRenderedPageBreak/>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lastRenderedPageBreak/>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lastRenderedPageBreak/>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inband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lastRenderedPageBreak/>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Type 1 DMRS generated for inband+extension RBs</w:t>
            </w:r>
          </w:p>
          <w:p w14:paraId="67F0B243" w14:textId="28AD3783" w:rsidR="00EE0871" w:rsidRDefault="00EE0871" w:rsidP="00EE0871">
            <w:pPr>
              <w:pStyle w:val="ListParagraph"/>
              <w:numPr>
                <w:ilvl w:val="0"/>
                <w:numId w:val="79"/>
              </w:numPr>
              <w:jc w:val="both"/>
              <w:rPr>
                <w:lang w:val="en-US" w:eastAsia="zh-CN"/>
              </w:rPr>
            </w:pPr>
            <w:r>
              <w:rPr>
                <w:lang w:val="en-US" w:eastAsia="zh-CN"/>
              </w:rPr>
              <w:t>Type 2 DMRS generated for inband</w:t>
            </w:r>
            <w:r w:rsidR="005E3764">
              <w:rPr>
                <w:lang w:val="en-US" w:eastAsia="zh-CN"/>
              </w:rPr>
              <w:t>+</w:t>
            </w:r>
            <w:r>
              <w:rPr>
                <w:lang w:val="en-US" w:eastAsia="zh-CN"/>
              </w:rPr>
              <w:t>extension RBs</w:t>
            </w:r>
          </w:p>
          <w:p w14:paraId="4E102A2B" w14:textId="7D4CF714" w:rsidR="00EE0871" w:rsidRDefault="00EE0871" w:rsidP="00EE0871">
            <w:pPr>
              <w:pStyle w:val="ListParagraph"/>
              <w:numPr>
                <w:ilvl w:val="0"/>
                <w:numId w:val="79"/>
              </w:numPr>
              <w:jc w:val="both"/>
              <w:rPr>
                <w:lang w:val="en-US" w:eastAsia="zh-CN"/>
              </w:rPr>
            </w:pPr>
            <w:r>
              <w:rPr>
                <w:lang w:val="en-US" w:eastAsia="zh-CN"/>
              </w:rPr>
              <w:t>Type 1 DMRS generated for inband, and then extended similar to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inband, followed by cyclic sequence extension/per-RE </w:t>
            </w:r>
            <w:r w:rsidR="005E3764">
              <w:rPr>
                <w:lang w:val="en-US" w:eastAsia="zh-CN"/>
              </w:rPr>
              <w:t>extension. (two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inband,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AD1ED42" w:rsidR="00363057" w:rsidRPr="005C7348" w:rsidRDefault="00363057" w:rsidP="005C7348">
      <w:pPr>
        <w:jc w:val="both"/>
        <w:rPr>
          <w:sz w:val="22"/>
          <w:lang w:val="en-US"/>
        </w:rPr>
      </w:pPr>
      <w:r>
        <w:rPr>
          <w:sz w:val="22"/>
          <w:lang w:val="en-US"/>
        </w:rPr>
        <w:t>Further updates may be added here depending on the outcome of the online session.</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lastRenderedPageBreak/>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7"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8" w:name="_Ref118905470"/>
      <w:r>
        <w:rPr>
          <w:sz w:val="22"/>
          <w:lang w:val="fr-FR"/>
        </w:rPr>
        <w:t>MPR/PAR reduction techniques – modulation order</w:t>
      </w:r>
      <w:bookmarkEnd w:id="8"/>
    </w:p>
    <w:p w14:paraId="6EB525ED" w14:textId="77777777" w:rsidR="00584963" w:rsidRDefault="000933A6">
      <w:pPr>
        <w:pStyle w:val="ListParagraph"/>
        <w:numPr>
          <w:ilvl w:val="0"/>
          <w:numId w:val="26"/>
        </w:numPr>
        <w:jc w:val="both"/>
        <w:rPr>
          <w:sz w:val="22"/>
          <w:lang w:val="en-US"/>
        </w:rPr>
      </w:pPr>
      <w:bookmarkStart w:id="9" w:name="_Ref118904799"/>
      <w:bookmarkEnd w:id="7"/>
      <w:r>
        <w:rPr>
          <w:sz w:val="22"/>
          <w:lang w:val="en-US"/>
        </w:rPr>
        <w:t xml:space="preserve">Design aspects of FDSS w/ SE – </w:t>
      </w:r>
      <w:bookmarkEnd w:id="9"/>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10" w:name="_Toc415085486"/>
      <w:bookmarkStart w:id="11"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lastRenderedPageBreak/>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lastRenderedPageBreak/>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2"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r w:rsidR="000A0BB7">
        <w:rPr>
          <w:sz w:val="22"/>
          <w:szCs w:val="22"/>
          <w:lang w:val="en-US"/>
        </w:rPr>
        <w:t>ignaling</w:t>
      </w:r>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lastRenderedPageBreak/>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18pt" o:ole="">
                  <v:imagedata r:id="rId13" o:title=""/>
                </v:shape>
                <o:OLEObject Type="Embed" ProgID="Equation.DSMT4" ShapeID="_x0000_i1025" DrawAspect="Content" ObjectID="_1743613721"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w:t>
            </w:r>
            <w:r>
              <w:rPr>
                <w:lang w:val="en-US" w:eastAsia="zh-CN"/>
              </w:rPr>
              <w:lastRenderedPageBreak/>
              <w:t xml:space="preserve">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2pt;height:19.8pt" o:ole="">
                  <v:imagedata r:id="rId15" o:title=""/>
                </v:shape>
                <o:OLEObject Type="Embed" ProgID="Equation.DSMT4" ShapeID="_x0000_i1026" DrawAspect="Content" ObjectID="_1743613722"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4pt;height:18pt" o:ole="">
                  <v:imagedata r:id="rId13" o:title=""/>
                </v:shape>
                <o:OLEObject Type="Embed" ProgID="Equation.DSMT4" ShapeID="_x0000_i1027" DrawAspect="Content" ObjectID="_1743613723"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8pt;height:34.2pt" o:ole="">
                        <v:imagedata r:id="rId24" o:title=""/>
                      </v:shape>
                      <o:OLEObject Type="Embed" ProgID="Equation.DSMT4" ShapeID="_x0000_i1028" DrawAspect="Content" ObjectID="_1743613724"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2pt;height:18pt" o:ole="">
                        <v:imagedata r:id="rId26" o:title=""/>
                      </v:shape>
                      <o:OLEObject Type="Embed" ProgID="Equation.DSMT4" ShapeID="_x0000_i1029" DrawAspect="Content" ObjectID="_1743613725"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8pt;height:18pt" o:ole="">
                        <v:imagedata r:id="rId28" o:title=""/>
                      </v:shape>
                      <o:OLEObject Type="Embed" ProgID="Equation.DSMT4" ShapeID="_x0000_i1030" DrawAspect="Content" ObjectID="_1743613726"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2pt;height:19.8pt" o:ole="">
                        <v:imagedata r:id="rId15" o:title=""/>
                      </v:shape>
                      <o:OLEObject Type="Embed" ProgID="Equation.DSMT4" ShapeID="_x0000_i1031" DrawAspect="Content" ObjectID="_1743613727"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2pt;height:17.4pt" o:ole="">
                        <v:imagedata r:id="rId34" o:title=""/>
                      </v:shape>
                      <o:OLEObject Type="Embed" ProgID="Equation.DSMT4" ShapeID="_x0000_i1032" DrawAspect="Content" ObjectID="_1743613728"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1.6pt;height:18pt" o:ole="">
                        <v:imagedata r:id="rId36" o:title=""/>
                      </v:shape>
                      <o:OLEObject Type="Embed" ProgID="Equation.DSMT4" ShapeID="_x0000_i1033" DrawAspect="Content" ObjectID="_1743613729"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6pt;height:19.8pt" o:ole="">
                        <v:imagedata r:id="rId38" o:title=""/>
                      </v:shape>
                      <o:OLEObject Type="Embed" ProgID="Equation.DSMT4" ShapeID="_x0000_i1034" DrawAspect="Content" ObjectID="_1743613730"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4pt;height:33.6pt" o:ole="">
                        <v:imagedata r:id="rId40" o:title=""/>
                      </v:shape>
                      <o:OLEObject Type="Embed" ProgID="Equation.DSMT4" ShapeID="_x0000_i1035" DrawAspect="Content" ObjectID="_1743613731"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7.4pt;height:18.6pt" o:ole="">
                        <v:imagedata r:id="rId42" o:title=""/>
                      </v:shape>
                      <o:OLEObject Type="Embed" ProgID="Equation.DSMT4" ShapeID="_x0000_i1036" DrawAspect="Content" ObjectID="_1743613732"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4pt;height:18.6pt" o:ole="">
                        <v:imagedata r:id="rId44" o:title=""/>
                      </v:shape>
                      <o:OLEObject Type="Embed" ProgID="Equation.DSMT4" ShapeID="_x0000_i1037" DrawAspect="Content" ObjectID="_1743613733"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6pt;height:39pt" o:ole="">
                        <v:imagedata r:id="rId46" o:title=""/>
                      </v:shape>
                      <o:OLEObject Type="Embed" ProgID="Equation.DSMT4" ShapeID="_x0000_i1038" DrawAspect="Content" ObjectID="_1743613734"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0.6pt;height:27pt" o:ole="">
                        <v:imagedata r:id="rId48" o:title=""/>
                      </v:shape>
                      <o:OLEObject Type="Embed" ProgID="Equation.DSMT4" ShapeID="_x0000_i1039" DrawAspect="Content" ObjectID="_1743613735" r:id="rId49"/>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2pt;height:19.8pt" o:ole="">
                        <v:imagedata r:id="rId50" o:title=""/>
                      </v:shape>
                      <o:OLEObject Type="Embed" ProgID="Equation.DSMT4" ShapeID="_x0000_i1040" DrawAspect="Content" ObjectID="_1743613736"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2pt;height:19.8pt" o:ole="">
                        <v:imagedata r:id="rId52" o:title=""/>
                      </v:shape>
                      <o:OLEObject Type="Embed" ProgID="Equation.DSMT4" ShapeID="_x0000_i1041" DrawAspect="Content" ObjectID="_1743613737"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7.4pt;height:18.6pt" o:ole="">
                        <v:imagedata r:id="rId54" o:title=""/>
                      </v:shape>
                      <o:OLEObject Type="Embed" ProgID="Equation.DSMT4" ShapeID="_x0000_i1042" DrawAspect="Content" ObjectID="_1743613738"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6pt;height:18pt" o:ole="">
                        <v:imagedata r:id="rId56" o:title=""/>
                      </v:shape>
                      <o:OLEObject Type="Embed" ProgID="Equation.DSMT4" ShapeID="_x0000_i1043" DrawAspect="Content" ObjectID="_1743613739"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2pt;height:19.8pt" o:ole="">
            <v:imagedata r:id="rId15" o:title=""/>
          </v:shape>
          <o:OLEObject Type="Embed" ProgID="Equation.DSMT4" ShapeID="_x0000_i1044" DrawAspect="Content" ObjectID="_1743613740"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lastRenderedPageBreak/>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2pt;height:19.8pt" o:ole="">
                  <v:imagedata r:id="rId15" o:title=""/>
                </v:shape>
                <o:OLEObject Type="Embed" ProgID="Equation.DSMT4" ShapeID="_x0000_i1045" DrawAspect="Content" ObjectID="_1743613741" r:id="rId59"/>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t>
      </w:r>
      <w:r>
        <w:rPr>
          <w:sz w:val="22"/>
          <w:lang w:val="en-US"/>
        </w:rPr>
        <w:lastRenderedPageBreak/>
        <w:t>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13" w:name="_Hlk132999650"/>
      <w:r w:rsidRPr="00671EA3">
        <w:rPr>
          <w:rFonts w:eastAsia="SimSun"/>
          <w:color w:val="FF0000"/>
          <w:kern w:val="2"/>
          <w:position w:val="-14"/>
          <w:sz w:val="22"/>
          <w:szCs w:val="22"/>
          <w:highlight w:val="yellow"/>
          <w:lang w:val="en-US" w:eastAsia="zh-CN"/>
        </w:rPr>
        <w:object w:dxaOrig="1120" w:dyaOrig="400" w14:anchorId="7B84BBEC">
          <v:shape id="_x0000_i1046" type="#_x0000_t75" style="width:55.2pt;height:19.8pt" o:ole="">
            <v:imagedata r:id="rId15" o:title=""/>
          </v:shape>
          <o:OLEObject Type="Embed" ProgID="Equation.DSMT4" ShapeID="_x0000_i1046" DrawAspect="Content" ObjectID="_1743613742" r:id="rId60"/>
        </w:object>
      </w:r>
      <w:bookmarkEnd w:id="13"/>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8B20DD">
            <w:pPr>
              <w:jc w:val="center"/>
              <w:rPr>
                <w:rFonts w:eastAsia="SimSun"/>
                <w:b w:val="0"/>
                <w:bCs w:val="0"/>
                <w:lang w:val="en-US"/>
              </w:rPr>
            </w:pPr>
            <w:r>
              <w:rPr>
                <w:rFonts w:eastAsia="SimSun"/>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w:t>
      </w:r>
      <w:r>
        <w:rPr>
          <w:sz w:val="22"/>
          <w:lang w:val="en-US"/>
        </w:rPr>
        <w:t xml:space="preserve">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w:t>
      </w:r>
      <w:r>
        <w:rPr>
          <w:sz w:val="22"/>
          <w:lang w:val="en-US"/>
        </w:rPr>
        <w:t xml:space="preserve">I would still like to propose an online discussion about it, if time allows it. </w:t>
      </w:r>
    </w:p>
    <w:p w14:paraId="6D1FE72A" w14:textId="2F820619" w:rsidR="00303E84" w:rsidRPr="00303E84" w:rsidRDefault="00303E84" w:rsidP="00953CAB">
      <w:pPr>
        <w:jc w:val="both"/>
        <w:rPr>
          <w:sz w:val="22"/>
          <w:lang w:val="en-US"/>
        </w:rPr>
      </w:pPr>
      <w:r>
        <w:rPr>
          <w:sz w:val="22"/>
          <w:lang w:val="en-US"/>
        </w:rPr>
        <w:lastRenderedPageBreak/>
        <w:t>Comments can still be added in the table above is companies so wish.</w:t>
      </w:r>
    </w:p>
    <w:p w14:paraId="6760B515" w14:textId="77777777" w:rsidR="00EE414A" w:rsidRDefault="00EE414A">
      <w:pPr>
        <w:jc w:val="both"/>
        <w:rPr>
          <w:sz w:val="22"/>
          <w:lang w:val="en-US"/>
        </w:rPr>
      </w:pPr>
    </w:p>
    <w:p w14:paraId="3F1EFEA8" w14:textId="4E5445F9" w:rsidR="00584963" w:rsidRDefault="00303E84">
      <w:pPr>
        <w:pStyle w:val="Heading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w:t>
      </w:r>
      <w:r>
        <w:rPr>
          <w:sz w:val="22"/>
          <w:szCs w:val="22"/>
          <w:lang w:val="en-US"/>
        </w:rPr>
        <w:lastRenderedPageBreak/>
        <w:t>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w:t>
            </w:r>
            <w:r w:rsidRPr="001576F2">
              <w:rPr>
                <w:rFonts w:eastAsia="SimSun"/>
                <w:lang w:val="en-US"/>
              </w:rPr>
              <w:lastRenderedPageBreak/>
              <w:t xml:space="preserve">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lastRenderedPageBreak/>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cant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3D7AB1">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lastRenderedPageBreak/>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3D7AB1">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lastRenderedPageBreak/>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3D7AB1">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t xml:space="preserve">Additionally, </w:t>
            </w:r>
            <w:r w:rsidR="00593811">
              <w:rPr>
                <w:rFonts w:eastAsia="SimSun"/>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19134D25" w:rsidR="00584963" w:rsidRDefault="00320968" w:rsidP="008A78F8">
      <w:pPr>
        <w:pStyle w:val="Heading3"/>
        <w:numPr>
          <w:ilvl w:val="3"/>
          <w:numId w:val="4"/>
        </w:numPr>
        <w:jc w:val="both"/>
        <w:rPr>
          <w:lang w:val="en-US"/>
        </w:rPr>
      </w:pPr>
      <w:r w:rsidRPr="0088296D">
        <w:rPr>
          <w:color w:val="4BACC6" w:themeColor="accent5"/>
          <w:szCs w:val="28"/>
          <w:lang w:val="en-US"/>
        </w:rPr>
        <w:lastRenderedPageBreak/>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lastRenderedPageBreak/>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lastRenderedPageBreak/>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2"/>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lastRenderedPageBreak/>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lastRenderedPageBreak/>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To answer FL: For TR, data are not mapped to the extension REs in my understanding.  Then if we define the ‘occupied’ REs as those only containing data, RAN4 specs could be substantially impacted.  So the situation has similarit</w:t>
            </w:r>
            <w:r>
              <w:rPr>
                <w:lang w:val="en-US" w:eastAsia="zh-CN"/>
              </w:rPr>
              <w:t>ies</w:t>
            </w:r>
            <w:r w:rsidR="00493318">
              <w:rPr>
                <w:lang w:val="en-US" w:eastAsia="zh-CN"/>
              </w:rPr>
              <w:t xml:space="preserve"> to FDSS-SE, but is not the same.</w:t>
            </w:r>
          </w:p>
        </w:tc>
      </w:tr>
      <w:tr w:rsidR="00D566A8" w14:paraId="4D76226C" w14:textId="77777777" w:rsidTr="003D7AB1">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 xml:space="preserve">Companies have been analyzing and proposing some signaling options since the beginning of the Release. There are not many ways in which the very limited spec impact that either TR </w:t>
      </w:r>
      <w:r w:rsidRPr="00B114BC">
        <w:rPr>
          <w:sz w:val="22"/>
          <w:lang w:val="en-US"/>
        </w:rPr>
        <w:t>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this</w:t>
      </w:r>
      <w:r w:rsidRPr="00B114BC">
        <w:rPr>
          <w:sz w:val="22"/>
          <w:szCs w:val="22"/>
          <w:lang w:val="en-US" w:eastAsia="zh-CN"/>
        </w:rPr>
        <w:t xml:space="preserve">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w:t>
      </w:r>
      <w:r w:rsidRPr="00B114BC">
        <w:rPr>
          <w:sz w:val="22"/>
          <w:szCs w:val="22"/>
          <w:lang w:val="en-US" w:eastAsia="zh-CN"/>
        </w:rPr>
        <w:lastRenderedPageBreak/>
        <w:t>differently (plus the addition of the PRTs in the “extension”</w:t>
      </w:r>
      <w:r>
        <w:rPr>
          <w:sz w:val="22"/>
          <w:szCs w:val="22"/>
          <w:lang w:val="en-US" w:eastAsia="zh-CN"/>
        </w:rPr>
        <w:t>)</w:t>
      </w:r>
      <w:r>
        <w:rPr>
          <w:sz w:val="22"/>
          <w:szCs w:val="22"/>
          <w:lang w:val="en-US" w:eastAsia="zh-CN"/>
        </w:rPr>
        <w:t xml:space="preserve">. Of course, hypotheses and assumptions </w:t>
      </w:r>
      <w:r>
        <w:rPr>
          <w:sz w:val="22"/>
          <w:szCs w:val="22"/>
          <w:lang w:val="en-US" w:eastAsia="zh-CN"/>
        </w:rPr>
        <w:t xml:space="preserve">can always be made </w:t>
      </w:r>
      <w:r>
        <w:rPr>
          <w:sz w:val="22"/>
          <w:szCs w:val="22"/>
          <w:lang w:val="en-US" w:eastAsia="zh-CN"/>
        </w:rPr>
        <w:t xml:space="preserve">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w:t>
      </w:r>
      <w:r>
        <w:rPr>
          <w:sz w:val="22"/>
          <w:lang w:val="en-US"/>
        </w:rPr>
        <w:t xml:space="preserve"> I will still propose to endorse </w:t>
      </w:r>
      <w:r>
        <w:rPr>
          <w:sz w:val="22"/>
          <w:lang w:val="en-US"/>
        </w:rPr>
        <w:t>this proposal</w:t>
      </w:r>
      <w:r>
        <w:rPr>
          <w:sz w:val="22"/>
          <w:lang w:val="en-US"/>
        </w:rPr>
        <w:t xml:space="preserve"> online if time allows, </w:t>
      </w:r>
      <w:r>
        <w:rPr>
          <w:sz w:val="22"/>
          <w:lang w:val="en-US"/>
        </w:rPr>
        <w:t>assuming that</w:t>
      </w:r>
      <w:r>
        <w:rPr>
          <w:sz w:val="22"/>
          <w:lang w:val="en-US"/>
        </w:rPr>
        <w:t xml:space="preserve">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4B3FBD" w14:paraId="4A811DC1"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8B20DD">
            <w:pPr>
              <w:jc w:val="center"/>
              <w:rPr>
                <w:rFonts w:eastAsia="SimSun"/>
                <w:b w:val="0"/>
                <w:bCs w:val="0"/>
                <w:lang w:val="en-US"/>
              </w:rPr>
            </w:pPr>
            <w:r>
              <w:rPr>
                <w:rFonts w:eastAsia="SimSun"/>
                <w:lang w:val="en-US"/>
              </w:rPr>
              <w:t>Company</w:t>
            </w:r>
          </w:p>
        </w:tc>
        <w:tc>
          <w:tcPr>
            <w:tcW w:w="7662" w:type="dxa"/>
            <w:vAlign w:val="center"/>
          </w:tcPr>
          <w:p w14:paraId="51AF3B41" w14:textId="77777777" w:rsidR="004B3FBD" w:rsidRDefault="004B3FBD" w:rsidP="008B20DD">
            <w:pPr>
              <w:jc w:val="center"/>
              <w:rPr>
                <w:rFonts w:eastAsia="SimSun"/>
                <w:b w:val="0"/>
                <w:bCs w:val="0"/>
                <w:lang w:val="en-US"/>
              </w:rPr>
            </w:pPr>
            <w:r>
              <w:rPr>
                <w:rFonts w:eastAsia="SimSun"/>
                <w:lang w:val="en-US"/>
              </w:rPr>
              <w:t>Answer/Views</w:t>
            </w:r>
          </w:p>
        </w:tc>
      </w:tr>
      <w:tr w:rsidR="004B3FBD" w14:paraId="5B0E6AED" w14:textId="77777777" w:rsidTr="008B20DD">
        <w:trPr>
          <w:trHeight w:val="313"/>
        </w:trPr>
        <w:tc>
          <w:tcPr>
            <w:tcW w:w="1977" w:type="dxa"/>
          </w:tcPr>
          <w:p w14:paraId="565F5997" w14:textId="41265D16" w:rsidR="004B3FBD" w:rsidRDefault="004B3FBD" w:rsidP="008B20DD">
            <w:pPr>
              <w:jc w:val="both"/>
              <w:rPr>
                <w:rFonts w:eastAsia="MS Mincho"/>
                <w:lang w:val="en-US" w:eastAsia="ja-JP"/>
              </w:rPr>
            </w:pPr>
          </w:p>
        </w:tc>
        <w:tc>
          <w:tcPr>
            <w:tcW w:w="7662" w:type="dxa"/>
          </w:tcPr>
          <w:p w14:paraId="22FCE5F3" w14:textId="29551C2B" w:rsidR="004B3FBD" w:rsidRDefault="004B3FBD" w:rsidP="008B20DD">
            <w:pPr>
              <w:jc w:val="both"/>
              <w:rPr>
                <w:rFonts w:eastAsia="MS Mincho"/>
                <w:lang w:val="en-US" w:eastAsia="ja-JP"/>
              </w:rPr>
            </w:pPr>
          </w:p>
        </w:tc>
      </w:tr>
      <w:tr w:rsidR="004B3FBD" w14:paraId="1824599D" w14:textId="77777777" w:rsidTr="008B20DD">
        <w:trPr>
          <w:trHeight w:val="300"/>
        </w:trPr>
        <w:tc>
          <w:tcPr>
            <w:tcW w:w="1977" w:type="dxa"/>
          </w:tcPr>
          <w:p w14:paraId="5328E328" w14:textId="3172DD03" w:rsidR="004B3FBD" w:rsidRPr="007F3A84" w:rsidRDefault="004B3FBD" w:rsidP="008B20DD">
            <w:pPr>
              <w:jc w:val="both"/>
              <w:rPr>
                <w:rFonts w:eastAsia="MS Mincho"/>
                <w:color w:val="FF0000"/>
                <w:lang w:val="en-US" w:eastAsia="ja-JP"/>
              </w:rPr>
            </w:pPr>
          </w:p>
        </w:tc>
        <w:tc>
          <w:tcPr>
            <w:tcW w:w="7662" w:type="dxa"/>
          </w:tcPr>
          <w:p w14:paraId="629F664C" w14:textId="77CDE90F" w:rsidR="004B3FBD" w:rsidRPr="007F3A84" w:rsidRDefault="004B3FBD" w:rsidP="008B20DD">
            <w:pPr>
              <w:jc w:val="both"/>
              <w:rPr>
                <w:rFonts w:eastAsia="MS Mincho"/>
                <w:color w:val="FF0000"/>
                <w:lang w:val="en-US" w:eastAsia="ja-JP"/>
              </w:rPr>
            </w:pPr>
          </w:p>
        </w:tc>
      </w:tr>
      <w:tr w:rsidR="004B3FBD" w14:paraId="2CF4C32C" w14:textId="77777777" w:rsidTr="008B20DD">
        <w:trPr>
          <w:trHeight w:val="300"/>
        </w:trPr>
        <w:tc>
          <w:tcPr>
            <w:tcW w:w="1977" w:type="dxa"/>
          </w:tcPr>
          <w:p w14:paraId="458E9402" w14:textId="67670E04" w:rsidR="004B3FBD" w:rsidRPr="00B96CA6" w:rsidRDefault="004B3FBD" w:rsidP="008B20DD">
            <w:pPr>
              <w:jc w:val="both"/>
              <w:rPr>
                <w:lang w:val="en-US" w:eastAsia="zh-CN"/>
              </w:rPr>
            </w:pPr>
          </w:p>
        </w:tc>
        <w:tc>
          <w:tcPr>
            <w:tcW w:w="7662" w:type="dxa"/>
          </w:tcPr>
          <w:p w14:paraId="09D0DE81" w14:textId="1E95799C" w:rsidR="004B3FBD" w:rsidRPr="00B96CA6" w:rsidRDefault="004B3FBD" w:rsidP="008B20DD">
            <w:pPr>
              <w:jc w:val="both"/>
              <w:rPr>
                <w:lang w:val="en-US" w:eastAsia="zh-CN"/>
              </w:rPr>
            </w:pPr>
          </w:p>
        </w:tc>
      </w:tr>
      <w:tr w:rsidR="004B3FBD" w14:paraId="39BCB3AB" w14:textId="77777777" w:rsidTr="008B20DD">
        <w:trPr>
          <w:trHeight w:val="300"/>
        </w:trPr>
        <w:tc>
          <w:tcPr>
            <w:tcW w:w="1977" w:type="dxa"/>
          </w:tcPr>
          <w:p w14:paraId="44F02D53" w14:textId="28B6AC9B" w:rsidR="004B3FBD" w:rsidRDefault="004B3FBD" w:rsidP="008B20DD">
            <w:pPr>
              <w:jc w:val="both"/>
              <w:rPr>
                <w:lang w:val="en-US" w:eastAsia="zh-CN"/>
              </w:rPr>
            </w:pPr>
          </w:p>
        </w:tc>
        <w:tc>
          <w:tcPr>
            <w:tcW w:w="7662" w:type="dxa"/>
          </w:tcPr>
          <w:p w14:paraId="4D07A7C9" w14:textId="7791A011" w:rsidR="004B3FBD" w:rsidRDefault="004B3FBD" w:rsidP="008B20DD">
            <w:pPr>
              <w:jc w:val="both"/>
              <w:rPr>
                <w:lang w:val="en-US" w:eastAsia="zh-CN"/>
              </w:rPr>
            </w:pPr>
          </w:p>
        </w:tc>
      </w:tr>
      <w:tr w:rsidR="004B3FBD" w14:paraId="6D1A69AE" w14:textId="77777777" w:rsidTr="008B20DD">
        <w:trPr>
          <w:trHeight w:val="300"/>
        </w:trPr>
        <w:tc>
          <w:tcPr>
            <w:tcW w:w="1977" w:type="dxa"/>
          </w:tcPr>
          <w:p w14:paraId="1745854F" w14:textId="76BD7F72" w:rsidR="004B3FBD" w:rsidRDefault="004B3FBD" w:rsidP="008B20DD">
            <w:pPr>
              <w:jc w:val="both"/>
              <w:rPr>
                <w:lang w:val="en-US" w:eastAsia="zh-CN"/>
              </w:rPr>
            </w:pPr>
          </w:p>
        </w:tc>
        <w:tc>
          <w:tcPr>
            <w:tcW w:w="7662" w:type="dxa"/>
          </w:tcPr>
          <w:p w14:paraId="6117E789" w14:textId="030876AD" w:rsidR="004B3FBD" w:rsidRDefault="004B3FBD" w:rsidP="008B20DD">
            <w:pPr>
              <w:jc w:val="both"/>
              <w:rPr>
                <w:lang w:val="en-US" w:eastAsia="zh-CN"/>
              </w:rPr>
            </w:pPr>
          </w:p>
        </w:tc>
      </w:tr>
    </w:tbl>
    <w:p w14:paraId="00E5B6B1" w14:textId="77777777" w:rsidR="004B3FBD" w:rsidRDefault="004B3FBD">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 xml:space="preserve">For PRT design, this is an advanced aspect of TR which may become relevant only after a possible decision, made by RAN4, to specify support for this scheme in Rel-18. Additionally, it can safely be </w:t>
      </w:r>
      <w:r>
        <w:rPr>
          <w:rStyle w:val="eop"/>
          <w:bCs/>
          <w:iCs/>
          <w:sz w:val="22"/>
          <w:szCs w:val="22"/>
          <w:lang w:val="en-US"/>
        </w:rPr>
        <w:lastRenderedPageBreak/>
        <w:t>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4" w:name="_Hlk132122502"/>
            <w:r>
              <w:rPr>
                <w:rFonts w:eastAsia="Microsoft YaHei UI" w:cs="Times"/>
                <w:color w:val="000000"/>
                <w:lang w:val="en-US"/>
              </w:rPr>
              <w:t>where extension factor (α) is given by spectrum extension size / Total allocation size.</w:t>
            </w:r>
            <w:bookmarkEnd w:id="14"/>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lastRenderedPageBreak/>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15" w:name="_Hlk132121304"/>
                  <w:r>
                    <w:rPr>
                      <w:lang w:val="en-US" w:eastAsia="ja-JP"/>
                    </w:rPr>
                    <w:t>Extension factor [FDSS-SE] / sideband size [TR] (α)</w:t>
                  </w:r>
                  <w:bookmarkEnd w:id="15"/>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lastRenderedPageBreak/>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10"/>
    <w:bookmarkEnd w:id="11"/>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SimSun"/>
          <w:color w:val="FF0000"/>
          <w:kern w:val="2"/>
          <w:position w:val="-14"/>
          <w:sz w:val="22"/>
          <w:szCs w:val="22"/>
          <w:lang w:val="en-US" w:eastAsia="zh-CN"/>
        </w:rPr>
        <w:object w:dxaOrig="1120" w:dyaOrig="400" w14:anchorId="6277AF0C">
          <v:shape id="_x0000_i1047" type="#_x0000_t75" style="width:55.2pt;height:19.8pt" o:ole="">
            <v:imagedata r:id="rId15" o:title=""/>
          </v:shape>
          <o:OLEObject Type="Embed" ProgID="Equation.DSMT4" ShapeID="_x0000_i1047" DrawAspect="Content" ObjectID="_1743613743" r:id="rId62"/>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16" w:name="_Hlk132999684"/>
      <w:r w:rsidRPr="0000780C">
        <w:rPr>
          <w:sz w:val="22"/>
          <w:szCs w:val="22"/>
          <w:lang w:val="en-US" w:eastAsia="zh-CN"/>
        </w:rPr>
        <w:t>Note: whether this will have RAN1 specification impact (if any) is a separate discussion and subject to RAN4’s conclusion to support FDSS-SE as one MPR/PAR reduction solution for Rel-18 (if any).</w:t>
      </w:r>
    </w:p>
    <w:bookmarkEnd w:id="16"/>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lastRenderedPageBreak/>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7" w:name="_Hlk132128087"/>
      <w:bookmarkStart w:id="18"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19"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7"/>
    </w:p>
    <w:bookmarkEnd w:id="18"/>
    <w:p w14:paraId="42E22DAC" w14:textId="77777777" w:rsidR="00584963" w:rsidRDefault="00584963">
      <w:pPr>
        <w:pStyle w:val="ListParagraph"/>
        <w:spacing w:after="0"/>
        <w:ind w:left="360"/>
        <w:rPr>
          <w:sz w:val="22"/>
          <w:szCs w:val="22"/>
          <w:lang w:val="en-US"/>
        </w:rPr>
      </w:pPr>
    </w:p>
    <w:bookmarkEnd w:id="19"/>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lastRenderedPageBreak/>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lastRenderedPageBreak/>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lastRenderedPageBreak/>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20"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20"/>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lastRenderedPageBreak/>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lastRenderedPageBreak/>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lastRenderedPageBreak/>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lastRenderedPageBreak/>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lastRenderedPageBreak/>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lastRenderedPageBreak/>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lastRenderedPageBreak/>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lastRenderedPageBreak/>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lastRenderedPageBreak/>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lastRenderedPageBreak/>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lastRenderedPageBreak/>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7C36" w14:textId="77777777" w:rsidR="00A955BA" w:rsidRDefault="00A955BA">
      <w:pPr>
        <w:spacing w:after="0"/>
      </w:pPr>
      <w:r>
        <w:separator/>
      </w:r>
    </w:p>
  </w:endnote>
  <w:endnote w:type="continuationSeparator" w:id="0">
    <w:p w14:paraId="1102A8BD" w14:textId="77777777" w:rsidR="00A955BA" w:rsidRDefault="00A955BA">
      <w:pPr>
        <w:spacing w:after="0"/>
      </w:pPr>
      <w:r>
        <w:continuationSeparator/>
      </w:r>
    </w:p>
  </w:endnote>
  <w:endnote w:type="continuationNotice" w:id="1">
    <w:p w14:paraId="3C791E2B" w14:textId="77777777" w:rsidR="00A955BA" w:rsidRDefault="00A955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2639" w14:textId="77777777" w:rsidR="00A955BA" w:rsidRDefault="00A955BA">
      <w:pPr>
        <w:spacing w:after="0"/>
      </w:pPr>
      <w:r>
        <w:separator/>
      </w:r>
    </w:p>
  </w:footnote>
  <w:footnote w:type="continuationSeparator" w:id="0">
    <w:p w14:paraId="17E51498" w14:textId="77777777" w:rsidR="00A955BA" w:rsidRDefault="00A955BA">
      <w:pPr>
        <w:spacing w:after="0"/>
      </w:pPr>
      <w:r>
        <w:continuationSeparator/>
      </w:r>
    </w:p>
  </w:footnote>
  <w:footnote w:type="continuationNotice" w:id="1">
    <w:p w14:paraId="0BF24B61" w14:textId="77777777" w:rsidR="00A955BA" w:rsidRDefault="00A955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9"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6"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2"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7"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1"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2"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3"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tentative="1">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2"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E363166"/>
    <w:multiLevelType w:val="hybridMultilevel"/>
    <w:tmpl w:val="B856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3899199">
    <w:abstractNumId w:val="39"/>
    <w:lvlOverride w:ilvl="0">
      <w:startOverride w:val="1"/>
    </w:lvlOverride>
  </w:num>
  <w:num w:numId="2" w16cid:durableId="332342922">
    <w:abstractNumId w:val="54"/>
  </w:num>
  <w:num w:numId="3" w16cid:durableId="996497121">
    <w:abstractNumId w:val="33"/>
  </w:num>
  <w:num w:numId="4" w16cid:durableId="935403242">
    <w:abstractNumId w:val="19"/>
  </w:num>
  <w:num w:numId="5" w16cid:durableId="944844879">
    <w:abstractNumId w:val="6"/>
  </w:num>
  <w:num w:numId="6" w16cid:durableId="136537346">
    <w:abstractNumId w:val="25"/>
  </w:num>
  <w:num w:numId="7" w16cid:durableId="1086418429">
    <w:abstractNumId w:val="31"/>
  </w:num>
  <w:num w:numId="8" w16cid:durableId="73017053">
    <w:abstractNumId w:val="16"/>
  </w:num>
  <w:num w:numId="9" w16cid:durableId="1055398547">
    <w:abstractNumId w:val="59"/>
  </w:num>
  <w:num w:numId="10" w16cid:durableId="823276511">
    <w:abstractNumId w:val="74"/>
  </w:num>
  <w:num w:numId="11" w16cid:durableId="1400907433">
    <w:abstractNumId w:val="57"/>
  </w:num>
  <w:num w:numId="12" w16cid:durableId="2124567343">
    <w:abstractNumId w:val="5"/>
  </w:num>
  <w:num w:numId="13" w16cid:durableId="1450313983">
    <w:abstractNumId w:val="60"/>
  </w:num>
  <w:num w:numId="14" w16cid:durableId="725377118">
    <w:abstractNumId w:val="34"/>
  </w:num>
  <w:num w:numId="15" w16cid:durableId="1713456599">
    <w:abstractNumId w:val="12"/>
  </w:num>
  <w:num w:numId="16" w16cid:durableId="1994525042">
    <w:abstractNumId w:val="4"/>
  </w:num>
  <w:num w:numId="17" w16cid:durableId="610626046">
    <w:abstractNumId w:val="85"/>
  </w:num>
  <w:num w:numId="18" w16cid:durableId="877399475">
    <w:abstractNumId w:val="18"/>
  </w:num>
  <w:num w:numId="19" w16cid:durableId="1821078126">
    <w:abstractNumId w:val="38"/>
  </w:num>
  <w:num w:numId="20" w16cid:durableId="879711923">
    <w:abstractNumId w:val="58"/>
  </w:num>
  <w:num w:numId="21" w16cid:durableId="536701554">
    <w:abstractNumId w:val="17"/>
  </w:num>
  <w:num w:numId="22" w16cid:durableId="1008603706">
    <w:abstractNumId w:val="83"/>
  </w:num>
  <w:num w:numId="23" w16cid:durableId="41485735">
    <w:abstractNumId w:val="72"/>
  </w:num>
  <w:num w:numId="24" w16cid:durableId="243881351">
    <w:abstractNumId w:val="63"/>
  </w:num>
  <w:num w:numId="25" w16cid:durableId="778256747">
    <w:abstractNumId w:val="43"/>
  </w:num>
  <w:num w:numId="26" w16cid:durableId="1946814156">
    <w:abstractNumId w:val="73"/>
  </w:num>
  <w:num w:numId="27" w16cid:durableId="1634409641">
    <w:abstractNumId w:val="50"/>
  </w:num>
  <w:num w:numId="28" w16cid:durableId="1283924901">
    <w:abstractNumId w:val="20"/>
  </w:num>
  <w:num w:numId="29" w16cid:durableId="865756131">
    <w:abstractNumId w:val="29"/>
  </w:num>
  <w:num w:numId="30" w16cid:durableId="913473113">
    <w:abstractNumId w:val="65"/>
  </w:num>
  <w:num w:numId="31" w16cid:durableId="1981958469">
    <w:abstractNumId w:val="76"/>
  </w:num>
  <w:num w:numId="32" w16cid:durableId="225727643">
    <w:abstractNumId w:val="11"/>
  </w:num>
  <w:num w:numId="33" w16cid:durableId="114103655">
    <w:abstractNumId w:val="78"/>
  </w:num>
  <w:num w:numId="34" w16cid:durableId="714744736">
    <w:abstractNumId w:val="37"/>
  </w:num>
  <w:num w:numId="35" w16cid:durableId="2101944853">
    <w:abstractNumId w:val="45"/>
  </w:num>
  <w:num w:numId="36" w16cid:durableId="1691757318">
    <w:abstractNumId w:val="66"/>
  </w:num>
  <w:num w:numId="37" w16cid:durableId="1865484089">
    <w:abstractNumId w:val="62"/>
  </w:num>
  <w:num w:numId="38" w16cid:durableId="23336449">
    <w:abstractNumId w:val="36"/>
  </w:num>
  <w:num w:numId="39" w16cid:durableId="1001785386">
    <w:abstractNumId w:val="28"/>
  </w:num>
  <w:num w:numId="40" w16cid:durableId="2136871218">
    <w:abstractNumId w:val="82"/>
  </w:num>
  <w:num w:numId="41" w16cid:durableId="1629357474">
    <w:abstractNumId w:val="46"/>
  </w:num>
  <w:num w:numId="42" w16cid:durableId="1994866904">
    <w:abstractNumId w:val="8"/>
  </w:num>
  <w:num w:numId="43" w16cid:durableId="42217651">
    <w:abstractNumId w:val="49"/>
  </w:num>
  <w:num w:numId="44" w16cid:durableId="1366901730">
    <w:abstractNumId w:val="27"/>
  </w:num>
  <w:num w:numId="45" w16cid:durableId="637151801">
    <w:abstractNumId w:val="21"/>
  </w:num>
  <w:num w:numId="46" w16cid:durableId="624428061">
    <w:abstractNumId w:val="69"/>
  </w:num>
  <w:num w:numId="47" w16cid:durableId="454372805">
    <w:abstractNumId w:val="52"/>
  </w:num>
  <w:num w:numId="48" w16cid:durableId="1789926946">
    <w:abstractNumId w:val="48"/>
  </w:num>
  <w:num w:numId="49" w16cid:durableId="21980781">
    <w:abstractNumId w:val="55"/>
  </w:num>
  <w:num w:numId="50" w16cid:durableId="1895504185">
    <w:abstractNumId w:val="35"/>
  </w:num>
  <w:num w:numId="51" w16cid:durableId="2018728743">
    <w:abstractNumId w:val="61"/>
  </w:num>
  <w:num w:numId="52" w16cid:durableId="1333215891">
    <w:abstractNumId w:val="44"/>
  </w:num>
  <w:num w:numId="53" w16cid:durableId="190386426">
    <w:abstractNumId w:val="13"/>
  </w:num>
  <w:num w:numId="54" w16cid:durableId="510146195">
    <w:abstractNumId w:val="47"/>
  </w:num>
  <w:num w:numId="55" w16cid:durableId="128744847">
    <w:abstractNumId w:val="7"/>
  </w:num>
  <w:num w:numId="56" w16cid:durableId="2053799778">
    <w:abstractNumId w:val="30"/>
  </w:num>
  <w:num w:numId="57" w16cid:durableId="518276223">
    <w:abstractNumId w:val="84"/>
  </w:num>
  <w:num w:numId="58" w16cid:durableId="2106270399">
    <w:abstractNumId w:val="9"/>
  </w:num>
  <w:num w:numId="59" w16cid:durableId="1901362702">
    <w:abstractNumId w:val="51"/>
  </w:num>
  <w:num w:numId="60" w16cid:durableId="1022701996">
    <w:abstractNumId w:val="26"/>
  </w:num>
  <w:num w:numId="61" w16cid:durableId="1469198787">
    <w:abstractNumId w:val="41"/>
  </w:num>
  <w:num w:numId="62" w16cid:durableId="814759765">
    <w:abstractNumId w:val="42"/>
  </w:num>
  <w:num w:numId="63" w16cid:durableId="1743020231">
    <w:abstractNumId w:val="40"/>
  </w:num>
  <w:num w:numId="64" w16cid:durableId="509026563">
    <w:abstractNumId w:val="23"/>
  </w:num>
  <w:num w:numId="65" w16cid:durableId="1239098551">
    <w:abstractNumId w:val="64"/>
  </w:num>
  <w:num w:numId="66" w16cid:durableId="4029941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1938195">
    <w:abstractNumId w:val="77"/>
  </w:num>
  <w:num w:numId="68" w16cid:durableId="1908491700">
    <w:abstractNumId w:val="32"/>
  </w:num>
  <w:num w:numId="69" w16cid:durableId="1272131011">
    <w:abstractNumId w:val="15"/>
  </w:num>
  <w:num w:numId="70" w16cid:durableId="645665571">
    <w:abstractNumId w:val="14"/>
  </w:num>
  <w:num w:numId="71" w16cid:durableId="1321077785">
    <w:abstractNumId w:val="3"/>
  </w:num>
  <w:num w:numId="72" w16cid:durableId="105660444">
    <w:abstractNumId w:val="67"/>
  </w:num>
  <w:num w:numId="73" w16cid:durableId="1965236971">
    <w:abstractNumId w:val="2"/>
  </w:num>
  <w:num w:numId="74" w16cid:durableId="79255285">
    <w:abstractNumId w:val="75"/>
  </w:num>
  <w:num w:numId="75" w16cid:durableId="1417048726">
    <w:abstractNumId w:val="68"/>
  </w:num>
  <w:num w:numId="76" w16cid:durableId="26375853">
    <w:abstractNumId w:val="53"/>
  </w:num>
  <w:num w:numId="77" w16cid:durableId="2099210957">
    <w:abstractNumId w:val="56"/>
  </w:num>
  <w:num w:numId="78" w16cid:durableId="1535918986">
    <w:abstractNumId w:val="0"/>
  </w:num>
  <w:num w:numId="79" w16cid:durableId="654726245">
    <w:abstractNumId w:val="1"/>
  </w:num>
  <w:num w:numId="80" w16cid:durableId="1107624701">
    <w:abstractNumId w:val="10"/>
  </w:num>
  <w:num w:numId="81" w16cid:durableId="149754533">
    <w:abstractNumId w:val="86"/>
  </w:num>
  <w:num w:numId="82" w16cid:durableId="538979479">
    <w:abstractNumId w:val="80"/>
    <w:lvlOverride w:ilvl="0"/>
    <w:lvlOverride w:ilvl="1"/>
    <w:lvlOverride w:ilvl="2"/>
    <w:lvlOverride w:ilvl="3"/>
    <w:lvlOverride w:ilvl="4"/>
    <w:lvlOverride w:ilvl="5"/>
    <w:lvlOverride w:ilvl="6"/>
    <w:lvlOverride w:ilvl="7"/>
    <w:lvlOverride w:ilvl="8"/>
  </w:num>
  <w:num w:numId="83" w16cid:durableId="361593017">
    <w:abstractNumId w:val="22"/>
  </w:num>
  <w:num w:numId="84" w16cid:durableId="2046059369">
    <w:abstractNumId w:val="79"/>
  </w:num>
  <w:num w:numId="85" w16cid:durableId="531311951">
    <w:abstractNumId w:val="81"/>
  </w:num>
  <w:num w:numId="86" w16cid:durableId="742217549">
    <w:abstractNumId w:val="70"/>
  </w:num>
  <w:num w:numId="87" w16cid:durableId="168954070">
    <w:abstractNumId w:val="24"/>
  </w:num>
  <w:num w:numId="88" w16cid:durableId="408386519">
    <w:abstractNumId w:val="8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E84"/>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customXml" Target="../customXml/item5.xml"/><Relationship Id="rId61" Type="http://schemas.openxmlformats.org/officeDocument/2006/relationships/image" Target="media/image27.png"/><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8092A90-864C-4BBF-9100-67830FD77465}">
  <ds:schemaRefs>
    <ds:schemaRef ds:uri="http://schemas.openxmlformats.org/officeDocument/2006/bibliography"/>
  </ds:schemaRefs>
</ds:datastoreItem>
</file>

<file path=customXml/itemProps3.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4.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88</Pages>
  <Words>32979</Words>
  <Characters>181390</Characters>
  <Application>Microsoft Office Word</Application>
  <DocSecurity>0</DocSecurity>
  <Lines>1511</Lines>
  <Paragraphs>427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Marco Maso</cp:lastModifiedBy>
  <cp:revision>11</cp:revision>
  <cp:lastPrinted>1900-12-31T16:00:00Z</cp:lastPrinted>
  <dcterms:created xsi:type="dcterms:W3CDTF">2023-04-21T17:39:00Z</dcterms:created>
  <dcterms:modified xsi:type="dcterms:W3CDTF">2023-04-21T18:05:00Z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