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1710EFC"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 xml:space="preserve">#2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w:t>
      </w:r>
      <w:proofErr w:type="gramStart"/>
      <w:r w:rsidR="000933A6">
        <w:rPr>
          <w:lang w:val="en-US"/>
        </w:rPr>
        <w:t>reply</w:t>
      </w:r>
      <w:proofErr w:type="gramEnd"/>
      <w:r w:rsidR="000933A6">
        <w:rPr>
          <w:lang w:val="en-US"/>
        </w:rPr>
        <w:t xml:space="preserve">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without having the discussion.  So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proofErr w:type="spellStart"/>
            <w:r>
              <w:rPr>
                <w:rFonts w:hint="eastAsia"/>
                <w:lang w:val="en-US" w:eastAsia="zh-CN"/>
              </w:rPr>
              <w:t>S</w:t>
            </w:r>
            <w:r>
              <w:rPr>
                <w:lang w:val="en-US" w:eastAsia="zh-CN"/>
              </w:rPr>
              <w:t>preadtrum</w:t>
            </w:r>
            <w:proofErr w:type="spellEnd"/>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gNB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gNB with carrier selection/activation, scheduling, etc. Duration of fallback, sustainable duty cycling, energy headroom, </w:t>
            </w:r>
            <w:proofErr w:type="spellStart"/>
            <w:r>
              <w:rPr>
                <w:rFonts w:eastAsia="SimSun"/>
                <w:lang w:val="en-US"/>
              </w:rPr>
              <w:t>etc</w:t>
            </w:r>
            <w:proofErr w:type="spellEnd"/>
            <w:r>
              <w:rPr>
                <w:rFonts w:eastAsia="SimSun"/>
                <w:lang w:val="en-US"/>
              </w:rPr>
              <w:t xml:space="preserve">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proofErr w:type="spellStart"/>
            <w:r>
              <w:rPr>
                <w:rFonts w:eastAsia="SimSun" w:hint="eastAsia"/>
                <w:bCs/>
                <w:lang w:val="en-US" w:eastAsia="zh-CN"/>
              </w:rPr>
              <w:t>S</w:t>
            </w:r>
            <w:r>
              <w:rPr>
                <w:rFonts w:eastAsia="SimSun"/>
                <w:bCs/>
                <w:lang w:val="en-US" w:eastAsia="zh-CN"/>
              </w:rPr>
              <w:t>preadtrum</w:t>
            </w:r>
            <w:proofErr w:type="spellEnd"/>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r>
              <w:rPr>
                <w:rFonts w:eastAsia="MS Mincho"/>
                <w:lang w:val="en-US" w:eastAsia="ja-JP"/>
              </w:rPr>
              <w:t>is</w:t>
            </w:r>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gNB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r>
              <w:rPr>
                <w:rFonts w:eastAsia="MS Mincho"/>
                <w:lang w:val="en-US" w:eastAsia="ja-JP"/>
              </w:rPr>
              <w:t xml:space="preserve">is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lastRenderedPageBreak/>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ΔP</w:t>
            </w:r>
            <w:r w:rsidRPr="00E32218">
              <w:rPr>
                <w:vertAlign w:val="subscript"/>
              </w:rPr>
              <w:t>PowerClass,CA</w:t>
            </w:r>
            <w:proofErr w:type="spell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We see that RAN1 should discuss that whether reporting of sustainable duty cycle and/or period of applicability is supported and how these values would be determined (</w:t>
            </w:r>
            <w:proofErr w:type="gramStart"/>
            <w:r>
              <w:rPr>
                <w:lang w:val="en-US"/>
              </w:rPr>
              <w:t>e.g.</w:t>
            </w:r>
            <w:proofErr w:type="gramEnd"/>
            <w:r>
              <w:rPr>
                <w:lang w:val="en-US"/>
              </w:rPr>
              <w:t xml:space="preserve">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w:t>
            </w:r>
            <w:proofErr w:type="spellStart"/>
            <w:r>
              <w:rPr>
                <w:rFonts w:eastAsia="SimSun"/>
                <w:lang w:val="en-US"/>
              </w:rPr>
              <w:t>ms</w:t>
            </w:r>
            <w:proofErr w:type="spellEnd"/>
            <w:r>
              <w:rPr>
                <w:rFonts w:eastAsia="SimSun"/>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lastRenderedPageBreak/>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/the fallback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fallbacks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lastRenderedPageBreak/>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proofErr w:type="spellStart"/>
            <w:r>
              <w:rPr>
                <w:rFonts w:eastAsia="SimSun"/>
                <w:lang w:val="en-US"/>
              </w:rPr>
              <w:t>Spreadtrum</w:t>
            </w:r>
            <w:proofErr w:type="spellEnd"/>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proofErr w:type="spellStart"/>
            <w:r>
              <w:rPr>
                <w:rFonts w:eastAsia="MS Mincho"/>
                <w:lang w:val="en-US" w:eastAsia="ja-JP"/>
              </w:rPr>
              <w:t>Spreadtrum</w:t>
            </w:r>
            <w:proofErr w:type="spellEnd"/>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lastRenderedPageBreak/>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proofErr w:type="spellStart"/>
            <w:r w:rsidRPr="00A4108B">
              <w:rPr>
                <w:rFonts w:hint="eastAsia"/>
                <w:lang w:val="en-US" w:eastAsia="zh-CN"/>
              </w:rPr>
              <w:t>S</w:t>
            </w:r>
            <w:r w:rsidRPr="00A4108B">
              <w:rPr>
                <w:lang w:val="en-US" w:eastAsia="zh-CN"/>
              </w:rPr>
              <w:t>preadtrum</w:t>
            </w:r>
            <w:proofErr w:type="spellEnd"/>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275920">
      <w:pPr>
        <w:pStyle w:val="ListParagraph"/>
        <w:numPr>
          <w:ilvl w:val="0"/>
          <w:numId w:val="73"/>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275920">
      <w:pPr>
        <w:pStyle w:val="ListParagraph"/>
        <w:numPr>
          <w:ilvl w:val="0"/>
          <w:numId w:val="73"/>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lastRenderedPageBreak/>
        <w:t>In this context, I would invite companies to engage in a constructive discussion about the aspects above, where special focus should be given at least to:</w:t>
      </w:r>
    </w:p>
    <w:p w14:paraId="4D357014" w14:textId="42F28795" w:rsidR="00030163" w:rsidRPr="00030163" w:rsidRDefault="00030163" w:rsidP="00030163">
      <w:pPr>
        <w:pStyle w:val="ListParagraph"/>
        <w:numPr>
          <w:ilvl w:val="0"/>
          <w:numId w:val="74"/>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030163">
      <w:pPr>
        <w:pStyle w:val="ListParagraph"/>
        <w:numPr>
          <w:ilvl w:val="1"/>
          <w:numId w:val="74"/>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030163">
      <w:pPr>
        <w:pStyle w:val="ListParagraph"/>
        <w:numPr>
          <w:ilvl w:val="0"/>
          <w:numId w:val="74"/>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030163">
      <w:pPr>
        <w:pStyle w:val="ListParagraph"/>
        <w:numPr>
          <w:ilvl w:val="1"/>
          <w:numId w:val="74"/>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030163">
      <w:pPr>
        <w:pStyle w:val="ListParagraph"/>
        <w:numPr>
          <w:ilvl w:val="1"/>
          <w:numId w:val="74"/>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030163">
      <w:pPr>
        <w:pStyle w:val="ListParagraph"/>
        <w:numPr>
          <w:ilvl w:val="0"/>
          <w:numId w:val="74"/>
        </w:numPr>
        <w:rPr>
          <w:sz w:val="22"/>
          <w:lang w:val="en-US"/>
        </w:rPr>
      </w:pPr>
      <w:r w:rsidRPr="00030163">
        <w:rPr>
          <w:sz w:val="22"/>
          <w:lang w:val="en-US"/>
        </w:rPr>
        <w:t>Specification impact details, e.g., to Clause 7.7 in TS 38.213</w:t>
      </w:r>
    </w:p>
    <w:p w14:paraId="5C1A9317" w14:textId="2B4D97B0" w:rsidR="00063AC5" w:rsidRPr="00030163" w:rsidRDefault="00063AC5" w:rsidP="00063AC5">
      <w:pPr>
        <w:pStyle w:val="ListParagraph"/>
        <w:numPr>
          <w:ilvl w:val="1"/>
          <w:numId w:val="74"/>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5F697AB8" w:rsidR="00030163" w:rsidRPr="00063AC5" w:rsidRDefault="00063AC5" w:rsidP="00063AC5">
      <w:pPr>
        <w:spacing w:before="120" w:after="120"/>
        <w:jc w:val="center"/>
        <w:rPr>
          <w:b/>
          <w:bCs/>
          <w:sz w:val="28"/>
          <w:szCs w:val="24"/>
          <w:lang w:val="en-US"/>
        </w:rPr>
      </w:pPr>
      <w:r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7777777" w:rsidR="00063AC5" w:rsidRDefault="00063AC5" w:rsidP="003D7AB1">
            <w:pPr>
              <w:jc w:val="center"/>
              <w:rPr>
                <w:rFonts w:eastAsia="SimSun"/>
                <w:b w:val="0"/>
                <w:bCs w:val="0"/>
                <w:lang w:val="en-US"/>
              </w:rPr>
            </w:pPr>
            <w:r>
              <w:rPr>
                <w:rFonts w:eastAsia="SimSun"/>
                <w:lang w:val="en-US"/>
              </w:rPr>
              <w:t>Company</w:t>
            </w:r>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proofErr w:type="spellStart"/>
            <w:r w:rsidRPr="002F3BDC">
              <w:rPr>
                <w:rFonts w:eastAsia="SimSun"/>
                <w:i/>
                <w:iCs/>
                <w:lang w:val="en-US"/>
              </w:rPr>
              <w:t>ΔPPowerClass</w:t>
            </w:r>
            <w:proofErr w:type="spellEnd"/>
          </w:p>
        </w:tc>
        <w:tc>
          <w:tcPr>
            <w:tcW w:w="3877" w:type="dxa"/>
            <w:gridSpan w:val="2"/>
            <w:vAlign w:val="center"/>
          </w:tcPr>
          <w:p w14:paraId="1EA91F5E" w14:textId="0773D6B5" w:rsidR="00063AC5" w:rsidRDefault="002F3BDC" w:rsidP="003D7AB1">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5B8A705F" w:rsidR="002F3BDC" w:rsidRDefault="00533395" w:rsidP="002F3BDC">
            <w:pPr>
              <w:jc w:val="center"/>
              <w:rPr>
                <w:rFonts w:eastAsia="MS Mincho"/>
                <w:lang w:val="en-US" w:eastAsia="ja-JP"/>
              </w:rPr>
            </w:pPr>
            <w:r>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proofErr w:type="spellStart"/>
            <w:r w:rsidR="00533395" w:rsidRPr="00E93FC0">
              <w:rPr>
                <w:rFonts w:eastAsia="SimSun"/>
                <w:lang w:val="en-US"/>
              </w:rPr>
              <w:t>ΔPPowerClass</w:t>
            </w:r>
            <w:proofErr w:type="spellEnd"/>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t>Type of report: Reported via PHR. Trigger based and/or periodic reporting as configured by gNB.</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 xml:space="preserve">Helps gNB know of any change to UE capabilities due to power class change, for </w:t>
            </w:r>
            <w:proofErr w:type="gramStart"/>
            <w:r>
              <w:rPr>
                <w:rFonts w:eastAsia="MS Mincho"/>
                <w:lang w:val="en-US" w:eastAsia="ja-JP"/>
              </w:rPr>
              <w:t>e.g.</w:t>
            </w:r>
            <w:proofErr w:type="gramEnd"/>
            <w:r>
              <w:rPr>
                <w:rFonts w:eastAsia="MS Mincho"/>
                <w:lang w:val="en-US" w:eastAsia="ja-JP"/>
              </w:rPr>
              <w:t xml:space="preserve"> MPR table that applies. Note that transmit power is already reported via Pcmax</w:t>
            </w:r>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Its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256F4F44" w:rsidR="00533395" w:rsidRDefault="00533395" w:rsidP="00533395">
            <w:pPr>
              <w:jc w:val="center"/>
              <w:rPr>
                <w:rFonts w:eastAsia="MS Mincho"/>
                <w:lang w:val="en-US" w:eastAsia="ja-JP"/>
              </w:rPr>
            </w:pPr>
            <w:r>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lastRenderedPageBreak/>
              <w:t>Type of report: Reported via PHR. Trigger based and/or periodic reporting as configured by gNB.</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 xml:space="preserve">It can be argued that in certain cases P-MPR doesn’t vary much or varies rather slowly. This has been the case for single CC uplink without heavy </w:t>
            </w:r>
            <w:proofErr w:type="spellStart"/>
            <w:r>
              <w:rPr>
                <w:rFonts w:eastAsia="MS Mincho"/>
                <w:lang w:val="en-US" w:eastAsia="ja-JP"/>
              </w:rPr>
              <w:t>WiFi</w:t>
            </w:r>
            <w:proofErr w:type="spellEnd"/>
            <w:r>
              <w:rPr>
                <w:rFonts w:eastAsia="MS Mincho"/>
                <w:lang w:val="en-US" w:eastAsia="ja-JP"/>
              </w:rPr>
              <w:t xml:space="preserve">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07EBC70E" w:rsidR="00533395" w:rsidRDefault="00533395" w:rsidP="00533395">
            <w:pPr>
              <w:jc w:val="center"/>
              <w:rPr>
                <w:rFonts w:eastAsia="MS Mincho"/>
                <w:lang w:val="en-US" w:eastAsia="ja-JP"/>
              </w:rPr>
            </w:pPr>
          </w:p>
        </w:tc>
        <w:tc>
          <w:tcPr>
            <w:tcW w:w="3839" w:type="dxa"/>
            <w:vMerge w:val="restart"/>
            <w:vAlign w:val="center"/>
          </w:tcPr>
          <w:p w14:paraId="44910D16" w14:textId="55F22E07"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2F3587DD" w:rsidR="00533395" w:rsidRDefault="00533395" w:rsidP="00533395">
            <w:pPr>
              <w:jc w:val="center"/>
              <w:rPr>
                <w:rFonts w:eastAsia="MS Mincho"/>
                <w:lang w:val="en-US" w:eastAsia="ja-JP"/>
              </w:rPr>
            </w:pP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5578CE6D" w:rsidR="00533395" w:rsidRDefault="00533395" w:rsidP="00533395">
            <w:pPr>
              <w:jc w:val="center"/>
              <w:rPr>
                <w:rFonts w:eastAsia="MS Mincho"/>
                <w:lang w:val="en-US" w:eastAsia="ja-JP"/>
              </w:rPr>
            </w:pPr>
          </w:p>
        </w:tc>
      </w:tr>
      <w:tr w:rsidR="00533395" w14:paraId="2C801B79" w14:textId="77777777" w:rsidTr="002F3BDC">
        <w:trPr>
          <w:trHeight w:val="351"/>
        </w:trPr>
        <w:tc>
          <w:tcPr>
            <w:tcW w:w="1985" w:type="dxa"/>
            <w:vMerge w:val="restart"/>
            <w:vAlign w:val="center"/>
          </w:tcPr>
          <w:p w14:paraId="7DC42511" w14:textId="77777777" w:rsidR="00533395" w:rsidRDefault="00533395" w:rsidP="00533395">
            <w:pPr>
              <w:jc w:val="center"/>
              <w:rPr>
                <w:rFonts w:eastAsia="MS Mincho"/>
                <w:lang w:val="en-US" w:eastAsia="ja-JP"/>
              </w:rPr>
            </w:pPr>
          </w:p>
        </w:tc>
        <w:tc>
          <w:tcPr>
            <w:tcW w:w="3839" w:type="dxa"/>
            <w:vMerge w:val="restart"/>
            <w:vAlign w:val="center"/>
          </w:tcPr>
          <w:p w14:paraId="68CF0279" w14:textId="77777777" w:rsidR="00533395" w:rsidRDefault="00533395" w:rsidP="00533395">
            <w:pPr>
              <w:jc w:val="center"/>
              <w:rPr>
                <w:rFonts w:eastAsia="MS Mincho"/>
                <w:lang w:val="en-US" w:eastAsia="ja-JP"/>
              </w:rPr>
            </w:pPr>
          </w:p>
        </w:tc>
        <w:tc>
          <w:tcPr>
            <w:tcW w:w="755" w:type="dxa"/>
            <w:vAlign w:val="center"/>
          </w:tcPr>
          <w:p w14:paraId="16FAC93B" w14:textId="55A515F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689EBB30" w14:textId="06B63423" w:rsidR="00533395" w:rsidRDefault="00533395" w:rsidP="00533395">
            <w:pPr>
              <w:jc w:val="center"/>
              <w:rPr>
                <w:rFonts w:eastAsia="MS Mincho"/>
                <w:lang w:val="en-US" w:eastAsia="ja-JP"/>
              </w:rPr>
            </w:pPr>
          </w:p>
        </w:tc>
      </w:tr>
      <w:tr w:rsidR="00533395" w14:paraId="7F36E420" w14:textId="77777777" w:rsidTr="002F3BDC">
        <w:trPr>
          <w:trHeight w:val="351"/>
        </w:trPr>
        <w:tc>
          <w:tcPr>
            <w:tcW w:w="1985" w:type="dxa"/>
            <w:vMerge/>
            <w:vAlign w:val="center"/>
          </w:tcPr>
          <w:p w14:paraId="49AAAE2C" w14:textId="77777777" w:rsidR="00533395" w:rsidRDefault="00533395" w:rsidP="00533395">
            <w:pPr>
              <w:jc w:val="center"/>
              <w:rPr>
                <w:rFonts w:eastAsia="MS Mincho"/>
                <w:lang w:val="en-US" w:eastAsia="ja-JP"/>
              </w:rPr>
            </w:pPr>
          </w:p>
        </w:tc>
        <w:tc>
          <w:tcPr>
            <w:tcW w:w="3839" w:type="dxa"/>
            <w:vMerge/>
            <w:vAlign w:val="center"/>
          </w:tcPr>
          <w:p w14:paraId="33E8B72F" w14:textId="77777777" w:rsidR="00533395" w:rsidRDefault="00533395" w:rsidP="00533395">
            <w:pPr>
              <w:jc w:val="center"/>
              <w:rPr>
                <w:rFonts w:eastAsia="MS Mincho"/>
                <w:lang w:val="en-US" w:eastAsia="ja-JP"/>
              </w:rPr>
            </w:pPr>
          </w:p>
        </w:tc>
        <w:tc>
          <w:tcPr>
            <w:tcW w:w="755" w:type="dxa"/>
            <w:vAlign w:val="center"/>
          </w:tcPr>
          <w:p w14:paraId="5EC8E84F" w14:textId="39496653"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7213058D" w:rsidR="00533395" w:rsidRDefault="00533395" w:rsidP="00533395">
            <w:pPr>
              <w:jc w:val="center"/>
              <w:rPr>
                <w:rFonts w:eastAsia="MS Mincho"/>
                <w:lang w:val="en-US" w:eastAsia="ja-JP"/>
              </w:rPr>
            </w:pPr>
          </w:p>
        </w:tc>
      </w:tr>
      <w:tr w:rsidR="00533395" w:rsidRPr="00987AD9" w14:paraId="06189DC9" w14:textId="77777777" w:rsidTr="002F3BDC">
        <w:trPr>
          <w:trHeight w:val="351"/>
        </w:trPr>
        <w:tc>
          <w:tcPr>
            <w:tcW w:w="1985" w:type="dxa"/>
            <w:vMerge w:val="restart"/>
            <w:vAlign w:val="center"/>
          </w:tcPr>
          <w:p w14:paraId="09182B49" w14:textId="173A9939" w:rsidR="00533395" w:rsidRPr="00987AD9" w:rsidRDefault="00533395" w:rsidP="00533395">
            <w:pPr>
              <w:jc w:val="center"/>
              <w:rPr>
                <w:lang w:val="en-US" w:eastAsia="zh-CN"/>
              </w:rPr>
            </w:pPr>
          </w:p>
        </w:tc>
        <w:tc>
          <w:tcPr>
            <w:tcW w:w="3839" w:type="dxa"/>
            <w:vMerge w:val="restart"/>
            <w:vAlign w:val="center"/>
          </w:tcPr>
          <w:p w14:paraId="3DC04408" w14:textId="77777777" w:rsidR="00533395" w:rsidRPr="00987AD9" w:rsidRDefault="00533395" w:rsidP="00533395">
            <w:pPr>
              <w:jc w:val="center"/>
              <w:rPr>
                <w:lang w:val="en-US" w:eastAsia="zh-CN"/>
              </w:rPr>
            </w:pPr>
          </w:p>
        </w:tc>
        <w:tc>
          <w:tcPr>
            <w:tcW w:w="755" w:type="dxa"/>
            <w:vAlign w:val="center"/>
          </w:tcPr>
          <w:p w14:paraId="076159EF" w14:textId="52996BFA" w:rsidR="00533395" w:rsidRPr="002F3BDC" w:rsidRDefault="00533395" w:rsidP="00533395">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7498076A" w:rsidR="00533395" w:rsidRPr="00987AD9" w:rsidRDefault="00533395" w:rsidP="00533395">
            <w:pPr>
              <w:jc w:val="center"/>
              <w:rPr>
                <w:lang w:val="en-US" w:eastAsia="zh-CN"/>
              </w:rPr>
            </w:pPr>
          </w:p>
        </w:tc>
      </w:tr>
      <w:tr w:rsidR="00533395" w14:paraId="4B93B515" w14:textId="77777777" w:rsidTr="002F3BDC">
        <w:trPr>
          <w:trHeight w:val="351"/>
        </w:trPr>
        <w:tc>
          <w:tcPr>
            <w:tcW w:w="1985" w:type="dxa"/>
            <w:vMerge/>
            <w:vAlign w:val="center"/>
          </w:tcPr>
          <w:p w14:paraId="7969E455" w14:textId="432F7EA1" w:rsidR="00533395" w:rsidRDefault="00533395" w:rsidP="00533395">
            <w:pPr>
              <w:jc w:val="center"/>
              <w:rPr>
                <w:rFonts w:eastAsia="SimSun"/>
                <w:color w:val="FF0000"/>
                <w:lang w:val="en-US"/>
              </w:rPr>
            </w:pPr>
          </w:p>
        </w:tc>
        <w:tc>
          <w:tcPr>
            <w:tcW w:w="3839" w:type="dxa"/>
            <w:vMerge/>
            <w:vAlign w:val="center"/>
          </w:tcPr>
          <w:p w14:paraId="28C4807E" w14:textId="77777777" w:rsidR="00533395" w:rsidRDefault="00533395" w:rsidP="00533395">
            <w:pPr>
              <w:jc w:val="center"/>
              <w:rPr>
                <w:rFonts w:eastAsia="SimSun"/>
                <w:color w:val="FF0000"/>
                <w:lang w:val="en-US"/>
              </w:rPr>
            </w:pPr>
          </w:p>
        </w:tc>
        <w:tc>
          <w:tcPr>
            <w:tcW w:w="755" w:type="dxa"/>
            <w:vAlign w:val="center"/>
          </w:tcPr>
          <w:p w14:paraId="7008B925" w14:textId="62D027CA" w:rsidR="00533395" w:rsidRPr="002F3BDC" w:rsidRDefault="00533395" w:rsidP="00533395">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64000690" w:rsidR="00533395" w:rsidRDefault="00533395" w:rsidP="00533395">
            <w:pPr>
              <w:jc w:val="center"/>
              <w:rPr>
                <w:rFonts w:eastAsia="SimSun"/>
                <w:color w:val="FF0000"/>
                <w:lang w:val="en-US"/>
              </w:rPr>
            </w:pPr>
          </w:p>
        </w:tc>
      </w:tr>
      <w:tr w:rsidR="00533395" w14:paraId="05588A28" w14:textId="77777777" w:rsidTr="002F3BDC">
        <w:trPr>
          <w:trHeight w:val="351"/>
        </w:trPr>
        <w:tc>
          <w:tcPr>
            <w:tcW w:w="1985" w:type="dxa"/>
            <w:vMerge w:val="restart"/>
            <w:vAlign w:val="center"/>
          </w:tcPr>
          <w:p w14:paraId="7C96BFCA" w14:textId="47DCFDB6" w:rsidR="00533395" w:rsidRDefault="00533395" w:rsidP="00533395">
            <w:pPr>
              <w:jc w:val="center"/>
              <w:rPr>
                <w:rFonts w:eastAsia="SimSun"/>
                <w:color w:val="FF0000"/>
                <w:lang w:val="en-US"/>
              </w:rPr>
            </w:pPr>
          </w:p>
        </w:tc>
        <w:tc>
          <w:tcPr>
            <w:tcW w:w="3839" w:type="dxa"/>
            <w:vMerge w:val="restart"/>
            <w:vAlign w:val="center"/>
          </w:tcPr>
          <w:p w14:paraId="5F28701E" w14:textId="77777777" w:rsidR="00533395" w:rsidRDefault="00533395" w:rsidP="00533395">
            <w:pPr>
              <w:jc w:val="center"/>
              <w:rPr>
                <w:rFonts w:eastAsia="SimSun"/>
                <w:color w:val="FF0000"/>
                <w:lang w:val="en-US"/>
              </w:rPr>
            </w:pPr>
          </w:p>
        </w:tc>
        <w:tc>
          <w:tcPr>
            <w:tcW w:w="755" w:type="dxa"/>
            <w:vAlign w:val="center"/>
          </w:tcPr>
          <w:p w14:paraId="66CC4B32" w14:textId="669365A5" w:rsidR="00533395" w:rsidRPr="002F3BDC" w:rsidRDefault="00533395" w:rsidP="0053339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3E48AE6E" w14:textId="67669E1A" w:rsidR="00533395" w:rsidRDefault="00533395" w:rsidP="00533395">
            <w:pPr>
              <w:jc w:val="center"/>
              <w:rPr>
                <w:rFonts w:eastAsia="SimSun"/>
                <w:color w:val="FF0000"/>
                <w:lang w:val="en-US"/>
              </w:rPr>
            </w:pPr>
          </w:p>
        </w:tc>
      </w:tr>
      <w:tr w:rsidR="00533395" w14:paraId="2B883A25" w14:textId="77777777" w:rsidTr="002F3BDC">
        <w:trPr>
          <w:trHeight w:val="351"/>
        </w:trPr>
        <w:tc>
          <w:tcPr>
            <w:tcW w:w="1985" w:type="dxa"/>
            <w:vMerge/>
            <w:vAlign w:val="center"/>
          </w:tcPr>
          <w:p w14:paraId="30B8CBFE" w14:textId="4550FDAA" w:rsidR="00533395" w:rsidRPr="00C35C63" w:rsidRDefault="00533395" w:rsidP="00533395">
            <w:pPr>
              <w:jc w:val="center"/>
              <w:rPr>
                <w:rFonts w:eastAsia="MS Mincho"/>
                <w:lang w:val="en-US" w:eastAsia="ja-JP"/>
              </w:rPr>
            </w:pPr>
          </w:p>
        </w:tc>
        <w:tc>
          <w:tcPr>
            <w:tcW w:w="3839" w:type="dxa"/>
            <w:vMerge/>
            <w:vAlign w:val="center"/>
          </w:tcPr>
          <w:p w14:paraId="71609987" w14:textId="77777777" w:rsidR="00533395" w:rsidRDefault="00533395" w:rsidP="00533395">
            <w:pPr>
              <w:jc w:val="center"/>
              <w:rPr>
                <w:lang w:val="en-US"/>
              </w:rPr>
            </w:pPr>
          </w:p>
        </w:tc>
        <w:tc>
          <w:tcPr>
            <w:tcW w:w="755" w:type="dxa"/>
            <w:vAlign w:val="center"/>
          </w:tcPr>
          <w:p w14:paraId="428BA9DA" w14:textId="3FAF4F0C" w:rsidR="00533395" w:rsidRPr="002F3BDC" w:rsidRDefault="00533395" w:rsidP="00533395">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6E8013FC" w:rsidR="00533395" w:rsidRDefault="00533395" w:rsidP="00533395">
            <w:pPr>
              <w:jc w:val="center"/>
              <w:rPr>
                <w:lang w:val="en-US"/>
              </w:rPr>
            </w:pPr>
          </w:p>
        </w:tc>
      </w:tr>
      <w:tr w:rsidR="00533395" w:rsidRPr="008D1048" w14:paraId="0CC7BBDF" w14:textId="77777777" w:rsidTr="002F3BDC">
        <w:trPr>
          <w:trHeight w:val="351"/>
        </w:trPr>
        <w:tc>
          <w:tcPr>
            <w:tcW w:w="1985" w:type="dxa"/>
            <w:vMerge w:val="restart"/>
            <w:vAlign w:val="center"/>
          </w:tcPr>
          <w:p w14:paraId="242B69F2" w14:textId="23E3DE32" w:rsidR="00533395" w:rsidRPr="008D1048" w:rsidRDefault="00533395" w:rsidP="00533395">
            <w:pPr>
              <w:jc w:val="center"/>
              <w:rPr>
                <w:rFonts w:eastAsia="SimSun"/>
                <w:lang w:val="en-US"/>
              </w:rPr>
            </w:pPr>
          </w:p>
        </w:tc>
        <w:tc>
          <w:tcPr>
            <w:tcW w:w="3839" w:type="dxa"/>
            <w:vMerge w:val="restart"/>
            <w:vAlign w:val="center"/>
          </w:tcPr>
          <w:p w14:paraId="0D8984B1" w14:textId="77777777" w:rsidR="00533395" w:rsidRPr="008D1048" w:rsidRDefault="00533395" w:rsidP="00533395">
            <w:pPr>
              <w:jc w:val="center"/>
              <w:rPr>
                <w:rFonts w:eastAsia="SimSun"/>
                <w:lang w:val="en-US"/>
              </w:rPr>
            </w:pPr>
          </w:p>
        </w:tc>
        <w:tc>
          <w:tcPr>
            <w:tcW w:w="755" w:type="dxa"/>
            <w:vAlign w:val="center"/>
          </w:tcPr>
          <w:p w14:paraId="1DD0F27C" w14:textId="43784C9C" w:rsidR="00533395" w:rsidRPr="002F3BDC" w:rsidRDefault="00533395" w:rsidP="00533395">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7DD6358A" w:rsidR="00533395" w:rsidRPr="008D1048" w:rsidRDefault="00533395" w:rsidP="00533395">
            <w:pPr>
              <w:jc w:val="center"/>
              <w:rPr>
                <w:rFonts w:eastAsia="SimSun"/>
                <w:lang w:val="en-US"/>
              </w:rPr>
            </w:pPr>
          </w:p>
        </w:tc>
      </w:tr>
      <w:tr w:rsidR="00533395" w14:paraId="4907BD50" w14:textId="77777777" w:rsidTr="002F3BDC">
        <w:trPr>
          <w:trHeight w:val="351"/>
        </w:trPr>
        <w:tc>
          <w:tcPr>
            <w:tcW w:w="1985" w:type="dxa"/>
            <w:vMerge/>
            <w:vAlign w:val="center"/>
          </w:tcPr>
          <w:p w14:paraId="657F0BE9" w14:textId="7C5C9711" w:rsidR="00533395" w:rsidRPr="008D1048" w:rsidRDefault="00533395" w:rsidP="00533395">
            <w:pPr>
              <w:jc w:val="center"/>
              <w:rPr>
                <w:rFonts w:eastAsia="SimSun"/>
                <w:lang w:val="en-US"/>
              </w:rPr>
            </w:pPr>
          </w:p>
        </w:tc>
        <w:tc>
          <w:tcPr>
            <w:tcW w:w="3839" w:type="dxa"/>
            <w:vMerge/>
            <w:vAlign w:val="center"/>
          </w:tcPr>
          <w:p w14:paraId="62F0F073" w14:textId="77777777" w:rsidR="00533395" w:rsidRDefault="00533395" w:rsidP="00533395">
            <w:pPr>
              <w:jc w:val="center"/>
              <w:rPr>
                <w:rFonts w:eastAsia="SimSun"/>
                <w:lang w:val="en-US"/>
              </w:rPr>
            </w:pPr>
          </w:p>
        </w:tc>
        <w:tc>
          <w:tcPr>
            <w:tcW w:w="755" w:type="dxa"/>
            <w:vAlign w:val="center"/>
          </w:tcPr>
          <w:p w14:paraId="3131D0C8" w14:textId="791FE0EC" w:rsidR="00533395" w:rsidRPr="002F3BDC" w:rsidRDefault="00533395" w:rsidP="00533395">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1688136" w:rsidR="00533395" w:rsidRDefault="00533395" w:rsidP="00533395">
            <w:pPr>
              <w:jc w:val="center"/>
              <w:rPr>
                <w:rFonts w:eastAsia="SimSun"/>
                <w:lang w:val="en-US"/>
              </w:rPr>
            </w:pPr>
          </w:p>
        </w:tc>
      </w:tr>
      <w:tr w:rsidR="00533395" w14:paraId="1975C0B2" w14:textId="77777777" w:rsidTr="002F3BDC">
        <w:trPr>
          <w:trHeight w:val="351"/>
        </w:trPr>
        <w:tc>
          <w:tcPr>
            <w:tcW w:w="1985" w:type="dxa"/>
            <w:vMerge w:val="restart"/>
            <w:vAlign w:val="center"/>
          </w:tcPr>
          <w:p w14:paraId="48F692C9" w14:textId="640DB025" w:rsidR="00533395" w:rsidRDefault="00533395" w:rsidP="00533395">
            <w:pPr>
              <w:jc w:val="center"/>
              <w:rPr>
                <w:rFonts w:eastAsia="SimSun"/>
                <w:lang w:val="en-US"/>
              </w:rPr>
            </w:pPr>
          </w:p>
        </w:tc>
        <w:tc>
          <w:tcPr>
            <w:tcW w:w="3839" w:type="dxa"/>
            <w:vMerge w:val="restart"/>
            <w:vAlign w:val="center"/>
          </w:tcPr>
          <w:p w14:paraId="66A3DBB6" w14:textId="77777777" w:rsidR="00533395" w:rsidRDefault="00533395" w:rsidP="00533395">
            <w:pPr>
              <w:jc w:val="center"/>
              <w:rPr>
                <w:rFonts w:eastAsia="SimSun"/>
                <w:lang w:val="en-US"/>
              </w:rPr>
            </w:pPr>
          </w:p>
        </w:tc>
        <w:tc>
          <w:tcPr>
            <w:tcW w:w="755" w:type="dxa"/>
            <w:vAlign w:val="center"/>
          </w:tcPr>
          <w:p w14:paraId="57BB8675" w14:textId="5704BF49" w:rsidR="00533395" w:rsidRPr="002F3BDC" w:rsidRDefault="00533395" w:rsidP="00533395">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669F200" w14:textId="48FE1D6C" w:rsidR="00533395" w:rsidRDefault="00533395" w:rsidP="00533395">
            <w:pPr>
              <w:jc w:val="center"/>
              <w:rPr>
                <w:rFonts w:eastAsia="SimSun"/>
                <w:lang w:val="en-US"/>
              </w:rPr>
            </w:pPr>
          </w:p>
        </w:tc>
      </w:tr>
      <w:tr w:rsidR="00533395" w:rsidRPr="00EF67C7" w14:paraId="4A29DE48" w14:textId="77777777" w:rsidTr="002F3BDC">
        <w:trPr>
          <w:trHeight w:val="351"/>
        </w:trPr>
        <w:tc>
          <w:tcPr>
            <w:tcW w:w="1985" w:type="dxa"/>
            <w:vMerge/>
            <w:vAlign w:val="center"/>
          </w:tcPr>
          <w:p w14:paraId="556E2635" w14:textId="268A5049" w:rsidR="00533395" w:rsidRDefault="00533395" w:rsidP="00533395">
            <w:pPr>
              <w:jc w:val="center"/>
              <w:rPr>
                <w:rFonts w:eastAsia="SimSun"/>
                <w:lang w:val="en-US"/>
              </w:rPr>
            </w:pPr>
          </w:p>
        </w:tc>
        <w:tc>
          <w:tcPr>
            <w:tcW w:w="3839" w:type="dxa"/>
            <w:vMerge/>
            <w:vAlign w:val="center"/>
          </w:tcPr>
          <w:p w14:paraId="2972FA8B" w14:textId="77777777" w:rsidR="00533395" w:rsidRPr="00EF67C7" w:rsidRDefault="00533395" w:rsidP="00533395">
            <w:pPr>
              <w:jc w:val="center"/>
              <w:rPr>
                <w:rFonts w:eastAsia="SimSun"/>
                <w:lang w:val="en-US"/>
              </w:rPr>
            </w:pPr>
          </w:p>
        </w:tc>
        <w:tc>
          <w:tcPr>
            <w:tcW w:w="755" w:type="dxa"/>
            <w:vAlign w:val="center"/>
          </w:tcPr>
          <w:p w14:paraId="26226429" w14:textId="6C2B2F9B" w:rsidR="00533395" w:rsidRPr="002F3BDC" w:rsidRDefault="00533395" w:rsidP="00533395">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7DBCAC45" w14:textId="1B47A219" w:rsidR="00533395" w:rsidRPr="00EF67C7" w:rsidRDefault="00533395" w:rsidP="00533395">
            <w:pPr>
              <w:jc w:val="center"/>
              <w:rPr>
                <w:rFonts w:eastAsia="SimSun"/>
                <w:lang w:val="en-US"/>
              </w:rPr>
            </w:pPr>
          </w:p>
        </w:tc>
      </w:tr>
    </w:tbl>
    <w:p w14:paraId="6559E4A6" w14:textId="44BF136E" w:rsidR="0088296D" w:rsidRDefault="0088296D">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487016BE" w:rsidR="002F3BDC" w:rsidRPr="00063AC5" w:rsidRDefault="002F3BDC" w:rsidP="002F3BDC">
      <w:pPr>
        <w:spacing w:before="120" w:after="120"/>
        <w:jc w:val="center"/>
        <w:rPr>
          <w:b/>
          <w:bCs/>
          <w:sz w:val="28"/>
          <w:szCs w:val="24"/>
          <w:lang w:val="en-US"/>
        </w:rPr>
      </w:pPr>
      <w:r>
        <w:rPr>
          <w:b/>
          <w:bCs/>
          <w:sz w:val="28"/>
          <w:szCs w:val="24"/>
          <w:highlight w:val="yellow"/>
          <w:lang w:val="en-US"/>
        </w:rPr>
        <w:t>Proactive</w:t>
      </w:r>
      <w:r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1985"/>
        <w:gridCol w:w="3839"/>
        <w:gridCol w:w="755"/>
        <w:gridCol w:w="3122"/>
      </w:tblGrid>
      <w:tr w:rsidR="002F3BDC" w14:paraId="110B7802" w14:textId="77777777" w:rsidTr="003D7AB1">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8C3A566" w14:textId="77777777" w:rsidR="002F3BDC" w:rsidRDefault="002F3BDC" w:rsidP="003D7AB1">
            <w:pPr>
              <w:jc w:val="center"/>
              <w:rPr>
                <w:rFonts w:eastAsia="SimSun"/>
                <w:b w:val="0"/>
                <w:bCs w:val="0"/>
                <w:lang w:val="en-US"/>
              </w:rPr>
            </w:pPr>
            <w:r>
              <w:rPr>
                <w:rFonts w:eastAsia="SimSun"/>
                <w:lang w:val="en-US"/>
              </w:rPr>
              <w:t>Company</w:t>
            </w:r>
          </w:p>
        </w:tc>
        <w:tc>
          <w:tcPr>
            <w:tcW w:w="3839" w:type="dxa"/>
            <w:vAlign w:val="center"/>
          </w:tcPr>
          <w:p w14:paraId="34AD1877" w14:textId="28C7B773" w:rsidR="002F3BDC" w:rsidRPr="002F3BDC" w:rsidRDefault="002F3BDC" w:rsidP="003D7AB1">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77" w:type="dxa"/>
            <w:gridSpan w:val="2"/>
            <w:vAlign w:val="center"/>
          </w:tcPr>
          <w:p w14:paraId="6F9061F9" w14:textId="77777777" w:rsidR="002F3BDC" w:rsidRDefault="002F3BDC" w:rsidP="003D7AB1">
            <w:pPr>
              <w:jc w:val="center"/>
              <w:rPr>
                <w:rFonts w:eastAsia="SimSun"/>
                <w:b w:val="0"/>
                <w:bCs w:val="0"/>
                <w:lang w:val="en-US"/>
              </w:rPr>
            </w:pPr>
            <w:r w:rsidRPr="002F3BDC">
              <w:rPr>
                <w:rFonts w:eastAsia="SimSun"/>
                <w:lang w:val="en-US"/>
              </w:rPr>
              <w:t>Views</w:t>
            </w:r>
          </w:p>
        </w:tc>
      </w:tr>
      <w:tr w:rsidR="002F3BDC" w14:paraId="26CF85B4" w14:textId="77777777" w:rsidTr="003D7AB1">
        <w:trPr>
          <w:trHeight w:val="351"/>
        </w:trPr>
        <w:tc>
          <w:tcPr>
            <w:tcW w:w="1985" w:type="dxa"/>
            <w:vMerge w:val="restart"/>
            <w:vAlign w:val="center"/>
          </w:tcPr>
          <w:p w14:paraId="0007A398" w14:textId="7F7DB08A" w:rsidR="002F3BDC" w:rsidRDefault="004B77F6" w:rsidP="003D7AB1">
            <w:pPr>
              <w:jc w:val="center"/>
              <w:rPr>
                <w:rFonts w:eastAsia="MS Mincho"/>
                <w:lang w:val="en-US" w:eastAsia="ja-JP"/>
              </w:rPr>
            </w:pPr>
            <w:r>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(multiple options with slight variations are listed 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83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5"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Provides additional clarity to gNB on duration of power class fallback.</w:t>
            </w:r>
          </w:p>
        </w:tc>
      </w:tr>
      <w:tr w:rsidR="002F3BDC" w14:paraId="482302BD" w14:textId="77777777" w:rsidTr="003D7AB1">
        <w:trPr>
          <w:trHeight w:val="351"/>
        </w:trPr>
        <w:tc>
          <w:tcPr>
            <w:tcW w:w="1985" w:type="dxa"/>
            <w:vMerge/>
            <w:vAlign w:val="center"/>
          </w:tcPr>
          <w:p w14:paraId="02490F07" w14:textId="77777777" w:rsidR="002F3BDC" w:rsidRDefault="002F3BDC" w:rsidP="003D7AB1">
            <w:pPr>
              <w:jc w:val="center"/>
              <w:rPr>
                <w:rFonts w:eastAsia="MS Mincho"/>
                <w:lang w:val="en-US" w:eastAsia="ja-JP"/>
              </w:rPr>
            </w:pPr>
          </w:p>
        </w:tc>
        <w:tc>
          <w:tcPr>
            <w:tcW w:w="3839" w:type="dxa"/>
            <w:vMerge/>
            <w:vAlign w:val="center"/>
          </w:tcPr>
          <w:p w14:paraId="47D241B4" w14:textId="77777777" w:rsidR="002F3BDC" w:rsidRPr="004B23DC" w:rsidRDefault="002F3BDC" w:rsidP="003D7AB1">
            <w:pPr>
              <w:jc w:val="center"/>
              <w:rPr>
                <w:rFonts w:eastAsia="MS Mincho"/>
                <w:lang w:val="en-US" w:eastAsia="ja-JP"/>
              </w:rPr>
            </w:pPr>
          </w:p>
        </w:tc>
        <w:tc>
          <w:tcPr>
            <w:tcW w:w="755"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3D7AB1">
        <w:trPr>
          <w:trHeight w:val="351"/>
        </w:trPr>
        <w:tc>
          <w:tcPr>
            <w:tcW w:w="1985" w:type="dxa"/>
            <w:vMerge w:val="restart"/>
            <w:vAlign w:val="center"/>
          </w:tcPr>
          <w:p w14:paraId="022CD98B" w14:textId="67484C4F" w:rsidR="002F3BDC" w:rsidRDefault="00042376" w:rsidP="003D7AB1">
            <w:pPr>
              <w:jc w:val="center"/>
              <w:rPr>
                <w:rFonts w:eastAsia="MS Mincho"/>
                <w:lang w:val="en-US" w:eastAsia="ja-JP"/>
              </w:rPr>
            </w:pPr>
            <w:r>
              <w:rPr>
                <w:rFonts w:eastAsia="MS Mincho"/>
                <w:lang w:val="en-US" w:eastAsia="ja-JP"/>
              </w:rPr>
              <w:t>QC</w:t>
            </w:r>
            <w:r w:rsidR="008E4B0D">
              <w:rPr>
                <w:rFonts w:eastAsia="MS Mincho"/>
                <w:lang w:val="en-US" w:eastAsia="ja-JP"/>
              </w:rPr>
              <w:t xml:space="preserve"> </w:t>
            </w:r>
          </w:p>
        </w:tc>
        <w:tc>
          <w:tcPr>
            <w:tcW w:w="383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w:t>
            </w:r>
            <w:r w:rsidRPr="004B23DC">
              <w:rPr>
                <w:rFonts w:eastAsia="MS Mincho"/>
                <w:lang w:val="en-US"/>
              </w:rPr>
              <w:lastRenderedPageBreak/>
              <w:t xml:space="preserve">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5"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gNB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3D7AB1">
        <w:trPr>
          <w:trHeight w:val="351"/>
        </w:trPr>
        <w:tc>
          <w:tcPr>
            <w:tcW w:w="1985" w:type="dxa"/>
            <w:vMerge/>
            <w:vAlign w:val="center"/>
          </w:tcPr>
          <w:p w14:paraId="4CA9D694" w14:textId="77777777" w:rsidR="002F3BDC" w:rsidRDefault="002F3BDC" w:rsidP="003D7AB1">
            <w:pPr>
              <w:jc w:val="center"/>
              <w:rPr>
                <w:rFonts w:eastAsia="MS Mincho"/>
                <w:lang w:val="en-US" w:eastAsia="ja-JP"/>
              </w:rPr>
            </w:pPr>
          </w:p>
        </w:tc>
        <w:tc>
          <w:tcPr>
            <w:tcW w:w="3839" w:type="dxa"/>
            <w:vMerge/>
            <w:vAlign w:val="center"/>
          </w:tcPr>
          <w:p w14:paraId="2A99DAF6" w14:textId="77777777" w:rsidR="002F3BDC" w:rsidRDefault="002F3BDC" w:rsidP="00E93FC0">
            <w:pPr>
              <w:jc w:val="both"/>
              <w:rPr>
                <w:rFonts w:eastAsia="MS Mincho"/>
                <w:lang w:val="en-US" w:eastAsia="ja-JP"/>
              </w:rPr>
            </w:pPr>
          </w:p>
        </w:tc>
        <w:tc>
          <w:tcPr>
            <w:tcW w:w="755"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 xml:space="preserve">Only meaningful to report after a fallback has occurred. Doesn’t </w:t>
            </w:r>
            <w:r>
              <w:rPr>
                <w:rFonts w:eastAsia="MS Mincho"/>
                <w:lang w:val="en-US" w:eastAsia="ja-JP"/>
              </w:rPr>
              <w:lastRenderedPageBreak/>
              <w:t>provide gNB with any means to prevent a fallback.</w:t>
            </w:r>
          </w:p>
        </w:tc>
      </w:tr>
      <w:tr w:rsidR="002F3BDC" w14:paraId="1F962D2D" w14:textId="77777777" w:rsidTr="003D7AB1">
        <w:trPr>
          <w:trHeight w:val="351"/>
        </w:trPr>
        <w:tc>
          <w:tcPr>
            <w:tcW w:w="1985" w:type="dxa"/>
            <w:vMerge w:val="restart"/>
            <w:vAlign w:val="center"/>
          </w:tcPr>
          <w:p w14:paraId="30558326" w14:textId="17BB623B" w:rsidR="002F3BDC" w:rsidRDefault="00042376" w:rsidP="003D7AB1">
            <w:pPr>
              <w:jc w:val="center"/>
              <w:rPr>
                <w:rFonts w:eastAsia="MS Mincho"/>
                <w:lang w:val="en-US" w:eastAsia="ja-JP"/>
              </w:rPr>
            </w:pPr>
            <w:r>
              <w:rPr>
                <w:rFonts w:eastAsia="MS Mincho"/>
                <w:lang w:val="en-US" w:eastAsia="ja-JP"/>
              </w:rPr>
              <w:lastRenderedPageBreak/>
              <w:t>QC</w:t>
            </w:r>
            <w:r w:rsidR="008E4B0D">
              <w:rPr>
                <w:rFonts w:eastAsia="MS Mincho"/>
                <w:lang w:val="en-US" w:eastAsia="ja-JP"/>
              </w:rPr>
              <w:t xml:space="preserve"> (preferred)</w:t>
            </w:r>
          </w:p>
        </w:tc>
        <w:tc>
          <w:tcPr>
            <w:tcW w:w="383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r>
              <w:rPr>
                <w:rFonts w:eastAsia="MS Mincho"/>
                <w:lang w:val="en-US" w:eastAsia="ja-JP"/>
              </w:rPr>
              <w:t>Pcmax</w:t>
            </w:r>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w:t>
            </w:r>
            <w:proofErr w:type="gramStart"/>
            <w:r w:rsidRPr="004B23DC">
              <w:rPr>
                <w:rFonts w:eastAsia="MS Mincho"/>
                <w:lang w:val="en-US" w:eastAsia="ja-JP"/>
              </w:rPr>
              <w:t>suggested</w:t>
            </w:r>
            <w:proofErr w:type="gramEnd"/>
            <w:r w:rsidRPr="004B23DC">
              <w:rPr>
                <w:rFonts w:eastAsia="MS Mincho"/>
                <w:lang w:val="en-US" w:eastAsia="ja-JP"/>
              </w:rPr>
              <w:t xml:space="preserve">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5"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gNB on whether gNB can continue to sustain high power transmissions. </w:t>
            </w:r>
          </w:p>
        </w:tc>
      </w:tr>
      <w:tr w:rsidR="002F3BDC" w14:paraId="61A038A0" w14:textId="77777777" w:rsidTr="003D7AB1">
        <w:trPr>
          <w:trHeight w:val="351"/>
        </w:trPr>
        <w:tc>
          <w:tcPr>
            <w:tcW w:w="1985" w:type="dxa"/>
            <w:vMerge/>
            <w:vAlign w:val="center"/>
          </w:tcPr>
          <w:p w14:paraId="5F4FDD08" w14:textId="77777777" w:rsidR="002F3BDC" w:rsidRDefault="002F3BDC" w:rsidP="003D7AB1">
            <w:pPr>
              <w:jc w:val="center"/>
              <w:rPr>
                <w:rFonts w:eastAsia="MS Mincho"/>
                <w:lang w:val="en-US" w:eastAsia="ja-JP"/>
              </w:rPr>
            </w:pPr>
          </w:p>
        </w:tc>
        <w:tc>
          <w:tcPr>
            <w:tcW w:w="3839" w:type="dxa"/>
            <w:vMerge/>
            <w:vAlign w:val="center"/>
          </w:tcPr>
          <w:p w14:paraId="15DF52E7" w14:textId="77777777" w:rsidR="002F3BDC" w:rsidRDefault="002F3BDC" w:rsidP="003D7AB1">
            <w:pPr>
              <w:jc w:val="center"/>
              <w:rPr>
                <w:rFonts w:eastAsia="MS Mincho"/>
                <w:lang w:val="en-US" w:eastAsia="ja-JP"/>
              </w:rPr>
            </w:pPr>
          </w:p>
        </w:tc>
        <w:tc>
          <w:tcPr>
            <w:tcW w:w="755"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3D7AB1">
        <w:trPr>
          <w:trHeight w:val="351"/>
        </w:trPr>
        <w:tc>
          <w:tcPr>
            <w:tcW w:w="1985" w:type="dxa"/>
            <w:vMerge w:val="restart"/>
            <w:vAlign w:val="center"/>
          </w:tcPr>
          <w:p w14:paraId="5AA9309C" w14:textId="4C88D6CA" w:rsidR="002F3BDC" w:rsidRDefault="00042376" w:rsidP="000E10A9">
            <w:pPr>
              <w:jc w:val="center"/>
              <w:rPr>
                <w:rFonts w:eastAsia="MS Mincho"/>
                <w:lang w:val="en-US" w:eastAsia="ja-JP"/>
              </w:rPr>
            </w:pPr>
            <w:r>
              <w:rPr>
                <w:rFonts w:eastAsia="MS Mincho"/>
                <w:lang w:val="en-US" w:eastAsia="ja-JP"/>
              </w:rPr>
              <w:t>QC</w:t>
            </w:r>
          </w:p>
        </w:tc>
        <w:tc>
          <w:tcPr>
            <w:tcW w:w="383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gNB.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5"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Provides additional guidance to gNB on how higher power class can be sustained.</w:t>
            </w:r>
          </w:p>
        </w:tc>
      </w:tr>
      <w:tr w:rsidR="002F3BDC" w14:paraId="6FF1B97F" w14:textId="77777777" w:rsidTr="003D7AB1">
        <w:trPr>
          <w:trHeight w:val="351"/>
        </w:trPr>
        <w:tc>
          <w:tcPr>
            <w:tcW w:w="1985" w:type="dxa"/>
            <w:vMerge/>
            <w:vAlign w:val="center"/>
          </w:tcPr>
          <w:p w14:paraId="29E940E0" w14:textId="77777777" w:rsidR="002F3BDC" w:rsidRDefault="002F3BDC" w:rsidP="003D7AB1">
            <w:pPr>
              <w:jc w:val="center"/>
              <w:rPr>
                <w:rFonts w:eastAsia="MS Mincho"/>
                <w:lang w:val="en-US" w:eastAsia="ja-JP"/>
              </w:rPr>
            </w:pPr>
          </w:p>
        </w:tc>
        <w:tc>
          <w:tcPr>
            <w:tcW w:w="3839" w:type="dxa"/>
            <w:vMerge/>
            <w:vAlign w:val="center"/>
          </w:tcPr>
          <w:p w14:paraId="746A8CF1" w14:textId="77777777" w:rsidR="002F3BDC" w:rsidRDefault="002F3BDC" w:rsidP="003D7AB1">
            <w:pPr>
              <w:jc w:val="center"/>
              <w:rPr>
                <w:rFonts w:eastAsia="MS Mincho"/>
                <w:lang w:val="en-US" w:eastAsia="ja-JP"/>
              </w:rPr>
            </w:pPr>
          </w:p>
        </w:tc>
        <w:tc>
          <w:tcPr>
            <w:tcW w:w="755"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w:t>
            </w:r>
            <w:proofErr w:type="gramStart"/>
            <w:r>
              <w:rPr>
                <w:rFonts w:eastAsia="MS Mincho"/>
                <w:lang w:val="en-US" w:eastAsia="ja-JP"/>
              </w:rPr>
              <w:t>taken into account</w:t>
            </w:r>
            <w:proofErr w:type="gramEnd"/>
            <w:r>
              <w:rPr>
                <w:rFonts w:eastAsia="MS Mincho"/>
                <w:lang w:val="en-US" w:eastAsia="ja-JP"/>
              </w:rPr>
              <w:t xml:space="preserve"> within this framework. </w:t>
            </w:r>
          </w:p>
        </w:tc>
      </w:tr>
      <w:tr w:rsidR="002F3BDC" w:rsidRPr="00987AD9" w14:paraId="5B910434" w14:textId="77777777" w:rsidTr="003D7AB1">
        <w:trPr>
          <w:trHeight w:val="351"/>
        </w:trPr>
        <w:tc>
          <w:tcPr>
            <w:tcW w:w="1985" w:type="dxa"/>
            <w:vMerge w:val="restart"/>
            <w:vAlign w:val="center"/>
          </w:tcPr>
          <w:p w14:paraId="27662A4F" w14:textId="4D9D064F" w:rsidR="002F3BDC" w:rsidRPr="00987AD9" w:rsidRDefault="00042376" w:rsidP="003D7AB1">
            <w:pPr>
              <w:jc w:val="center"/>
              <w:rPr>
                <w:lang w:val="en-US" w:eastAsia="zh-CN"/>
              </w:rPr>
            </w:pPr>
            <w:r>
              <w:rPr>
                <w:lang w:val="en-US" w:eastAsia="zh-CN"/>
              </w:rPr>
              <w:t>QC</w:t>
            </w:r>
            <w:r w:rsidR="008E4B0D">
              <w:rPr>
                <w:lang w:val="en-US" w:eastAsia="zh-CN"/>
              </w:rPr>
              <w:t xml:space="preserve"> (preferred)</w:t>
            </w:r>
          </w:p>
        </w:tc>
        <w:tc>
          <w:tcPr>
            <w:tcW w:w="383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gNB; takes UE capability into account. </w:t>
            </w:r>
          </w:p>
          <w:p w14:paraId="1571E534" w14:textId="5D37E755" w:rsidR="00750894" w:rsidRPr="00987AD9" w:rsidRDefault="00750894" w:rsidP="003D7AB1">
            <w:pPr>
              <w:jc w:val="center"/>
              <w:rPr>
                <w:lang w:val="en-US" w:eastAsia="zh-CN"/>
              </w:rPr>
            </w:pPr>
          </w:p>
        </w:tc>
        <w:tc>
          <w:tcPr>
            <w:tcW w:w="755"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3D7AB1">
        <w:trPr>
          <w:trHeight w:val="351"/>
        </w:trPr>
        <w:tc>
          <w:tcPr>
            <w:tcW w:w="1985" w:type="dxa"/>
            <w:vMerge/>
            <w:vAlign w:val="center"/>
          </w:tcPr>
          <w:p w14:paraId="655B17AE" w14:textId="77777777" w:rsidR="002F3BDC" w:rsidRDefault="002F3BDC" w:rsidP="003D7AB1">
            <w:pPr>
              <w:jc w:val="center"/>
              <w:rPr>
                <w:rFonts w:eastAsia="SimSun"/>
                <w:color w:val="FF0000"/>
                <w:lang w:val="en-US"/>
              </w:rPr>
            </w:pPr>
          </w:p>
        </w:tc>
        <w:tc>
          <w:tcPr>
            <w:tcW w:w="3839" w:type="dxa"/>
            <w:vMerge/>
            <w:vAlign w:val="center"/>
          </w:tcPr>
          <w:p w14:paraId="72A8516A" w14:textId="77777777" w:rsidR="002F3BDC" w:rsidRDefault="002F3BDC" w:rsidP="003D7AB1">
            <w:pPr>
              <w:jc w:val="center"/>
              <w:rPr>
                <w:rFonts w:eastAsia="SimSun"/>
                <w:color w:val="FF0000"/>
                <w:lang w:val="en-US"/>
              </w:rPr>
            </w:pPr>
          </w:p>
        </w:tc>
        <w:tc>
          <w:tcPr>
            <w:tcW w:w="755" w:type="dxa"/>
            <w:vAlign w:val="center"/>
          </w:tcPr>
          <w:p w14:paraId="3E483C3B" w14:textId="77777777" w:rsidR="002F3BDC" w:rsidRPr="002F3BDC" w:rsidRDefault="002F3BDC" w:rsidP="003D7AB1">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743B6C7C" w14:textId="77777777" w:rsidR="002F3BDC" w:rsidRDefault="002F3BDC" w:rsidP="003D7AB1">
            <w:pPr>
              <w:jc w:val="center"/>
              <w:rPr>
                <w:rFonts w:eastAsia="SimSun"/>
                <w:color w:val="FF0000"/>
                <w:lang w:val="en-US"/>
              </w:rPr>
            </w:pPr>
          </w:p>
        </w:tc>
      </w:tr>
      <w:tr w:rsidR="002F3BDC" w14:paraId="13E2B039" w14:textId="77777777" w:rsidTr="003D7AB1">
        <w:trPr>
          <w:trHeight w:val="351"/>
        </w:trPr>
        <w:tc>
          <w:tcPr>
            <w:tcW w:w="1985" w:type="dxa"/>
            <w:vMerge w:val="restart"/>
            <w:vAlign w:val="center"/>
          </w:tcPr>
          <w:p w14:paraId="5BA3EF7A" w14:textId="77777777" w:rsidR="002F3BDC" w:rsidRDefault="002F3BDC" w:rsidP="003D7AB1">
            <w:pPr>
              <w:jc w:val="center"/>
              <w:rPr>
                <w:rFonts w:eastAsia="SimSun"/>
                <w:color w:val="FF0000"/>
                <w:lang w:val="en-US"/>
              </w:rPr>
            </w:pPr>
          </w:p>
        </w:tc>
        <w:tc>
          <w:tcPr>
            <w:tcW w:w="3839" w:type="dxa"/>
            <w:vMerge w:val="restart"/>
            <w:vAlign w:val="center"/>
          </w:tcPr>
          <w:p w14:paraId="3B26F04A" w14:textId="77777777" w:rsidR="002F3BDC" w:rsidRDefault="002F3BDC" w:rsidP="003D7AB1">
            <w:pPr>
              <w:jc w:val="center"/>
              <w:rPr>
                <w:rFonts w:eastAsia="SimSun"/>
                <w:color w:val="FF0000"/>
                <w:lang w:val="en-US"/>
              </w:rPr>
            </w:pPr>
          </w:p>
        </w:tc>
        <w:tc>
          <w:tcPr>
            <w:tcW w:w="755" w:type="dxa"/>
            <w:vAlign w:val="center"/>
          </w:tcPr>
          <w:p w14:paraId="5FDD1FF9" w14:textId="77777777" w:rsidR="002F3BDC" w:rsidRPr="002F3BDC" w:rsidRDefault="002F3BDC" w:rsidP="003D7AB1">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41206C2C" w14:textId="77777777" w:rsidR="002F3BDC" w:rsidRDefault="002F3BDC" w:rsidP="003D7AB1">
            <w:pPr>
              <w:jc w:val="center"/>
              <w:rPr>
                <w:rFonts w:eastAsia="SimSun"/>
                <w:color w:val="FF0000"/>
                <w:lang w:val="en-US"/>
              </w:rPr>
            </w:pPr>
          </w:p>
        </w:tc>
      </w:tr>
      <w:tr w:rsidR="002F3BDC" w14:paraId="71569C3D" w14:textId="77777777" w:rsidTr="003D7AB1">
        <w:trPr>
          <w:trHeight w:val="351"/>
        </w:trPr>
        <w:tc>
          <w:tcPr>
            <w:tcW w:w="1985" w:type="dxa"/>
            <w:vMerge/>
            <w:vAlign w:val="center"/>
          </w:tcPr>
          <w:p w14:paraId="7A8F452F" w14:textId="77777777" w:rsidR="002F3BDC" w:rsidRPr="00C35C63" w:rsidRDefault="002F3BDC" w:rsidP="003D7AB1">
            <w:pPr>
              <w:jc w:val="center"/>
              <w:rPr>
                <w:rFonts w:eastAsia="MS Mincho"/>
                <w:lang w:val="en-US" w:eastAsia="ja-JP"/>
              </w:rPr>
            </w:pPr>
          </w:p>
        </w:tc>
        <w:tc>
          <w:tcPr>
            <w:tcW w:w="3839" w:type="dxa"/>
            <w:vMerge/>
            <w:vAlign w:val="center"/>
          </w:tcPr>
          <w:p w14:paraId="655E0B0B" w14:textId="77777777" w:rsidR="002F3BDC" w:rsidRDefault="002F3BDC" w:rsidP="003D7AB1">
            <w:pPr>
              <w:jc w:val="center"/>
              <w:rPr>
                <w:lang w:val="en-US"/>
              </w:rPr>
            </w:pPr>
          </w:p>
        </w:tc>
        <w:tc>
          <w:tcPr>
            <w:tcW w:w="755" w:type="dxa"/>
            <w:vAlign w:val="center"/>
          </w:tcPr>
          <w:p w14:paraId="63DA7F48" w14:textId="77777777" w:rsidR="002F3BDC" w:rsidRPr="002F3BDC" w:rsidRDefault="002F3BDC" w:rsidP="003D7AB1">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5051E8A3" w14:textId="77777777" w:rsidR="002F3BDC" w:rsidRDefault="002F3BDC" w:rsidP="003D7AB1">
            <w:pPr>
              <w:jc w:val="center"/>
              <w:rPr>
                <w:lang w:val="en-US"/>
              </w:rPr>
            </w:pPr>
          </w:p>
        </w:tc>
      </w:tr>
      <w:tr w:rsidR="002F3BDC" w:rsidRPr="008D1048" w14:paraId="71F74CE7" w14:textId="77777777" w:rsidTr="003D7AB1">
        <w:trPr>
          <w:trHeight w:val="351"/>
        </w:trPr>
        <w:tc>
          <w:tcPr>
            <w:tcW w:w="1985" w:type="dxa"/>
            <w:vMerge w:val="restart"/>
            <w:vAlign w:val="center"/>
          </w:tcPr>
          <w:p w14:paraId="22B4C700" w14:textId="77777777" w:rsidR="002F3BDC" w:rsidRPr="008D1048" w:rsidRDefault="002F3BDC" w:rsidP="003D7AB1">
            <w:pPr>
              <w:jc w:val="center"/>
              <w:rPr>
                <w:rFonts w:eastAsia="SimSun"/>
                <w:lang w:val="en-US"/>
              </w:rPr>
            </w:pPr>
          </w:p>
        </w:tc>
        <w:tc>
          <w:tcPr>
            <w:tcW w:w="3839" w:type="dxa"/>
            <w:vMerge w:val="restart"/>
            <w:vAlign w:val="center"/>
          </w:tcPr>
          <w:p w14:paraId="0C4301C7" w14:textId="77777777" w:rsidR="002F3BDC" w:rsidRPr="008D1048" w:rsidRDefault="002F3BDC" w:rsidP="003D7AB1">
            <w:pPr>
              <w:jc w:val="center"/>
              <w:rPr>
                <w:rFonts w:eastAsia="SimSun"/>
                <w:lang w:val="en-US"/>
              </w:rPr>
            </w:pPr>
          </w:p>
        </w:tc>
        <w:tc>
          <w:tcPr>
            <w:tcW w:w="755" w:type="dxa"/>
            <w:vAlign w:val="center"/>
          </w:tcPr>
          <w:p w14:paraId="01A7DA4E" w14:textId="77777777" w:rsidR="002F3BDC" w:rsidRPr="002F3BDC" w:rsidRDefault="002F3BDC" w:rsidP="003D7AB1">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1F6E9FDB" w14:textId="77777777" w:rsidR="002F3BDC" w:rsidRPr="008D1048" w:rsidRDefault="002F3BDC" w:rsidP="003D7AB1">
            <w:pPr>
              <w:jc w:val="center"/>
              <w:rPr>
                <w:rFonts w:eastAsia="SimSun"/>
                <w:lang w:val="en-US"/>
              </w:rPr>
            </w:pPr>
          </w:p>
        </w:tc>
      </w:tr>
      <w:tr w:rsidR="002F3BDC" w14:paraId="57A8D9B3" w14:textId="77777777" w:rsidTr="003D7AB1">
        <w:trPr>
          <w:trHeight w:val="351"/>
        </w:trPr>
        <w:tc>
          <w:tcPr>
            <w:tcW w:w="1985" w:type="dxa"/>
            <w:vMerge/>
            <w:vAlign w:val="center"/>
          </w:tcPr>
          <w:p w14:paraId="374E360A" w14:textId="77777777" w:rsidR="002F3BDC" w:rsidRPr="008D1048" w:rsidRDefault="002F3BDC" w:rsidP="003D7AB1">
            <w:pPr>
              <w:jc w:val="center"/>
              <w:rPr>
                <w:rFonts w:eastAsia="SimSun"/>
                <w:lang w:val="en-US"/>
              </w:rPr>
            </w:pPr>
          </w:p>
        </w:tc>
        <w:tc>
          <w:tcPr>
            <w:tcW w:w="3839" w:type="dxa"/>
            <w:vMerge/>
            <w:vAlign w:val="center"/>
          </w:tcPr>
          <w:p w14:paraId="4E7BE018" w14:textId="77777777" w:rsidR="002F3BDC" w:rsidRDefault="002F3BDC" w:rsidP="003D7AB1">
            <w:pPr>
              <w:jc w:val="center"/>
              <w:rPr>
                <w:rFonts w:eastAsia="SimSun"/>
                <w:lang w:val="en-US"/>
              </w:rPr>
            </w:pPr>
          </w:p>
        </w:tc>
        <w:tc>
          <w:tcPr>
            <w:tcW w:w="755" w:type="dxa"/>
            <w:vAlign w:val="center"/>
          </w:tcPr>
          <w:p w14:paraId="0150D6FC" w14:textId="77777777" w:rsidR="002F3BDC" w:rsidRPr="002F3BDC" w:rsidRDefault="002F3BDC" w:rsidP="003D7AB1">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155421FE" w14:textId="77777777" w:rsidR="002F3BDC" w:rsidRDefault="002F3BDC" w:rsidP="003D7AB1">
            <w:pPr>
              <w:jc w:val="center"/>
              <w:rPr>
                <w:rFonts w:eastAsia="SimSun"/>
                <w:lang w:val="en-US"/>
              </w:rPr>
            </w:pPr>
          </w:p>
        </w:tc>
      </w:tr>
      <w:tr w:rsidR="002F3BDC" w14:paraId="1CBFB9D8" w14:textId="77777777" w:rsidTr="003D7AB1">
        <w:trPr>
          <w:trHeight w:val="351"/>
        </w:trPr>
        <w:tc>
          <w:tcPr>
            <w:tcW w:w="1985" w:type="dxa"/>
            <w:vMerge w:val="restart"/>
            <w:vAlign w:val="center"/>
          </w:tcPr>
          <w:p w14:paraId="03B497DD" w14:textId="77777777" w:rsidR="002F3BDC" w:rsidRDefault="002F3BDC" w:rsidP="003D7AB1">
            <w:pPr>
              <w:jc w:val="center"/>
              <w:rPr>
                <w:rFonts w:eastAsia="SimSun"/>
                <w:lang w:val="en-US"/>
              </w:rPr>
            </w:pPr>
          </w:p>
        </w:tc>
        <w:tc>
          <w:tcPr>
            <w:tcW w:w="3839" w:type="dxa"/>
            <w:vMerge w:val="restart"/>
            <w:vAlign w:val="center"/>
          </w:tcPr>
          <w:p w14:paraId="42329D67" w14:textId="77777777" w:rsidR="002F3BDC" w:rsidRDefault="002F3BDC" w:rsidP="003D7AB1">
            <w:pPr>
              <w:jc w:val="center"/>
              <w:rPr>
                <w:rFonts w:eastAsia="SimSun"/>
                <w:lang w:val="en-US"/>
              </w:rPr>
            </w:pPr>
          </w:p>
        </w:tc>
        <w:tc>
          <w:tcPr>
            <w:tcW w:w="755" w:type="dxa"/>
            <w:vAlign w:val="center"/>
          </w:tcPr>
          <w:p w14:paraId="2ACD4106" w14:textId="77777777" w:rsidR="002F3BDC" w:rsidRPr="002F3BDC" w:rsidRDefault="002F3BDC" w:rsidP="003D7AB1">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1F445D65" w14:textId="77777777" w:rsidR="002F3BDC" w:rsidRDefault="002F3BDC" w:rsidP="003D7AB1">
            <w:pPr>
              <w:jc w:val="center"/>
              <w:rPr>
                <w:rFonts w:eastAsia="SimSun"/>
                <w:lang w:val="en-US"/>
              </w:rPr>
            </w:pPr>
          </w:p>
        </w:tc>
      </w:tr>
      <w:tr w:rsidR="002F3BDC" w:rsidRPr="00EF67C7" w14:paraId="7F8766CD" w14:textId="77777777" w:rsidTr="003D7AB1">
        <w:trPr>
          <w:trHeight w:val="351"/>
        </w:trPr>
        <w:tc>
          <w:tcPr>
            <w:tcW w:w="1985" w:type="dxa"/>
            <w:vMerge/>
            <w:vAlign w:val="center"/>
          </w:tcPr>
          <w:p w14:paraId="02495842" w14:textId="77777777" w:rsidR="002F3BDC" w:rsidRDefault="002F3BDC" w:rsidP="003D7AB1">
            <w:pPr>
              <w:jc w:val="center"/>
              <w:rPr>
                <w:rFonts w:eastAsia="SimSun"/>
                <w:lang w:val="en-US"/>
              </w:rPr>
            </w:pPr>
          </w:p>
        </w:tc>
        <w:tc>
          <w:tcPr>
            <w:tcW w:w="3839" w:type="dxa"/>
            <w:vMerge/>
            <w:vAlign w:val="center"/>
          </w:tcPr>
          <w:p w14:paraId="52CB85B6" w14:textId="77777777" w:rsidR="002F3BDC" w:rsidRPr="00EF67C7" w:rsidRDefault="002F3BDC" w:rsidP="003D7AB1">
            <w:pPr>
              <w:jc w:val="center"/>
              <w:rPr>
                <w:rFonts w:eastAsia="SimSun"/>
                <w:lang w:val="en-US"/>
              </w:rPr>
            </w:pPr>
          </w:p>
        </w:tc>
        <w:tc>
          <w:tcPr>
            <w:tcW w:w="755" w:type="dxa"/>
            <w:vAlign w:val="center"/>
          </w:tcPr>
          <w:p w14:paraId="64D577A0" w14:textId="77777777" w:rsidR="002F3BDC" w:rsidRPr="002F3BDC" w:rsidRDefault="002F3BDC" w:rsidP="003D7AB1">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6C5B242B" w14:textId="77777777" w:rsidR="002F3BDC" w:rsidRPr="00EF67C7" w:rsidRDefault="002F3BDC" w:rsidP="003D7AB1">
            <w:pPr>
              <w:jc w:val="center"/>
              <w:rPr>
                <w:rFonts w:eastAsia="SimSun"/>
                <w:lang w:val="en-US"/>
              </w:rPr>
            </w:pPr>
          </w:p>
        </w:tc>
      </w:tr>
    </w:tbl>
    <w:p w14:paraId="087FB6F2" w14:textId="77777777" w:rsidR="002F3BDC" w:rsidRDefault="002F3BDC" w:rsidP="002F3BDC">
      <w:pPr>
        <w:spacing w:before="120" w:after="120"/>
        <w:jc w:val="both"/>
        <w:rPr>
          <w:sz w:val="22"/>
          <w:lang w:val="en-US"/>
        </w:rPr>
      </w:pPr>
    </w:p>
    <w:p w14:paraId="3A53ED7A" w14:textId="77777777" w:rsidR="0088296D" w:rsidRDefault="0088296D">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4" w:name="_Hlk79588713"/>
      <w:r>
        <w:rPr>
          <w:color w:val="000000" w:themeColor="text1"/>
          <w:sz w:val="22"/>
          <w:lang w:val="en-US"/>
        </w:rPr>
        <w:t>Design aspects of FDSS-SE – DMRS</w:t>
      </w:r>
    </w:p>
    <w:bookmarkEnd w:id="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5" w:name="_Hlk118799445"/>
      <w:r>
        <w:rPr>
          <w:sz w:val="22"/>
          <w:lang w:val="en-US"/>
        </w:rPr>
        <w:t>Design aspects of FDSS w/ SE – DMRS</w:t>
      </w:r>
    </w:p>
    <w:bookmarkEnd w:id="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lastRenderedPageBreak/>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lastRenderedPageBreak/>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lastRenderedPageBreak/>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designs, since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t>data+DMRS</w:t>
            </w:r>
            <w:proofErr w:type="spellEnd"/>
            <w:r w:rsidRPr="008D1048">
              <w:rPr>
                <w:rFonts w:eastAsia="SimSun"/>
                <w:lang w:val="en-US"/>
              </w:rPr>
              <w:t>, we do not see that the DMRS design 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w:t>
            </w:r>
            <w:r>
              <w:rPr>
                <w:rFonts w:eastAsia="SimSun"/>
                <w:lang w:val="en-US"/>
              </w:rPr>
              <w:lastRenderedPageBreak/>
              <w:t xml:space="preserve">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lastRenderedPageBreak/>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Rel-15 Type 1 low-PAPR DMRS generated for inband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proofErr w:type="spellStart"/>
            <w:r>
              <w:rPr>
                <w:rFonts w:hint="eastAsia"/>
                <w:lang w:val="en-US" w:eastAsia="zh-CN"/>
              </w:rPr>
              <w:t>S</w:t>
            </w:r>
            <w:r>
              <w:rPr>
                <w:lang w:val="en-US" w:eastAsia="zh-CN"/>
              </w:rPr>
              <w:t>preadtrum</w:t>
            </w:r>
            <w:proofErr w:type="spellEnd"/>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r w:rsidRPr="006D20E8">
              <w:rPr>
                <w:rFonts w:eastAsia="SimSun"/>
                <w:lang w:val="en-US"/>
              </w:rPr>
              <w:t>make a decision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r>
              <w:rPr>
                <w:lang w:eastAsia="zh-CN"/>
              </w:rPr>
              <w:t>Hisilicon</w:t>
            </w:r>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 xml:space="preserve">demodulation performance is enough for down selecting DMRS </w:t>
            </w:r>
            <w:r w:rsidR="00FC33B1">
              <w:rPr>
                <w:rFonts w:eastAsia="SimSun"/>
                <w:lang w:val="en-US" w:eastAsia="zh-CN"/>
              </w:rPr>
              <w:lastRenderedPageBreak/>
              <w:t>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lastRenderedPageBreak/>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inband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inband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proofErr w:type="spellStart"/>
            <w:r>
              <w:rPr>
                <w:rFonts w:eastAsia="SimSun"/>
                <w:lang w:val="en-US" w:eastAsia="zh-CN"/>
              </w:rPr>
              <w:lastRenderedPageBreak/>
              <w:t>Spreadtrum</w:t>
            </w:r>
            <w:proofErr w:type="spellEnd"/>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r>
              <w:rPr>
                <w:rFonts w:eastAsia="SimSun"/>
                <w:lang w:val="en-US" w:eastAsia="zh-CN"/>
              </w:rPr>
              <w:t>Hisilicon</w:t>
            </w:r>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generated for inband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Rel-15 Type 1 low-PAPR DMRS generated for inband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873E9F">
      <w:pPr>
        <w:pStyle w:val="ListParagraph"/>
        <w:numPr>
          <w:ilvl w:val="0"/>
          <w:numId w:val="77"/>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873E9F">
      <w:pPr>
        <w:pStyle w:val="ListParagraph"/>
        <w:numPr>
          <w:ilvl w:val="0"/>
          <w:numId w:val="77"/>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873E9F">
      <w:pPr>
        <w:pStyle w:val="ListParagraph"/>
        <w:numPr>
          <w:ilvl w:val="0"/>
          <w:numId w:val="77"/>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873E9F">
      <w:pPr>
        <w:pStyle w:val="ListParagraph"/>
        <w:numPr>
          <w:ilvl w:val="0"/>
          <w:numId w:val="77"/>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873E9F">
      <w:pPr>
        <w:pStyle w:val="ListParagraph"/>
        <w:numPr>
          <w:ilvl w:val="0"/>
          <w:numId w:val="77"/>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873E9F">
      <w:pPr>
        <w:pStyle w:val="ListParagraph"/>
        <w:numPr>
          <w:ilvl w:val="1"/>
          <w:numId w:val="77"/>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873E9F">
      <w:pPr>
        <w:pStyle w:val="ListParagraph"/>
        <w:numPr>
          <w:ilvl w:val="2"/>
          <w:numId w:val="77"/>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873E9F">
      <w:pPr>
        <w:pStyle w:val="ListParagraph"/>
        <w:numPr>
          <w:ilvl w:val="2"/>
          <w:numId w:val="77"/>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873E9F">
      <w:pPr>
        <w:pStyle w:val="ListParagraph"/>
        <w:numPr>
          <w:ilvl w:val="1"/>
          <w:numId w:val="77"/>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873E9F">
      <w:pPr>
        <w:pStyle w:val="ListParagraph"/>
        <w:numPr>
          <w:ilvl w:val="2"/>
          <w:numId w:val="77"/>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D2F38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5DF71A"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lastRenderedPageBreak/>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873E9F">
      <w:pPr>
        <w:pStyle w:val="ListParagraph"/>
        <w:numPr>
          <w:ilvl w:val="0"/>
          <w:numId w:val="77"/>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873E9F">
      <w:pPr>
        <w:pStyle w:val="ListParagraph"/>
        <w:numPr>
          <w:ilvl w:val="0"/>
          <w:numId w:val="77"/>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873E9F">
      <w:pPr>
        <w:pStyle w:val="ListParagraph"/>
        <w:numPr>
          <w:ilvl w:val="0"/>
          <w:numId w:val="77"/>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873E9F">
      <w:pPr>
        <w:pStyle w:val="ListParagraph"/>
        <w:numPr>
          <w:ilvl w:val="0"/>
          <w:numId w:val="75"/>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873E9F">
      <w:pPr>
        <w:pStyle w:val="ListParagraph"/>
        <w:numPr>
          <w:ilvl w:val="0"/>
          <w:numId w:val="75"/>
        </w:numPr>
        <w:rPr>
          <w:lang w:val="en-US"/>
        </w:rPr>
      </w:pPr>
      <w:r w:rsidRPr="007513C8">
        <w:rPr>
          <w:lang w:val="en-US"/>
        </w:rPr>
        <w:t>At least one company observes the opposite.</w:t>
      </w:r>
    </w:p>
    <w:p w14:paraId="11DA4BC6" w14:textId="1802BEAD" w:rsidR="00873E9F" w:rsidRPr="007513C8" w:rsidRDefault="00873E9F" w:rsidP="00873E9F">
      <w:pPr>
        <w:pStyle w:val="ListParagraph"/>
        <w:numPr>
          <w:ilvl w:val="0"/>
          <w:numId w:val="75"/>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873E9F">
      <w:pPr>
        <w:pStyle w:val="ListParagraph"/>
        <w:numPr>
          <w:ilvl w:val="0"/>
          <w:numId w:val="75"/>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873E9F">
      <w:pPr>
        <w:pStyle w:val="ListParagraph"/>
        <w:numPr>
          <w:ilvl w:val="0"/>
          <w:numId w:val="75"/>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lastRenderedPageBreak/>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 xml:space="preserve">A majority exists for Alt. </w:t>
      </w:r>
      <w:proofErr w:type="gramStart"/>
      <w:r>
        <w:t>2</w:t>
      </w:r>
      <w:proofErr w:type="gramEnd"/>
      <w:r>
        <w:t xml:space="preserve">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3D7AB1">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3D7AB1">
            <w:pPr>
              <w:jc w:val="center"/>
              <w:rPr>
                <w:rFonts w:eastAsia="SimSun"/>
                <w:b w:val="0"/>
                <w:bCs w:val="0"/>
                <w:lang w:val="en-US"/>
              </w:rPr>
            </w:pPr>
            <w:r>
              <w:rPr>
                <w:rFonts w:eastAsia="SimSun"/>
                <w:lang w:val="en-US"/>
              </w:rPr>
              <w:t>Further comments/explanations</w:t>
            </w:r>
          </w:p>
        </w:tc>
      </w:tr>
      <w:tr w:rsidR="007513C8" w14:paraId="0059A8F0" w14:textId="77777777" w:rsidTr="003D7AB1">
        <w:tc>
          <w:tcPr>
            <w:tcW w:w="2260" w:type="dxa"/>
          </w:tcPr>
          <w:p w14:paraId="0E9A091A" w14:textId="2C06BDD7" w:rsidR="007513C8" w:rsidRPr="00B96CA6" w:rsidRDefault="007513C8" w:rsidP="003D7AB1">
            <w:pPr>
              <w:jc w:val="both"/>
              <w:rPr>
                <w:lang w:val="en-US" w:eastAsia="zh-CN"/>
              </w:rPr>
            </w:pPr>
          </w:p>
        </w:tc>
        <w:tc>
          <w:tcPr>
            <w:tcW w:w="2977" w:type="dxa"/>
          </w:tcPr>
          <w:p w14:paraId="465BD89A" w14:textId="0338905C" w:rsidR="007513C8" w:rsidRPr="00B96CA6" w:rsidRDefault="007513C8" w:rsidP="003D7AB1">
            <w:pPr>
              <w:jc w:val="both"/>
              <w:rPr>
                <w:lang w:val="en-US"/>
              </w:rPr>
            </w:pPr>
          </w:p>
        </w:tc>
        <w:tc>
          <w:tcPr>
            <w:tcW w:w="4386" w:type="dxa"/>
          </w:tcPr>
          <w:p w14:paraId="4C916197" w14:textId="01570A73" w:rsidR="007513C8" w:rsidRPr="00B96CA6" w:rsidRDefault="007513C8" w:rsidP="003D7AB1">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SimSun"/>
                <w:color w:val="FF0000"/>
                <w:lang w:val="en-US"/>
              </w:rPr>
            </w:pPr>
          </w:p>
        </w:tc>
        <w:tc>
          <w:tcPr>
            <w:tcW w:w="2977" w:type="dxa"/>
          </w:tcPr>
          <w:p w14:paraId="0482B52D" w14:textId="367B3C95" w:rsidR="007513C8" w:rsidRDefault="007513C8" w:rsidP="003D7AB1">
            <w:pPr>
              <w:jc w:val="both"/>
              <w:rPr>
                <w:rFonts w:eastAsia="SimSun"/>
                <w:color w:val="FF0000"/>
                <w:lang w:val="en-US"/>
              </w:rPr>
            </w:pPr>
          </w:p>
        </w:tc>
        <w:tc>
          <w:tcPr>
            <w:tcW w:w="4386" w:type="dxa"/>
          </w:tcPr>
          <w:p w14:paraId="256D3883" w14:textId="19ADAAB9" w:rsidR="007513C8" w:rsidRDefault="007513C8" w:rsidP="003D7AB1">
            <w:pPr>
              <w:jc w:val="both"/>
              <w:rPr>
                <w:rFonts w:eastAsia="SimSun"/>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SimSun"/>
                <w:lang w:val="en-US"/>
              </w:rPr>
            </w:pPr>
          </w:p>
        </w:tc>
        <w:tc>
          <w:tcPr>
            <w:tcW w:w="2977" w:type="dxa"/>
          </w:tcPr>
          <w:p w14:paraId="532BB317" w14:textId="359A21F5" w:rsidR="007513C8" w:rsidRPr="0004145F" w:rsidRDefault="007513C8" w:rsidP="003D7AB1">
            <w:pPr>
              <w:jc w:val="both"/>
              <w:rPr>
                <w:rFonts w:eastAsia="SimSun"/>
                <w:lang w:val="en-US"/>
              </w:rPr>
            </w:pPr>
          </w:p>
        </w:tc>
        <w:tc>
          <w:tcPr>
            <w:tcW w:w="4386" w:type="dxa"/>
          </w:tcPr>
          <w:p w14:paraId="4E825451" w14:textId="77777777" w:rsidR="007513C8" w:rsidRDefault="007513C8" w:rsidP="003D7AB1">
            <w:pPr>
              <w:jc w:val="both"/>
              <w:rPr>
                <w:rFonts w:eastAsia="SimSun"/>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SimSun"/>
                <w:color w:val="FF0000"/>
                <w:lang w:val="en-US"/>
              </w:rPr>
            </w:pPr>
          </w:p>
        </w:tc>
        <w:tc>
          <w:tcPr>
            <w:tcW w:w="2977" w:type="dxa"/>
          </w:tcPr>
          <w:p w14:paraId="4B669E9E" w14:textId="22140410" w:rsidR="007513C8" w:rsidRDefault="007513C8" w:rsidP="003D7AB1">
            <w:pPr>
              <w:jc w:val="both"/>
              <w:rPr>
                <w:rFonts w:eastAsia="SimSun"/>
                <w:color w:val="FF0000"/>
                <w:lang w:val="en-US"/>
              </w:rPr>
            </w:pPr>
          </w:p>
        </w:tc>
        <w:tc>
          <w:tcPr>
            <w:tcW w:w="4386" w:type="dxa"/>
          </w:tcPr>
          <w:p w14:paraId="3ADFF70E" w14:textId="5676AE92" w:rsidR="007513C8" w:rsidRDefault="007513C8" w:rsidP="003D7AB1">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w:t>
      </w:r>
      <w:proofErr w:type="spellStart"/>
      <w:r w:rsidRPr="003443D4">
        <w:rPr>
          <w:b/>
          <w:bCs/>
          <w:highlight w:val="yellow"/>
          <w:lang w:val="en-US" w:eastAsia="zh-CN"/>
        </w:rPr>
        <w:t>gNB</w:t>
      </w:r>
      <w:proofErr w:type="spellEnd"/>
      <w:r w:rsidRPr="003443D4">
        <w:rPr>
          <w:b/>
          <w:bCs/>
          <w:highlight w:val="yellow"/>
          <w:lang w:val="en-US" w:eastAsia="zh-CN"/>
        </w:rPr>
        <w:t xml:space="preserve">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lastRenderedPageBreak/>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3D7AB1">
            <w:pPr>
              <w:jc w:val="center"/>
              <w:rPr>
                <w:rFonts w:eastAsia="SimSun"/>
                <w:b w:val="0"/>
                <w:bCs w:val="0"/>
                <w:lang w:val="en-US"/>
              </w:rPr>
            </w:pPr>
            <w:r>
              <w:rPr>
                <w:rFonts w:eastAsia="SimSun"/>
                <w:lang w:val="en-US"/>
              </w:rPr>
              <w:t>Answer/Views</w:t>
            </w:r>
          </w:p>
        </w:tc>
      </w:tr>
      <w:tr w:rsidR="00E2089B" w14:paraId="145D603E" w14:textId="77777777" w:rsidTr="003D7AB1">
        <w:trPr>
          <w:trHeight w:val="313"/>
        </w:trPr>
        <w:tc>
          <w:tcPr>
            <w:tcW w:w="1977" w:type="dxa"/>
          </w:tcPr>
          <w:p w14:paraId="5F67FB92" w14:textId="77777777" w:rsidR="00E2089B" w:rsidRDefault="00E2089B" w:rsidP="003D7AB1">
            <w:pPr>
              <w:jc w:val="both"/>
              <w:rPr>
                <w:rFonts w:eastAsia="MS Mincho"/>
                <w:lang w:val="en-US" w:eastAsia="ja-JP"/>
              </w:rPr>
            </w:pPr>
          </w:p>
        </w:tc>
        <w:tc>
          <w:tcPr>
            <w:tcW w:w="7662" w:type="dxa"/>
          </w:tcPr>
          <w:p w14:paraId="332B04A1" w14:textId="77777777" w:rsidR="00E2089B" w:rsidRDefault="00E2089B" w:rsidP="003D7AB1">
            <w:pPr>
              <w:jc w:val="both"/>
              <w:rPr>
                <w:rFonts w:eastAsia="MS Mincho"/>
                <w:lang w:val="en-US" w:eastAsia="ja-JP"/>
              </w:rPr>
            </w:pPr>
          </w:p>
        </w:tc>
      </w:tr>
      <w:tr w:rsidR="00E2089B" w14:paraId="2D631D1F" w14:textId="77777777" w:rsidTr="003D7AB1">
        <w:trPr>
          <w:trHeight w:val="300"/>
        </w:trPr>
        <w:tc>
          <w:tcPr>
            <w:tcW w:w="1977" w:type="dxa"/>
          </w:tcPr>
          <w:p w14:paraId="5D41F680" w14:textId="77777777" w:rsidR="00E2089B" w:rsidRDefault="00E2089B" w:rsidP="003D7AB1">
            <w:pPr>
              <w:jc w:val="both"/>
              <w:rPr>
                <w:rFonts w:eastAsia="MS Mincho"/>
                <w:lang w:val="en-US" w:eastAsia="ja-JP"/>
              </w:rPr>
            </w:pPr>
          </w:p>
        </w:tc>
        <w:tc>
          <w:tcPr>
            <w:tcW w:w="7662" w:type="dxa"/>
          </w:tcPr>
          <w:p w14:paraId="469A6D62" w14:textId="77777777" w:rsidR="00E2089B" w:rsidRDefault="00E2089B" w:rsidP="003D7AB1">
            <w:pPr>
              <w:jc w:val="both"/>
              <w:rPr>
                <w:rFonts w:eastAsia="MS Mincho"/>
                <w:lang w:val="en-US" w:eastAsia="ja-JP"/>
              </w:rPr>
            </w:pPr>
          </w:p>
        </w:tc>
      </w:tr>
      <w:tr w:rsidR="00E2089B" w14:paraId="70FDF168" w14:textId="77777777" w:rsidTr="003D7AB1">
        <w:trPr>
          <w:trHeight w:val="300"/>
        </w:trPr>
        <w:tc>
          <w:tcPr>
            <w:tcW w:w="1977" w:type="dxa"/>
          </w:tcPr>
          <w:p w14:paraId="4E6103E7" w14:textId="77777777" w:rsidR="00E2089B" w:rsidRPr="00B96CA6" w:rsidRDefault="00E2089B" w:rsidP="003D7AB1">
            <w:pPr>
              <w:jc w:val="both"/>
              <w:rPr>
                <w:lang w:val="en-US" w:eastAsia="zh-CN"/>
              </w:rPr>
            </w:pPr>
          </w:p>
        </w:tc>
        <w:tc>
          <w:tcPr>
            <w:tcW w:w="7662" w:type="dxa"/>
          </w:tcPr>
          <w:p w14:paraId="7ADFA65B" w14:textId="77777777" w:rsidR="00E2089B" w:rsidRPr="00B96CA6" w:rsidRDefault="00E2089B" w:rsidP="003D7AB1">
            <w:pPr>
              <w:jc w:val="both"/>
              <w:rPr>
                <w:lang w:val="en-US" w:eastAsia="zh-CN"/>
              </w:rPr>
            </w:pPr>
          </w:p>
        </w:tc>
      </w:tr>
      <w:tr w:rsidR="00E2089B" w14:paraId="62BA3413" w14:textId="77777777" w:rsidTr="003D7AB1">
        <w:trPr>
          <w:trHeight w:val="300"/>
        </w:trPr>
        <w:tc>
          <w:tcPr>
            <w:tcW w:w="1977" w:type="dxa"/>
          </w:tcPr>
          <w:p w14:paraId="592328D4" w14:textId="77777777" w:rsidR="00E2089B" w:rsidRDefault="00E2089B" w:rsidP="003D7AB1">
            <w:pPr>
              <w:jc w:val="both"/>
              <w:rPr>
                <w:lang w:val="en-US" w:eastAsia="zh-CN"/>
              </w:rPr>
            </w:pPr>
          </w:p>
        </w:tc>
        <w:tc>
          <w:tcPr>
            <w:tcW w:w="7662" w:type="dxa"/>
          </w:tcPr>
          <w:p w14:paraId="34E22535" w14:textId="77777777" w:rsidR="00E2089B" w:rsidRDefault="00E2089B" w:rsidP="003D7AB1">
            <w:pPr>
              <w:jc w:val="both"/>
              <w:rPr>
                <w:lang w:val="en-US" w:eastAsia="zh-CN"/>
              </w:rPr>
            </w:pPr>
          </w:p>
        </w:tc>
      </w:tr>
    </w:tbl>
    <w:p w14:paraId="1C6CA43B" w14:textId="77777777" w:rsidR="00E2089B" w:rsidRDefault="00E2089B" w:rsidP="00E2089B">
      <w:pPr>
        <w:jc w:val="both"/>
        <w:rPr>
          <w:sz w:val="22"/>
          <w:lang w:val="en-US"/>
        </w:rPr>
      </w:pPr>
    </w:p>
    <w:p w14:paraId="07EF9AE8" w14:textId="77777777" w:rsidR="00E2089B" w:rsidRPr="00495999" w:rsidRDefault="00E2089B" w:rsidP="00873E9F">
      <w:pPr>
        <w:rPr>
          <w:lang w:val="en-US"/>
        </w:rPr>
      </w:pP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6"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7" w:name="_Ref118905470"/>
      <w:r>
        <w:rPr>
          <w:sz w:val="22"/>
          <w:lang w:val="fr-FR"/>
        </w:rPr>
        <w:t>MPR/PAR reduction techniques – modulation order</w:t>
      </w:r>
      <w:bookmarkEnd w:id="7"/>
    </w:p>
    <w:p w14:paraId="6EB525ED" w14:textId="77777777" w:rsidR="00584963" w:rsidRDefault="000933A6">
      <w:pPr>
        <w:pStyle w:val="ListParagraph"/>
        <w:numPr>
          <w:ilvl w:val="0"/>
          <w:numId w:val="26"/>
        </w:numPr>
        <w:jc w:val="both"/>
        <w:rPr>
          <w:sz w:val="22"/>
          <w:lang w:val="en-US"/>
        </w:rPr>
      </w:pPr>
      <w:bookmarkStart w:id="8" w:name="_Ref118904799"/>
      <w:bookmarkEnd w:id="6"/>
      <w:r>
        <w:rPr>
          <w:sz w:val="22"/>
          <w:lang w:val="en-US"/>
        </w:rPr>
        <w:t xml:space="preserve">Design aspects of FDSS w/ SE – </w:t>
      </w:r>
      <w:bookmarkEnd w:id="8"/>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9" w:name="_Toc415085486"/>
      <w:bookmarkStart w:id="10"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lastRenderedPageBreak/>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11"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inband.</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From a purely technical perspective, FL’s understanding is that if the resource block allocation signaled by FDRA for FDSS-SE indicates the inband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lastRenderedPageBreak/>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55"/>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inband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indicating the number of inband vs. the total extension.  We can see that TBS calculation might weigh in favor of indicating the inband,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If FDSS-SE is supported, we slightly prefer indication of inband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lastRenderedPageBreak/>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lastRenderedPageBreak/>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r>
              <w:rPr>
                <w:lang w:val="en-US" w:eastAsia="zh-CN"/>
              </w:rPr>
              <w:t>Hisilicon</w:t>
            </w:r>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w:t>
            </w:r>
            <w:proofErr w:type="gramStart"/>
            <w:r w:rsidR="001A19B9">
              <w:rPr>
                <w:lang w:val="en-US" w:eastAsia="zh-CN"/>
              </w:rPr>
              <w:t>e.g.</w:t>
            </w:r>
            <w:proofErr w:type="gramEnd"/>
            <w:r w:rsidR="001A19B9">
              <w:rPr>
                <w:lang w:val="en-US" w:eastAsia="zh-CN"/>
              </w:rPr>
              <w:t xml:space="preserve">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18pt" o:ole="">
                  <v:imagedata r:id="rId13" o:title=""/>
                </v:shape>
                <o:OLEObject Type="Embed" ProgID="Equation.DSMT4" ShapeID="_x0000_i1025" DrawAspect="Content" ObjectID="_1743462087" r:id="rId14"/>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w:t>
            </w:r>
            <w:proofErr w:type="spellStart"/>
            <w:r>
              <w:rPr>
                <w:lang w:val="en-US" w:eastAsia="zh-CN"/>
              </w:rPr>
              <w:t>dB.</w:t>
            </w:r>
            <w:proofErr w:type="spellEnd"/>
            <w:r>
              <w:rPr>
                <w:lang w:val="en-US" w:eastAsia="zh-CN"/>
              </w:rPr>
              <w:t xml:space="preserve">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w:t>
            </w:r>
            <w:proofErr w:type="spellStart"/>
            <w:r>
              <w:rPr>
                <w:lang w:val="en-US" w:eastAsia="zh-CN"/>
              </w:rPr>
              <w:t>inband</w:t>
            </w:r>
            <w:proofErr w:type="spellEnd"/>
            <w:r>
              <w:rPr>
                <w:lang w:val="en-US" w:eastAsia="zh-CN"/>
              </w:rPr>
              <w:t xml:space="preserve">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8pt;height:20.4pt" o:ole="">
                  <v:imagedata r:id="rId15" o:title=""/>
                </v:shape>
                <o:OLEObject Type="Embed" ProgID="Equation.DSMT4" ShapeID="_x0000_i1026" DrawAspect="Content" ObjectID="_1743462088" r:id="rId16"/>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eastAsia="zh-CN"/>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eastAsia="zh-CN"/>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eastAsia="zh-CN"/>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eastAsia="zh-CN"/>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eastAsia="zh-CN"/>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7.8pt;height:18pt" o:ole="">
                  <v:imagedata r:id="rId13" o:title=""/>
                </v:shape>
                <o:OLEObject Type="Embed" ProgID="Equation.DSMT4" ShapeID="_x0000_i1027" DrawAspect="Content" ObjectID="_1743462089" r:id="rId22"/>
              </w:object>
            </w:r>
            <w:r w:rsidRPr="0043527A">
              <w:rPr>
                <w:rFonts w:eastAsia="SimSun"/>
                <w:kern w:val="2"/>
                <w:lang w:val="en-US" w:eastAsia="zh-CN"/>
              </w:rPr>
              <w:t xml:space="preserve"> in PUSCH transmission occasion </w:t>
            </w:r>
            <w:r w:rsidRPr="0043527A">
              <w:rPr>
                <w:rFonts w:eastAsia="SimSun"/>
                <w:iCs/>
                <w:noProof/>
                <w:kern w:val="2"/>
                <w:position w:val="-6"/>
                <w:lang w:val="en-US" w:eastAsia="zh-CN"/>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29"/>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5.6pt;height:34.8pt" o:ole="">
                        <v:imagedata r:id="rId24" o:title=""/>
                      </v:shape>
                      <o:OLEObject Type="Embed" ProgID="Equation.DSMT4" ShapeID="_x0000_i1028" DrawAspect="Content" ObjectID="_1743462090" r:id="rId25"/>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8pt;height:18pt" o:ole="">
                        <v:imagedata r:id="rId26" o:title=""/>
                      </v:shape>
                      <o:OLEObject Type="Embed" ProgID="Equation.DSMT4" ShapeID="_x0000_i1029" DrawAspect="Content" ObjectID="_1743462091" r:id="rId27"/>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6.8pt;height:18pt" o:ole="">
                        <v:imagedata r:id="rId28" o:title=""/>
                      </v:shape>
                      <o:OLEObject Type="Embed" ProgID="Equation.DSMT4" ShapeID="_x0000_i1030" DrawAspect="Content" ObjectID="_1743462092" r:id="rId29"/>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eastAsia="zh-CN"/>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eastAsia="zh-CN"/>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eastAsia="zh-CN"/>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8pt;height:20.4pt" o:ole="">
                        <v:imagedata r:id="rId15" o:title=""/>
                      </v:shape>
                      <o:OLEObject Type="Embed" ProgID="Equation.DSMT4" ShapeID="_x0000_i1031" DrawAspect="Content" ObjectID="_1743462093" r:id="rId33"/>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8pt;height:16.2pt" o:ole="">
                        <v:imagedata r:id="rId34" o:title=""/>
                      </v:shape>
                      <o:OLEObject Type="Embed" ProgID="Equation.DSMT4" ShapeID="_x0000_i1032" DrawAspect="Content" ObjectID="_1743462094" r:id="rId35"/>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1.6pt;height:18pt" o:ole="">
                        <v:imagedata r:id="rId36" o:title=""/>
                      </v:shape>
                      <o:OLEObject Type="Embed" ProgID="Equation.DSMT4" ShapeID="_x0000_i1033" DrawAspect="Content" ObjectID="_1743462095" r:id="rId37"/>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2.2pt;height:20.4pt" o:ole="">
                        <v:imagedata r:id="rId38" o:title=""/>
                      </v:shape>
                      <o:OLEObject Type="Embed" ProgID="Equation.DSMT4" ShapeID="_x0000_i1034" DrawAspect="Content" ObjectID="_1743462096" r:id="rId39"/>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5.4pt;height:33pt" o:ole="">
                        <v:imagedata r:id="rId40" o:title=""/>
                      </v:shape>
                      <o:OLEObject Type="Embed" ProgID="Equation.DSMT4" ShapeID="_x0000_i1035" DrawAspect="Content" ObjectID="_1743462097" r:id="rId41"/>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w:t>
                  </w:r>
                  <w:r w:rsidRPr="00461EE3">
                    <w:rPr>
                      <w:rFonts w:eastAsia="SimSun"/>
                      <w:kern w:val="2"/>
                      <w:sz w:val="22"/>
                      <w:szCs w:val="22"/>
                      <w:lang w:val="en-US" w:eastAsia="zh-CN"/>
                    </w:rPr>
                    <w:lastRenderedPageBreak/>
                    <w:t xml:space="preserve">of code blocks transmitted, </w:t>
                  </w:r>
                  <w:r w:rsidRPr="00461EE3">
                    <w:rPr>
                      <w:rFonts w:eastAsia="SimSun"/>
                      <w:kern w:val="2"/>
                      <w:position w:val="-12"/>
                      <w:sz w:val="22"/>
                      <w:szCs w:val="22"/>
                      <w:lang w:val="en-US" w:eastAsia="zh-CN"/>
                    </w:rPr>
                    <w:object w:dxaOrig="320" w:dyaOrig="360" w14:anchorId="0496AC45">
                      <v:shape id="_x0000_i1036" type="#_x0000_t75" style="width:16.2pt;height:18pt" o:ole="">
                        <v:imagedata r:id="rId42" o:title=""/>
                      </v:shape>
                      <o:OLEObject Type="Embed" ProgID="Equation.DSMT4" ShapeID="_x0000_i1036" DrawAspect="Content" ObjectID="_1743462098" r:id="rId43"/>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2.8pt;height:18pt" o:ole="">
                        <v:imagedata r:id="rId44" o:title=""/>
                      </v:shape>
                      <o:OLEObject Type="Embed" ProgID="Equation.DSMT4" ShapeID="_x0000_i1037" DrawAspect="Content" ObjectID="_1743462099" r:id="rId45"/>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3.2pt;height:39pt" o:ole="">
                        <v:imagedata r:id="rId46" o:title=""/>
                      </v:shape>
                      <o:OLEObject Type="Embed" ProgID="Equation.DSMT4" ShapeID="_x0000_i1038" DrawAspect="Content" ObjectID="_1743462100" r:id="rId47"/>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1.2pt;height:27.6pt" o:ole="">
                        <v:imagedata r:id="rId48" o:title=""/>
                      </v:shape>
                      <o:OLEObject Type="Embed" ProgID="Equation.DSMT4" ShapeID="_x0000_i1039" DrawAspect="Content" ObjectID="_1743462101" r:id="rId49"/>
                    </w:object>
                  </w:r>
                  <w:r w:rsidRPr="00461EE3">
                    <w:rPr>
                      <w:rFonts w:eastAsia="SimSun"/>
                      <w:kern w:val="2"/>
                      <w:sz w:val="22"/>
                      <w:szCs w:val="22"/>
                      <w:lang w:val="en-US" w:eastAsia="zh-CN"/>
                    </w:rPr>
                    <w:t xml:space="preserve">is the symbol number of the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8pt;height:20.4pt" o:ole="">
                        <v:imagedata r:id="rId50" o:title=""/>
                      </v:shape>
                      <o:OLEObject Type="Embed" ProgID="Equation.DSMT4" ShapeID="_x0000_i1040" DrawAspect="Content" ObjectID="_1743462102" r:id="rId51"/>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2pt;height:20.4pt" o:ole="">
                        <v:imagedata r:id="rId52" o:title=""/>
                      </v:shape>
                      <o:OLEObject Type="Embed" ProgID="Equation.DSMT4" ShapeID="_x0000_i1041" DrawAspect="Content" ObjectID="_1743462103" r:id="rId53"/>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6.2pt;height:18pt" o:ole="">
                        <v:imagedata r:id="rId54" o:title=""/>
                      </v:shape>
                      <o:OLEObject Type="Embed" ProgID="Equation.DSMT4" ShapeID="_x0000_i1042" DrawAspect="Content" ObjectID="_1743462104" r:id="rId55"/>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6.2pt;height:18pt" o:ole="">
                        <v:imagedata r:id="rId56" o:title=""/>
                      </v:shape>
                      <o:OLEObject Type="Embed" ProgID="Equation.DSMT4" ShapeID="_x0000_i1043" DrawAspect="Content" ObjectID="_1743462105" r:id="rId57"/>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 xml:space="preserve">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w:t>
      </w:r>
      <w:proofErr w:type="gramStart"/>
      <w:r>
        <w:rPr>
          <w:sz w:val="22"/>
          <w:lang w:val="en-US"/>
        </w:rPr>
        <w:t>actually an</w:t>
      </w:r>
      <w:proofErr w:type="gramEnd"/>
      <w:r>
        <w:rPr>
          <w:sz w:val="22"/>
          <w:lang w:val="en-US"/>
        </w:rPr>
        <w:t xml:space="preserve">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8pt;height:20.4pt" o:ole="">
            <v:imagedata r:id="rId15" o:title=""/>
          </v:shape>
          <o:OLEObject Type="Embed" ProgID="Equation.DSMT4" ShapeID="_x0000_i1044" DrawAspect="Content" ObjectID="_1743462106" r:id="rId58"/>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3D7AB1">
            <w:pPr>
              <w:jc w:val="center"/>
              <w:rPr>
                <w:rFonts w:eastAsia="SimSun"/>
                <w:b w:val="0"/>
                <w:bCs w:val="0"/>
                <w:lang w:val="en-US"/>
              </w:rPr>
            </w:pPr>
            <w:r>
              <w:rPr>
                <w:rFonts w:eastAsia="SimSun"/>
                <w:lang w:val="en-US"/>
              </w:rPr>
              <w:t>Answer/Views</w:t>
            </w:r>
          </w:p>
        </w:tc>
      </w:tr>
      <w:tr w:rsidR="000C0233" w14:paraId="3F870170" w14:textId="77777777" w:rsidTr="003D7AB1">
        <w:trPr>
          <w:trHeight w:val="313"/>
        </w:trPr>
        <w:tc>
          <w:tcPr>
            <w:tcW w:w="1977" w:type="dxa"/>
          </w:tcPr>
          <w:p w14:paraId="7898E5C7" w14:textId="5326D453" w:rsidR="000C0233" w:rsidRDefault="000C0233" w:rsidP="003D7AB1">
            <w:pPr>
              <w:jc w:val="both"/>
              <w:rPr>
                <w:rFonts w:eastAsia="MS Mincho"/>
                <w:lang w:val="en-US" w:eastAsia="ja-JP"/>
              </w:rPr>
            </w:pPr>
          </w:p>
        </w:tc>
        <w:tc>
          <w:tcPr>
            <w:tcW w:w="7662" w:type="dxa"/>
          </w:tcPr>
          <w:p w14:paraId="1CB3F9E8" w14:textId="058ED24F" w:rsidR="000C0233" w:rsidRDefault="000C0233" w:rsidP="003D7AB1">
            <w:pPr>
              <w:jc w:val="both"/>
              <w:rPr>
                <w:rFonts w:eastAsia="MS Mincho"/>
                <w:lang w:val="en-US" w:eastAsia="ja-JP"/>
              </w:rPr>
            </w:pPr>
          </w:p>
        </w:tc>
      </w:tr>
      <w:tr w:rsidR="000C0233" w14:paraId="46F3E35A" w14:textId="77777777" w:rsidTr="003D7AB1">
        <w:trPr>
          <w:trHeight w:val="300"/>
        </w:trPr>
        <w:tc>
          <w:tcPr>
            <w:tcW w:w="1977" w:type="dxa"/>
          </w:tcPr>
          <w:p w14:paraId="394EFC75" w14:textId="551630FC" w:rsidR="000C0233" w:rsidRDefault="000C0233" w:rsidP="003D7AB1">
            <w:pPr>
              <w:jc w:val="both"/>
              <w:rPr>
                <w:rFonts w:eastAsia="MS Mincho"/>
                <w:lang w:val="en-US" w:eastAsia="ja-JP"/>
              </w:rPr>
            </w:pPr>
          </w:p>
        </w:tc>
        <w:tc>
          <w:tcPr>
            <w:tcW w:w="7662" w:type="dxa"/>
          </w:tcPr>
          <w:p w14:paraId="2637D505" w14:textId="13AC53C4" w:rsidR="000C0233" w:rsidRDefault="000C0233" w:rsidP="003D7AB1">
            <w:pPr>
              <w:jc w:val="both"/>
              <w:rPr>
                <w:rFonts w:eastAsia="MS Mincho"/>
                <w:lang w:val="en-US" w:eastAsia="ja-JP"/>
              </w:rPr>
            </w:pPr>
          </w:p>
        </w:tc>
      </w:tr>
      <w:tr w:rsidR="000C0233" w14:paraId="4B86F1D2" w14:textId="77777777" w:rsidTr="003D7AB1">
        <w:trPr>
          <w:trHeight w:val="300"/>
        </w:trPr>
        <w:tc>
          <w:tcPr>
            <w:tcW w:w="1977" w:type="dxa"/>
          </w:tcPr>
          <w:p w14:paraId="1565D8ED" w14:textId="03C7512E" w:rsidR="000C0233" w:rsidRPr="00B96CA6" w:rsidRDefault="000C0233" w:rsidP="003D7AB1">
            <w:pPr>
              <w:jc w:val="both"/>
              <w:rPr>
                <w:lang w:val="en-US" w:eastAsia="zh-CN"/>
              </w:rPr>
            </w:pPr>
          </w:p>
        </w:tc>
        <w:tc>
          <w:tcPr>
            <w:tcW w:w="7662" w:type="dxa"/>
          </w:tcPr>
          <w:p w14:paraId="7F3FBEC8" w14:textId="4F6228E2" w:rsidR="000C0233" w:rsidRPr="00B96CA6" w:rsidRDefault="000C0233" w:rsidP="003D7AB1">
            <w:pPr>
              <w:jc w:val="both"/>
              <w:rPr>
                <w:lang w:val="en-US" w:eastAsia="zh-CN"/>
              </w:rPr>
            </w:pPr>
          </w:p>
        </w:tc>
      </w:tr>
      <w:tr w:rsidR="000C0233" w14:paraId="56A7FC81" w14:textId="77777777" w:rsidTr="003D7AB1">
        <w:trPr>
          <w:trHeight w:val="300"/>
        </w:trPr>
        <w:tc>
          <w:tcPr>
            <w:tcW w:w="1977" w:type="dxa"/>
          </w:tcPr>
          <w:p w14:paraId="12F7E62D" w14:textId="648CD0F2" w:rsidR="000C0233" w:rsidRDefault="000C0233" w:rsidP="003D7AB1">
            <w:pPr>
              <w:jc w:val="both"/>
              <w:rPr>
                <w:lang w:val="en-US" w:eastAsia="zh-CN"/>
              </w:rPr>
            </w:pPr>
          </w:p>
        </w:tc>
        <w:tc>
          <w:tcPr>
            <w:tcW w:w="7662" w:type="dxa"/>
          </w:tcPr>
          <w:p w14:paraId="4B45FA81" w14:textId="1081F47B" w:rsidR="000C0233" w:rsidRDefault="000C0233" w:rsidP="003D7AB1">
            <w:pPr>
              <w:jc w:val="both"/>
              <w:rPr>
                <w:lang w:val="en-US" w:eastAsia="zh-CN"/>
              </w:rPr>
            </w:pPr>
          </w:p>
        </w:tc>
      </w:tr>
    </w:tbl>
    <w:p w14:paraId="61EA50A1" w14:textId="73F70AA8" w:rsidR="00EE414A" w:rsidRDefault="00EE414A">
      <w:pPr>
        <w:jc w:val="both"/>
        <w:rPr>
          <w:sz w:val="22"/>
          <w:lang w:val="en-US"/>
        </w:rPr>
      </w:pPr>
    </w:p>
    <w:p w14:paraId="6760B515" w14:textId="77777777" w:rsidR="00EE414A" w:rsidRDefault="00EE414A">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lastRenderedPageBreak/>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lastRenderedPageBreak/>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w:t>
            </w:r>
            <w:proofErr w:type="spellStart"/>
            <w:r w:rsidRPr="001576F2">
              <w:rPr>
                <w:rFonts w:eastAsia="SimSun"/>
                <w:lang w:val="en-US"/>
              </w:rPr>
              <w:t>Its</w:t>
            </w:r>
            <w:proofErr w:type="spellEnd"/>
            <w:r w:rsidRPr="001576F2">
              <w:rPr>
                <w:rFonts w:eastAsia="SimSun"/>
                <w:lang w:val="en-US"/>
              </w:rPr>
              <w:t xml:space="preserve"> also not clear why this parameter needs to be provided via RRC. If there are gains using FDSS, then this will have be to </w:t>
            </w:r>
            <w:proofErr w:type="spellStart"/>
            <w:r w:rsidRPr="001576F2">
              <w:rPr>
                <w:rFonts w:eastAsia="SimSun"/>
                <w:lang w:val="en-US"/>
              </w:rPr>
              <w:t>used</w:t>
            </w:r>
            <w:proofErr w:type="spellEnd"/>
            <w:r w:rsidRPr="001576F2">
              <w:rPr>
                <w:rFonts w:eastAsia="SimSun"/>
                <w:lang w:val="en-US"/>
              </w:rPr>
              <w:t xml:space="preserve">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in a given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92791D">
      <w:pPr>
        <w:pStyle w:val="ListParagraph"/>
        <w:numPr>
          <w:ilvl w:val="0"/>
          <w:numId w:val="76"/>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AB554A">
      <w:pPr>
        <w:pStyle w:val="ListParagraph"/>
        <w:numPr>
          <w:ilvl w:val="1"/>
          <w:numId w:val="76"/>
        </w:numPr>
        <w:jc w:val="both"/>
        <w:rPr>
          <w:sz w:val="22"/>
          <w:szCs w:val="22"/>
          <w:lang w:val="en-US"/>
        </w:rPr>
      </w:pPr>
      <w:r>
        <w:rPr>
          <w:sz w:val="22"/>
          <w:szCs w:val="22"/>
          <w:lang w:val="en-US"/>
        </w:rPr>
        <w:t xml:space="preserve">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w:t>
      </w:r>
      <w:proofErr w:type="gramStart"/>
      <w:r>
        <w:rPr>
          <w:sz w:val="22"/>
          <w:szCs w:val="22"/>
          <w:lang w:val="en-US"/>
        </w:rPr>
        <w:t>it would seem that ¼</w:t>
      </w:r>
      <w:proofErr w:type="gramEnd"/>
      <w:r>
        <w:rPr>
          <w:sz w:val="22"/>
          <w:szCs w:val="22"/>
          <w:lang w:val="en-US"/>
        </w:rPr>
        <w:t xml:space="preserve"> is by far the most studied extension factor due to its good performance overall.</w:t>
      </w:r>
    </w:p>
    <w:p w14:paraId="43BE3A78" w14:textId="19C1B9B2" w:rsidR="0092791D" w:rsidRDefault="0092791D" w:rsidP="0092791D">
      <w:pPr>
        <w:pStyle w:val="ListParagraph"/>
        <w:numPr>
          <w:ilvl w:val="0"/>
          <w:numId w:val="76"/>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AB554A">
      <w:pPr>
        <w:pStyle w:val="ListParagraph"/>
        <w:numPr>
          <w:ilvl w:val="1"/>
          <w:numId w:val="76"/>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92791D">
      <w:pPr>
        <w:pStyle w:val="ListParagraph"/>
        <w:numPr>
          <w:ilvl w:val="0"/>
          <w:numId w:val="76"/>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AB554A">
      <w:pPr>
        <w:pStyle w:val="ListParagraph"/>
        <w:numPr>
          <w:ilvl w:val="1"/>
          <w:numId w:val="76"/>
        </w:numPr>
        <w:jc w:val="both"/>
        <w:rPr>
          <w:sz w:val="22"/>
          <w:szCs w:val="22"/>
          <w:lang w:val="en-US"/>
        </w:rPr>
      </w:pPr>
      <w:r>
        <w:rPr>
          <w:sz w:val="22"/>
          <w:szCs w:val="22"/>
          <w:lang w:val="en-US"/>
        </w:rPr>
        <w:t>FL’s comment: point taken; I will add an FFS.</w:t>
      </w:r>
    </w:p>
    <w:p w14:paraId="5999CBFA" w14:textId="4066DA18" w:rsidR="00AB554A" w:rsidRDefault="00AB554A" w:rsidP="00AB554A">
      <w:pPr>
        <w:pStyle w:val="ListParagraph"/>
        <w:numPr>
          <w:ilvl w:val="0"/>
          <w:numId w:val="76"/>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w:t>
      </w:r>
      <w:r w:rsidR="00ED72C8">
        <w:rPr>
          <w:sz w:val="22"/>
          <w:szCs w:val="22"/>
          <w:lang w:val="en-US"/>
        </w:rPr>
        <w:lastRenderedPageBreak/>
        <w:t>especially given that other companies mentioned the fact that one extension factor may not be sufficient.</w:t>
      </w:r>
    </w:p>
    <w:p w14:paraId="7B51310F" w14:textId="48085692" w:rsidR="0078235E" w:rsidRDefault="0078235E" w:rsidP="00AB554A">
      <w:pPr>
        <w:pStyle w:val="ListParagraph"/>
        <w:numPr>
          <w:ilvl w:val="0"/>
          <w:numId w:val="76"/>
        </w:numPr>
        <w:jc w:val="both"/>
        <w:rPr>
          <w:sz w:val="22"/>
          <w:szCs w:val="22"/>
          <w:lang w:val="en-US"/>
        </w:rPr>
      </w:pPr>
      <w:r>
        <w:rPr>
          <w:sz w:val="22"/>
          <w:szCs w:val="22"/>
          <w:lang w:val="en-US"/>
        </w:rPr>
        <w:t xml:space="preserve">One company commented that </w:t>
      </w:r>
      <w:r w:rsidRPr="0078235E">
        <w:rPr>
          <w:sz w:val="22"/>
          <w:szCs w:val="22"/>
          <w:lang w:val="en-US"/>
        </w:rPr>
        <w:t xml:space="preserve">if the </w:t>
      </w:r>
      <w:proofErr w:type="spellStart"/>
      <w:r w:rsidRPr="0078235E">
        <w:rPr>
          <w:sz w:val="22"/>
          <w:szCs w:val="22"/>
          <w:lang w:val="en-US"/>
        </w:rPr>
        <w:t>inband</w:t>
      </w:r>
      <w:proofErr w:type="spellEnd"/>
      <w:r w:rsidRPr="0078235E">
        <w:rPr>
          <w:sz w:val="22"/>
          <w:szCs w:val="22"/>
          <w:lang w:val="en-US"/>
        </w:rPr>
        <w:t xml:space="preserve"> size is indicated, we think it is more natural to define the SE ratio as excess band/</w:t>
      </w:r>
      <w:proofErr w:type="spellStart"/>
      <w:r w:rsidRPr="0078235E">
        <w:rPr>
          <w:sz w:val="22"/>
          <w:szCs w:val="22"/>
          <w:lang w:val="en-US"/>
        </w:rPr>
        <w:t>inband</w:t>
      </w:r>
      <w:proofErr w:type="spellEnd"/>
      <w:r w:rsidRPr="0078235E">
        <w:rPr>
          <w:sz w:val="22"/>
          <w:szCs w:val="22"/>
          <w:lang w:val="en-US"/>
        </w:rPr>
        <w:t xml:space="preserve"> so that the number of RBs after extension=</w:t>
      </w:r>
      <w:proofErr w:type="spellStart"/>
      <w:r w:rsidRPr="0078235E">
        <w:rPr>
          <w:sz w:val="22"/>
          <w:szCs w:val="22"/>
          <w:lang w:val="en-US"/>
        </w:rPr>
        <w:t>inband</w:t>
      </w:r>
      <w:proofErr w:type="spellEnd"/>
      <w:r w:rsidRPr="0078235E">
        <w:rPr>
          <w:sz w:val="22"/>
          <w:szCs w:val="22"/>
          <w:lang w:val="en-US"/>
        </w:rPr>
        <w:t xml:space="preserve"> size*(1+SE ratio)</w:t>
      </w:r>
      <w:r>
        <w:rPr>
          <w:sz w:val="22"/>
          <w:szCs w:val="22"/>
          <w:lang w:val="en-US"/>
        </w:rPr>
        <w:t>.</w:t>
      </w:r>
    </w:p>
    <w:p w14:paraId="356BC50D" w14:textId="5F0681A4" w:rsidR="0078235E" w:rsidRPr="0092791D" w:rsidRDefault="0078235E" w:rsidP="0078235E">
      <w:pPr>
        <w:pStyle w:val="ListParagraph"/>
        <w:numPr>
          <w:ilvl w:val="1"/>
          <w:numId w:val="76"/>
        </w:numPr>
        <w:jc w:val="both"/>
        <w:rPr>
          <w:sz w:val="22"/>
          <w:szCs w:val="22"/>
          <w:lang w:val="en-US"/>
        </w:rPr>
      </w:pPr>
      <w:r>
        <w:rPr>
          <w:sz w:val="22"/>
          <w:szCs w:val="22"/>
          <w:lang w:val="en-US"/>
        </w:rPr>
        <w:t xml:space="preserve">FL’s comment: one may also argue that it is natural to calculate the number of RB’s after extension as </w:t>
      </w:r>
      <w:proofErr w:type="spellStart"/>
      <w:r w:rsidRPr="0078235E">
        <w:rPr>
          <w:sz w:val="22"/>
          <w:szCs w:val="22"/>
          <w:lang w:val="en-US"/>
        </w:rPr>
        <w:t>inband</w:t>
      </w:r>
      <w:proofErr w:type="spellEnd"/>
      <w:r w:rsidRPr="0078235E">
        <w:rPr>
          <w:sz w:val="22"/>
          <w:szCs w:val="22"/>
          <w:lang w:val="en-US"/>
        </w:rPr>
        <w:t xml:space="preserve"> size</w:t>
      </w:r>
      <w:proofErr w:type="gramStart"/>
      <w:r>
        <w:rPr>
          <w:sz w:val="22"/>
          <w:szCs w:val="22"/>
          <w:lang w:val="en-US"/>
        </w:rPr>
        <w:t>/</w:t>
      </w:r>
      <w:r w:rsidRPr="0078235E">
        <w:rPr>
          <w:sz w:val="22"/>
          <w:szCs w:val="22"/>
          <w:lang w:val="en-US"/>
        </w:rPr>
        <w:t>(</w:t>
      </w:r>
      <w:proofErr w:type="gramEnd"/>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977"/>
        <w:gridCol w:w="7662"/>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3D7AB1">
            <w:pPr>
              <w:jc w:val="center"/>
              <w:rPr>
                <w:rFonts w:eastAsia="SimSun"/>
                <w:b w:val="0"/>
                <w:bCs w:val="0"/>
                <w:lang w:val="en-US"/>
              </w:rPr>
            </w:pPr>
            <w:r>
              <w:rPr>
                <w:rFonts w:eastAsia="SimSun"/>
                <w:lang w:val="en-US"/>
              </w:rPr>
              <w:t>Answer/Views</w:t>
            </w:r>
          </w:p>
        </w:tc>
      </w:tr>
      <w:tr w:rsidR="0078235E" w14:paraId="20C6C1FC" w14:textId="77777777" w:rsidTr="003D7AB1">
        <w:trPr>
          <w:trHeight w:val="313"/>
        </w:trPr>
        <w:tc>
          <w:tcPr>
            <w:tcW w:w="1977" w:type="dxa"/>
          </w:tcPr>
          <w:p w14:paraId="443B51C8" w14:textId="77777777" w:rsidR="0078235E" w:rsidRDefault="0078235E" w:rsidP="003D7AB1">
            <w:pPr>
              <w:jc w:val="both"/>
              <w:rPr>
                <w:rFonts w:eastAsia="MS Mincho"/>
                <w:lang w:val="en-US" w:eastAsia="ja-JP"/>
              </w:rPr>
            </w:pPr>
          </w:p>
        </w:tc>
        <w:tc>
          <w:tcPr>
            <w:tcW w:w="7662" w:type="dxa"/>
          </w:tcPr>
          <w:p w14:paraId="32BD3C80" w14:textId="77777777" w:rsidR="0078235E" w:rsidRDefault="0078235E" w:rsidP="003D7AB1">
            <w:pPr>
              <w:jc w:val="both"/>
              <w:rPr>
                <w:rFonts w:eastAsia="MS Mincho"/>
                <w:lang w:val="en-US" w:eastAsia="ja-JP"/>
              </w:rPr>
            </w:pPr>
          </w:p>
        </w:tc>
      </w:tr>
      <w:tr w:rsidR="0078235E" w14:paraId="3F9F979F" w14:textId="77777777" w:rsidTr="003D7AB1">
        <w:trPr>
          <w:trHeight w:val="300"/>
        </w:trPr>
        <w:tc>
          <w:tcPr>
            <w:tcW w:w="1977" w:type="dxa"/>
          </w:tcPr>
          <w:p w14:paraId="040C9EF7" w14:textId="77777777" w:rsidR="0078235E" w:rsidRDefault="0078235E" w:rsidP="003D7AB1">
            <w:pPr>
              <w:jc w:val="both"/>
              <w:rPr>
                <w:rFonts w:eastAsia="MS Mincho"/>
                <w:lang w:val="en-US" w:eastAsia="ja-JP"/>
              </w:rPr>
            </w:pPr>
          </w:p>
        </w:tc>
        <w:tc>
          <w:tcPr>
            <w:tcW w:w="7662" w:type="dxa"/>
          </w:tcPr>
          <w:p w14:paraId="733B28F8" w14:textId="77777777" w:rsidR="0078235E" w:rsidRDefault="0078235E" w:rsidP="003D7AB1">
            <w:pPr>
              <w:jc w:val="both"/>
              <w:rPr>
                <w:rFonts w:eastAsia="MS Mincho"/>
                <w:lang w:val="en-US" w:eastAsia="ja-JP"/>
              </w:rPr>
            </w:pPr>
          </w:p>
        </w:tc>
      </w:tr>
      <w:tr w:rsidR="0078235E" w14:paraId="3461F8CB" w14:textId="77777777" w:rsidTr="003D7AB1">
        <w:trPr>
          <w:trHeight w:val="300"/>
        </w:trPr>
        <w:tc>
          <w:tcPr>
            <w:tcW w:w="1977" w:type="dxa"/>
          </w:tcPr>
          <w:p w14:paraId="68888D65" w14:textId="77777777" w:rsidR="0078235E" w:rsidRPr="00B96CA6" w:rsidRDefault="0078235E" w:rsidP="003D7AB1">
            <w:pPr>
              <w:jc w:val="both"/>
              <w:rPr>
                <w:lang w:val="en-US" w:eastAsia="zh-CN"/>
              </w:rPr>
            </w:pPr>
          </w:p>
        </w:tc>
        <w:tc>
          <w:tcPr>
            <w:tcW w:w="7662" w:type="dxa"/>
          </w:tcPr>
          <w:p w14:paraId="59A54557" w14:textId="77777777" w:rsidR="0078235E" w:rsidRPr="00B96CA6" w:rsidRDefault="0078235E" w:rsidP="003D7AB1">
            <w:pPr>
              <w:jc w:val="both"/>
              <w:rPr>
                <w:lang w:val="en-US" w:eastAsia="zh-CN"/>
              </w:rPr>
            </w:pPr>
          </w:p>
        </w:tc>
      </w:tr>
      <w:tr w:rsidR="0078235E" w14:paraId="74503D96" w14:textId="77777777" w:rsidTr="003D7AB1">
        <w:trPr>
          <w:trHeight w:val="300"/>
        </w:trPr>
        <w:tc>
          <w:tcPr>
            <w:tcW w:w="1977" w:type="dxa"/>
          </w:tcPr>
          <w:p w14:paraId="2D924396" w14:textId="77777777" w:rsidR="0078235E" w:rsidRDefault="0078235E" w:rsidP="003D7AB1">
            <w:pPr>
              <w:jc w:val="both"/>
              <w:rPr>
                <w:lang w:val="en-US" w:eastAsia="zh-CN"/>
              </w:rPr>
            </w:pPr>
          </w:p>
        </w:tc>
        <w:tc>
          <w:tcPr>
            <w:tcW w:w="7662" w:type="dxa"/>
          </w:tcPr>
          <w:p w14:paraId="5F37A20A" w14:textId="77777777" w:rsidR="0078235E" w:rsidRDefault="0078235E" w:rsidP="003D7AB1">
            <w:pPr>
              <w:jc w:val="both"/>
              <w:rPr>
                <w:lang w:val="en-US" w:eastAsia="zh-CN"/>
              </w:rPr>
            </w:pPr>
          </w:p>
        </w:tc>
      </w:tr>
    </w:tbl>
    <w:p w14:paraId="4557892B" w14:textId="77777777" w:rsidR="0078235E" w:rsidRDefault="0078235E" w:rsidP="0078235E">
      <w:pPr>
        <w:jc w:val="both"/>
        <w:rPr>
          <w:sz w:val="22"/>
          <w:lang w:val="en-US"/>
        </w:rPr>
      </w:pPr>
    </w:p>
    <w:p w14:paraId="38D12DAF" w14:textId="4BD26572" w:rsidR="0078235E" w:rsidRDefault="0078235E">
      <w:pPr>
        <w:jc w:val="both"/>
        <w:rPr>
          <w:sz w:val="22"/>
          <w:szCs w:val="22"/>
          <w:lang w:val="en-US"/>
        </w:rPr>
      </w:pPr>
    </w:p>
    <w:p w14:paraId="618A9C35" w14:textId="77777777" w:rsidR="0078235E" w:rsidRDefault="0078235E">
      <w:pPr>
        <w:jc w:val="both"/>
        <w:rPr>
          <w:sz w:val="22"/>
          <w:szCs w:val="22"/>
          <w:lang w:val="en-US"/>
        </w:rPr>
      </w:pPr>
    </w:p>
    <w:p w14:paraId="174EEEAE" w14:textId="77777777" w:rsidR="00AB554A" w:rsidRDefault="00AB554A">
      <w:pPr>
        <w:jc w:val="both"/>
        <w:rPr>
          <w:sz w:val="22"/>
          <w:szCs w:val="22"/>
          <w:lang w:val="en-US"/>
        </w:rPr>
      </w:pPr>
    </w:p>
    <w:p w14:paraId="1680E3DD" w14:textId="19134D25" w:rsidR="00584963" w:rsidRDefault="00320968">
      <w:pPr>
        <w:pStyle w:val="Heading3"/>
        <w:numPr>
          <w:ilvl w:val="2"/>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lastRenderedPageBreak/>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w:t>
            </w:r>
            <w:proofErr w:type="gramStart"/>
            <w:r>
              <w:rPr>
                <w:lang w:val="en-US" w:eastAsia="zh-CN"/>
              </w:rPr>
              <w:t>PRBs  or</w:t>
            </w:r>
            <w:proofErr w:type="gramEnd"/>
            <w:r>
              <w:rPr>
                <w:lang w:val="en-US" w:eastAsia="zh-CN"/>
              </w:rPr>
              <w:t xml:space="preserve">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w:t>
      </w:r>
      <w:proofErr w:type="gramStart"/>
      <w:r>
        <w:rPr>
          <w:sz w:val="22"/>
          <w:szCs w:val="22"/>
          <w:lang w:val="en-US"/>
        </w:rPr>
        <w:t>point</w:t>
      </w:r>
      <w:proofErr w:type="gramEnd"/>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lastRenderedPageBreak/>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11"/>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 xml:space="preserve">@QC: this seems a separate discussion to me, but point taken. I think this type of detail can be discussed after preliminary agreements are made (as usual), </w:t>
      </w:r>
      <w:proofErr w:type="gramStart"/>
      <w:r>
        <w:rPr>
          <w:sz w:val="22"/>
          <w:szCs w:val="22"/>
          <w:lang w:val="en-US"/>
        </w:rPr>
        <w:t>similar to</w:t>
      </w:r>
      <w:proofErr w:type="gramEnd"/>
      <w:r>
        <w:rPr>
          <w:sz w:val="22"/>
          <w:szCs w:val="22"/>
          <w:lang w:val="en-US"/>
        </w:rPr>
        <w:t xml:space="preserve">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 xml:space="preserve">If TR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22FC23EC" w14:textId="77777777" w:rsidR="00320968" w:rsidRDefault="00320968" w:rsidP="00320968">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w:t>
      </w:r>
      <w:proofErr w:type="spellStart"/>
      <w:r>
        <w:rPr>
          <w:sz w:val="22"/>
          <w:szCs w:val="22"/>
          <w:lang w:val="en-US"/>
        </w:rPr>
        <w:t>mostr</w:t>
      </w:r>
      <w:proofErr w:type="spellEnd"/>
      <w:r>
        <w:rPr>
          <w:sz w:val="22"/>
          <w:szCs w:val="22"/>
          <w:lang w:val="en-US"/>
        </w:rPr>
        <w:t xml:space="preserve"> </w:t>
      </w:r>
      <w:r>
        <w:rPr>
          <w:sz w:val="22"/>
          <w:szCs w:val="22"/>
          <w:lang w:val="en-US"/>
        </w:rPr>
        <w:lastRenderedPageBreak/>
        <w:t xml:space="preserve">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3D7AB1">
            <w:pPr>
              <w:jc w:val="center"/>
              <w:rPr>
                <w:rFonts w:eastAsia="SimSun"/>
                <w:b w:val="0"/>
                <w:bCs w:val="0"/>
                <w:lang w:val="en-US"/>
              </w:rPr>
            </w:pPr>
            <w:r>
              <w:rPr>
                <w:rFonts w:eastAsia="SimSun"/>
                <w:lang w:val="en-US"/>
              </w:rPr>
              <w:t>Answer/Views</w:t>
            </w:r>
          </w:p>
        </w:tc>
      </w:tr>
      <w:tr w:rsidR="00320968" w14:paraId="2A02725F" w14:textId="77777777" w:rsidTr="003D7AB1">
        <w:trPr>
          <w:trHeight w:val="313"/>
        </w:trPr>
        <w:tc>
          <w:tcPr>
            <w:tcW w:w="1977" w:type="dxa"/>
          </w:tcPr>
          <w:p w14:paraId="1A454AD8" w14:textId="77777777" w:rsidR="00320968" w:rsidRDefault="00320968" w:rsidP="003D7AB1">
            <w:pPr>
              <w:jc w:val="both"/>
              <w:rPr>
                <w:rFonts w:eastAsia="MS Mincho"/>
                <w:lang w:val="en-US" w:eastAsia="ja-JP"/>
              </w:rPr>
            </w:pPr>
          </w:p>
        </w:tc>
        <w:tc>
          <w:tcPr>
            <w:tcW w:w="7662" w:type="dxa"/>
          </w:tcPr>
          <w:p w14:paraId="6F54F9DC" w14:textId="77777777" w:rsidR="00320968" w:rsidRDefault="00320968" w:rsidP="003D7AB1">
            <w:pPr>
              <w:jc w:val="both"/>
              <w:rPr>
                <w:rFonts w:eastAsia="MS Mincho"/>
                <w:lang w:val="en-US" w:eastAsia="ja-JP"/>
              </w:rPr>
            </w:pPr>
          </w:p>
        </w:tc>
      </w:tr>
      <w:tr w:rsidR="00320968" w14:paraId="53FEB54F" w14:textId="77777777" w:rsidTr="003D7AB1">
        <w:trPr>
          <w:trHeight w:val="300"/>
        </w:trPr>
        <w:tc>
          <w:tcPr>
            <w:tcW w:w="1977" w:type="dxa"/>
          </w:tcPr>
          <w:p w14:paraId="3AEA6D52" w14:textId="77777777" w:rsidR="00320968" w:rsidRDefault="00320968" w:rsidP="003D7AB1">
            <w:pPr>
              <w:jc w:val="both"/>
              <w:rPr>
                <w:rFonts w:eastAsia="MS Mincho"/>
                <w:lang w:val="en-US" w:eastAsia="ja-JP"/>
              </w:rPr>
            </w:pPr>
          </w:p>
        </w:tc>
        <w:tc>
          <w:tcPr>
            <w:tcW w:w="7662" w:type="dxa"/>
          </w:tcPr>
          <w:p w14:paraId="4E70AF37" w14:textId="77777777" w:rsidR="00320968" w:rsidRDefault="00320968" w:rsidP="003D7AB1">
            <w:pPr>
              <w:jc w:val="both"/>
              <w:rPr>
                <w:rFonts w:eastAsia="MS Mincho"/>
                <w:lang w:val="en-US" w:eastAsia="ja-JP"/>
              </w:rPr>
            </w:pPr>
          </w:p>
        </w:tc>
      </w:tr>
      <w:tr w:rsidR="00320968" w14:paraId="606C7E2A" w14:textId="77777777" w:rsidTr="003D7AB1">
        <w:trPr>
          <w:trHeight w:val="300"/>
        </w:trPr>
        <w:tc>
          <w:tcPr>
            <w:tcW w:w="1977" w:type="dxa"/>
          </w:tcPr>
          <w:p w14:paraId="6D7E79DA" w14:textId="77777777" w:rsidR="00320968" w:rsidRPr="00B96CA6" w:rsidRDefault="00320968" w:rsidP="003D7AB1">
            <w:pPr>
              <w:jc w:val="both"/>
              <w:rPr>
                <w:lang w:val="en-US" w:eastAsia="zh-CN"/>
              </w:rPr>
            </w:pPr>
          </w:p>
        </w:tc>
        <w:tc>
          <w:tcPr>
            <w:tcW w:w="7662" w:type="dxa"/>
          </w:tcPr>
          <w:p w14:paraId="28159E74" w14:textId="77777777" w:rsidR="00320968" w:rsidRPr="00B96CA6" w:rsidRDefault="00320968" w:rsidP="003D7AB1">
            <w:pPr>
              <w:jc w:val="both"/>
              <w:rPr>
                <w:lang w:val="en-US" w:eastAsia="zh-CN"/>
              </w:rPr>
            </w:pPr>
          </w:p>
        </w:tc>
      </w:tr>
      <w:tr w:rsidR="00320968" w14:paraId="343BBC95" w14:textId="77777777" w:rsidTr="003D7AB1">
        <w:trPr>
          <w:trHeight w:val="300"/>
        </w:trPr>
        <w:tc>
          <w:tcPr>
            <w:tcW w:w="1977" w:type="dxa"/>
          </w:tcPr>
          <w:p w14:paraId="3D30E9AC" w14:textId="77777777" w:rsidR="00320968" w:rsidRDefault="00320968" w:rsidP="003D7AB1">
            <w:pPr>
              <w:jc w:val="both"/>
              <w:rPr>
                <w:lang w:val="en-US" w:eastAsia="zh-CN"/>
              </w:rPr>
            </w:pPr>
          </w:p>
        </w:tc>
        <w:tc>
          <w:tcPr>
            <w:tcW w:w="7662" w:type="dxa"/>
          </w:tcPr>
          <w:p w14:paraId="18815237" w14:textId="77777777" w:rsidR="00320968" w:rsidRDefault="00320968" w:rsidP="003D7AB1">
            <w:pPr>
              <w:jc w:val="both"/>
              <w:rPr>
                <w:lang w:val="en-US" w:eastAsia="zh-CN"/>
              </w:rPr>
            </w:pPr>
          </w:p>
        </w:tc>
      </w:tr>
    </w:tbl>
    <w:p w14:paraId="72BE673C" w14:textId="77777777" w:rsidR="00320968" w:rsidRDefault="00320968" w:rsidP="00320968">
      <w:pPr>
        <w:jc w:val="both"/>
        <w:rPr>
          <w:sz w:val="22"/>
          <w:lang w:val="en-US"/>
        </w:rPr>
      </w:pPr>
    </w:p>
    <w:p w14:paraId="7F65970A" w14:textId="77777777" w:rsidR="00320968" w:rsidRDefault="00320968">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lastRenderedPageBreak/>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12" w:name="_Hlk132122502"/>
            <w:r>
              <w:rPr>
                <w:rFonts w:eastAsia="Microsoft YaHei UI" w:cs="Times"/>
                <w:color w:val="000000"/>
                <w:lang w:val="en-US"/>
              </w:rPr>
              <w:t>where extension factor (α) is given by spectrum extension size / Total allocation size.</w:t>
            </w:r>
            <w:bookmarkEnd w:id="12"/>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lastRenderedPageBreak/>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lastRenderedPageBreak/>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13" w:name="_Hlk132121304"/>
                  <w:r>
                    <w:rPr>
                      <w:lang w:val="en-US" w:eastAsia="ja-JP"/>
                    </w:rPr>
                    <w:t>Extension factor [FDSS-SE] / sideband size [TR] (α)</w:t>
                  </w:r>
                  <w:bookmarkEnd w:id="13"/>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w:t>
      </w:r>
      <w:proofErr w:type="spellStart"/>
      <w:r>
        <w:rPr>
          <w:rFonts w:eastAsia="SimSun"/>
          <w:bCs/>
          <w:sz w:val="22"/>
          <w:szCs w:val="22"/>
          <w:lang w:val="en-US"/>
        </w:rPr>
        <w:t>HiSi</w:t>
      </w:r>
      <w:proofErr w:type="spellEnd"/>
      <w:r>
        <w:rPr>
          <w:rFonts w:eastAsia="SimSun"/>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9"/>
    <w:bookmarkEnd w:id="10"/>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14" w:name="_Hlk132128087"/>
      <w:bookmarkStart w:id="15"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16"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 xml:space="preserve">Power domain enhancements for Rel-18 </w:t>
      </w:r>
      <w:proofErr w:type="spellStart"/>
      <w:r>
        <w:rPr>
          <w:sz w:val="22"/>
          <w:szCs w:val="22"/>
          <w:lang w:val="en-US"/>
        </w:rPr>
        <w:t>CovEnh</w:t>
      </w:r>
      <w:proofErr w:type="spellEnd"/>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lastRenderedPageBreak/>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14"/>
    </w:p>
    <w:bookmarkEnd w:id="15"/>
    <w:p w14:paraId="42E22DAC" w14:textId="77777777" w:rsidR="00584963" w:rsidRDefault="00584963">
      <w:pPr>
        <w:pStyle w:val="ListParagraph"/>
        <w:spacing w:after="0"/>
        <w:ind w:left="360"/>
        <w:rPr>
          <w:sz w:val="22"/>
          <w:szCs w:val="22"/>
          <w:lang w:val="en-US"/>
        </w:rPr>
      </w:pPr>
    </w:p>
    <w:bookmarkEnd w:id="16"/>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 xml:space="preserve">RAN1 further discuss the </w:t>
            </w:r>
            <w:proofErr w:type="spellStart"/>
            <w:r>
              <w:rPr>
                <w:bCs/>
                <w:i/>
                <w:lang w:eastAsia="zh-CN"/>
              </w:rPr>
              <w:t>signaling</w:t>
            </w:r>
            <w:proofErr w:type="spellEnd"/>
            <w:r>
              <w:rPr>
                <w:bCs/>
                <w:i/>
                <w:lang w:eastAsia="zh-CN"/>
              </w:rPr>
              <w:t xml:space="preserve">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lastRenderedPageBreak/>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proofErr w:type="gramStart"/>
            <w:r>
              <w:rPr>
                <w:i/>
              </w:rPr>
              <w:t>P</w:t>
            </w:r>
            <w:r>
              <w:rPr>
                <w:i/>
                <w:vertAlign w:val="subscript"/>
              </w:rPr>
              <w:t>c,max</w:t>
            </w:r>
            <w:proofErr w:type="spellEnd"/>
            <w:proofErr w:type="gram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w:t>
            </w:r>
            <w:proofErr w:type="spellStart"/>
            <w:r>
              <w:rPr>
                <w:rFonts w:eastAsia="SimSun"/>
                <w:bCs/>
                <w:i/>
              </w:rPr>
              <w:t>maxUplinkDutyCycle</w:t>
            </w:r>
            <w:proofErr w:type="spellEnd"/>
            <w:r>
              <w:rPr>
                <w:rFonts w:eastAsia="SimSun"/>
                <w:bCs/>
                <w:i/>
              </w:rPr>
              <w:t xml:space="preserv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 xml:space="preserve">Study new </w:t>
            </w:r>
            <w:proofErr w:type="spellStart"/>
            <w:r>
              <w:rPr>
                <w:rFonts w:hint="eastAsia"/>
                <w:i/>
                <w:iCs/>
                <w:lang w:val="en-US" w:eastAsia="zh-CN"/>
              </w:rPr>
              <w:t>signalling</w:t>
            </w:r>
            <w:proofErr w:type="spellEnd"/>
            <w:r>
              <w:rPr>
                <w:rFonts w:hint="eastAsia"/>
                <w:i/>
                <w:iCs/>
                <w:lang w:val="en-US" w:eastAsia="zh-CN"/>
              </w:rPr>
              <w:t xml:space="preserve">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w:t>
            </w:r>
            <w:proofErr w:type="spellStart"/>
            <w:r>
              <w:rPr>
                <w:rFonts w:eastAsia="Times New Roman"/>
                <w:i/>
                <w:iCs/>
              </w:rPr>
              <w:t>signaling</w:t>
            </w:r>
            <w:proofErr w:type="spellEnd"/>
            <w:r>
              <w:rPr>
                <w:rFonts w:eastAsia="Times New Roman"/>
                <w:i/>
                <w:iCs/>
              </w:rPr>
              <w:t xml:space="preserve">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lastRenderedPageBreak/>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lastRenderedPageBreak/>
        <w:t>A.2.2 Evaluation methodology</w:t>
      </w:r>
    </w:p>
    <w:p w14:paraId="5796F493" w14:textId="77777777" w:rsidR="00584963" w:rsidRDefault="000933A6">
      <w:pPr>
        <w:spacing w:before="120" w:after="120"/>
        <w:jc w:val="both"/>
        <w:rPr>
          <w:b/>
          <w:bCs/>
          <w:sz w:val="22"/>
          <w:szCs w:val="22"/>
          <w:lang w:val="en-US"/>
        </w:rPr>
      </w:pPr>
      <w:bookmarkStart w:id="17"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17"/>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lastRenderedPageBreak/>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lastRenderedPageBreak/>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w:t>
            </w:r>
            <w:proofErr w:type="spellStart"/>
            <w:r>
              <w:rPr>
                <w:i/>
                <w:iCs/>
              </w:rPr>
              <w:t>Zadoff</w:t>
            </w:r>
            <w:proofErr w:type="spellEnd"/>
            <w:r>
              <w:rPr>
                <w:i/>
                <w:iCs/>
              </w:rPr>
              <w:t xml:space="preserve">-Chu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similar to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lastRenderedPageBreak/>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lastRenderedPageBreak/>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 xml:space="preserve">RAN1 should study means of </w:t>
            </w:r>
            <w:proofErr w:type="spellStart"/>
            <w:r>
              <w:rPr>
                <w:i/>
                <w:iCs/>
              </w:rPr>
              <w:t>signaling</w:t>
            </w:r>
            <w:proofErr w:type="spellEnd"/>
            <w:r>
              <w:rPr>
                <w:i/>
                <w:iCs/>
              </w:rPr>
              <w:t xml:space="preserve">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 xml:space="preserve">RAN1 should study paradigms of tone reservation pattern choice that are amenable to efficient </w:t>
            </w:r>
            <w:proofErr w:type="spellStart"/>
            <w:r>
              <w:rPr>
                <w:i/>
                <w:iCs/>
              </w:rPr>
              <w:t>signaling</w:t>
            </w:r>
            <w:proofErr w:type="spellEnd"/>
            <w:r>
              <w:rPr>
                <w:i/>
                <w:iCs/>
              </w:rPr>
              <w:t xml:space="preserve"> to the </w:t>
            </w:r>
            <w:proofErr w:type="spellStart"/>
            <w:r>
              <w:rPr>
                <w:i/>
                <w:iCs/>
              </w:rPr>
              <w:t>gNB</w:t>
            </w:r>
            <w:proofErr w:type="spellEnd"/>
            <w:r>
              <w:rPr>
                <w:i/>
                <w:iCs/>
              </w:rPr>
              <w:t>.</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lastRenderedPageBreak/>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 xml:space="preserve">FFS how to realize such information exchange, e.g., </w:t>
      </w:r>
      <w:proofErr w:type="spellStart"/>
      <w:r>
        <w:rPr>
          <w:sz w:val="22"/>
          <w:szCs w:val="22"/>
          <w:lang w:val="en-US" w:eastAsia="ja-JP"/>
        </w:rPr>
        <w:t>signalling</w:t>
      </w:r>
      <w:proofErr w:type="spellEnd"/>
      <w:r>
        <w:rPr>
          <w:sz w:val="22"/>
          <w:szCs w:val="22"/>
          <w:lang w:val="en-US" w:eastAsia="ja-JP"/>
        </w:rPr>
        <w:t xml:space="preserve">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lastRenderedPageBreak/>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lastRenderedPageBreak/>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lastRenderedPageBreak/>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lastRenderedPageBreak/>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lastRenderedPageBreak/>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lastRenderedPageBreak/>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lastRenderedPageBreak/>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5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2888" w14:textId="77777777" w:rsidR="00896757" w:rsidRDefault="00896757">
      <w:pPr>
        <w:spacing w:after="0"/>
      </w:pPr>
      <w:r>
        <w:separator/>
      </w:r>
    </w:p>
  </w:endnote>
  <w:endnote w:type="continuationSeparator" w:id="0">
    <w:p w14:paraId="64A4A583" w14:textId="77777777" w:rsidR="00896757" w:rsidRDefault="00896757">
      <w:pPr>
        <w:spacing w:after="0"/>
      </w:pPr>
      <w:r>
        <w:continuationSeparator/>
      </w:r>
    </w:p>
  </w:endnote>
  <w:endnote w:type="continuationNotice" w:id="1">
    <w:p w14:paraId="7836B321" w14:textId="77777777" w:rsidR="00DF2D7F" w:rsidRDefault="00DF2D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B4BBE" w14:textId="77777777" w:rsidR="00896757" w:rsidRDefault="00896757">
      <w:pPr>
        <w:spacing w:after="0"/>
      </w:pPr>
      <w:r>
        <w:separator/>
      </w:r>
    </w:p>
  </w:footnote>
  <w:footnote w:type="continuationSeparator" w:id="0">
    <w:p w14:paraId="4FE40EE0" w14:textId="77777777" w:rsidR="00896757" w:rsidRDefault="00896757">
      <w:pPr>
        <w:spacing w:after="0"/>
      </w:pPr>
      <w:r>
        <w:continuationSeparator/>
      </w:r>
    </w:p>
  </w:footnote>
  <w:footnote w:type="continuationNotice" w:id="1">
    <w:p w14:paraId="6BD3CEA5" w14:textId="77777777" w:rsidR="00DF2D7F" w:rsidRDefault="00DF2D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541A61" w:rsidRDefault="00541A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4"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1"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8A4812"/>
    <w:multiLevelType w:val="hybridMultilevel"/>
    <w:tmpl w:val="328204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7"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2"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6"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7"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17024591">
    <w:abstractNumId w:val="34"/>
    <w:lvlOverride w:ilvl="0">
      <w:startOverride w:val="1"/>
    </w:lvlOverride>
  </w:num>
  <w:num w:numId="2" w16cid:durableId="580070412">
    <w:abstractNumId w:val="49"/>
  </w:num>
  <w:num w:numId="3" w16cid:durableId="336545074">
    <w:abstractNumId w:val="28"/>
  </w:num>
  <w:num w:numId="4" w16cid:durableId="629673799">
    <w:abstractNumId w:val="16"/>
  </w:num>
  <w:num w:numId="5" w16cid:durableId="1699118646">
    <w:abstractNumId w:val="4"/>
  </w:num>
  <w:num w:numId="6" w16cid:durableId="1630625660">
    <w:abstractNumId w:val="20"/>
  </w:num>
  <w:num w:numId="7" w16cid:durableId="310988088">
    <w:abstractNumId w:val="26"/>
  </w:num>
  <w:num w:numId="8" w16cid:durableId="602227831">
    <w:abstractNumId w:val="13"/>
  </w:num>
  <w:num w:numId="9" w16cid:durableId="1853644719">
    <w:abstractNumId w:val="54"/>
  </w:num>
  <w:num w:numId="10" w16cid:durableId="1392387953">
    <w:abstractNumId w:val="68"/>
  </w:num>
  <w:num w:numId="11" w16cid:durableId="1520971623">
    <w:abstractNumId w:val="51"/>
  </w:num>
  <w:num w:numId="12" w16cid:durableId="1029648763">
    <w:abstractNumId w:val="3"/>
  </w:num>
  <w:num w:numId="13" w16cid:durableId="431248795">
    <w:abstractNumId w:val="55"/>
  </w:num>
  <w:num w:numId="14" w16cid:durableId="1880627651">
    <w:abstractNumId w:val="29"/>
  </w:num>
  <w:num w:numId="15" w16cid:durableId="1061054155">
    <w:abstractNumId w:val="9"/>
  </w:num>
  <w:num w:numId="16" w16cid:durableId="52780848">
    <w:abstractNumId w:val="2"/>
  </w:num>
  <w:num w:numId="17" w16cid:durableId="383212086">
    <w:abstractNumId w:val="76"/>
  </w:num>
  <w:num w:numId="18" w16cid:durableId="1926525204">
    <w:abstractNumId w:val="15"/>
  </w:num>
  <w:num w:numId="19" w16cid:durableId="841505658">
    <w:abstractNumId w:val="33"/>
  </w:num>
  <w:num w:numId="20" w16cid:durableId="2022775033">
    <w:abstractNumId w:val="53"/>
  </w:num>
  <w:num w:numId="21" w16cid:durableId="991788970">
    <w:abstractNumId w:val="14"/>
  </w:num>
  <w:num w:numId="22" w16cid:durableId="203492037">
    <w:abstractNumId w:val="74"/>
  </w:num>
  <w:num w:numId="23" w16cid:durableId="1899391264">
    <w:abstractNumId w:val="66"/>
  </w:num>
  <w:num w:numId="24" w16cid:durableId="1944919215">
    <w:abstractNumId w:val="58"/>
  </w:num>
  <w:num w:numId="25" w16cid:durableId="254827151">
    <w:abstractNumId w:val="38"/>
  </w:num>
  <w:num w:numId="26" w16cid:durableId="1579100065">
    <w:abstractNumId w:val="67"/>
  </w:num>
  <w:num w:numId="27" w16cid:durableId="295765929">
    <w:abstractNumId w:val="45"/>
  </w:num>
  <w:num w:numId="28" w16cid:durableId="1370373074">
    <w:abstractNumId w:val="17"/>
  </w:num>
  <w:num w:numId="29" w16cid:durableId="1618634851">
    <w:abstractNumId w:val="24"/>
  </w:num>
  <w:num w:numId="30" w16cid:durableId="780880557">
    <w:abstractNumId w:val="60"/>
  </w:num>
  <w:num w:numId="31" w16cid:durableId="528106163">
    <w:abstractNumId w:val="70"/>
  </w:num>
  <w:num w:numId="32" w16cid:durableId="474570812">
    <w:abstractNumId w:val="8"/>
  </w:num>
  <w:num w:numId="33" w16cid:durableId="639579372">
    <w:abstractNumId w:val="72"/>
  </w:num>
  <w:num w:numId="34" w16cid:durableId="1144590995">
    <w:abstractNumId w:val="32"/>
  </w:num>
  <w:num w:numId="35" w16cid:durableId="2047099402">
    <w:abstractNumId w:val="40"/>
  </w:num>
  <w:num w:numId="36" w16cid:durableId="1177816846">
    <w:abstractNumId w:val="61"/>
  </w:num>
  <w:num w:numId="37" w16cid:durableId="1921717945">
    <w:abstractNumId w:val="57"/>
  </w:num>
  <w:num w:numId="38" w16cid:durableId="783571632">
    <w:abstractNumId w:val="31"/>
  </w:num>
  <w:num w:numId="39" w16cid:durableId="595402202">
    <w:abstractNumId w:val="23"/>
  </w:num>
  <w:num w:numId="40" w16cid:durableId="1235240069">
    <w:abstractNumId w:val="73"/>
  </w:num>
  <w:num w:numId="41" w16cid:durableId="1347637013">
    <w:abstractNumId w:val="41"/>
  </w:num>
  <w:num w:numId="42" w16cid:durableId="2136672611">
    <w:abstractNumId w:val="6"/>
  </w:num>
  <w:num w:numId="43" w16cid:durableId="1553804114">
    <w:abstractNumId w:val="44"/>
  </w:num>
  <w:num w:numId="44" w16cid:durableId="1606693480">
    <w:abstractNumId w:val="22"/>
  </w:num>
  <w:num w:numId="45" w16cid:durableId="1937784272">
    <w:abstractNumId w:val="18"/>
  </w:num>
  <w:num w:numId="46" w16cid:durableId="1772120904">
    <w:abstractNumId w:val="64"/>
  </w:num>
  <w:num w:numId="47" w16cid:durableId="2026129689">
    <w:abstractNumId w:val="47"/>
  </w:num>
  <w:num w:numId="48" w16cid:durableId="2090231705">
    <w:abstractNumId w:val="43"/>
  </w:num>
  <w:num w:numId="49" w16cid:durableId="59057603">
    <w:abstractNumId w:val="50"/>
  </w:num>
  <w:num w:numId="50" w16cid:durableId="1581214108">
    <w:abstractNumId w:val="30"/>
  </w:num>
  <w:num w:numId="51" w16cid:durableId="1617714892">
    <w:abstractNumId w:val="56"/>
  </w:num>
  <w:num w:numId="52" w16cid:durableId="1804539185">
    <w:abstractNumId w:val="39"/>
  </w:num>
  <w:num w:numId="53" w16cid:durableId="1229684246">
    <w:abstractNumId w:val="10"/>
  </w:num>
  <w:num w:numId="54" w16cid:durableId="1022782980">
    <w:abstractNumId w:val="42"/>
  </w:num>
  <w:num w:numId="55" w16cid:durableId="1535918351">
    <w:abstractNumId w:val="5"/>
  </w:num>
  <w:num w:numId="56" w16cid:durableId="436758856">
    <w:abstractNumId w:val="25"/>
  </w:num>
  <w:num w:numId="57" w16cid:durableId="940920101">
    <w:abstractNumId w:val="75"/>
  </w:num>
  <w:num w:numId="58" w16cid:durableId="1464227073">
    <w:abstractNumId w:val="7"/>
  </w:num>
  <w:num w:numId="59" w16cid:durableId="1827936395">
    <w:abstractNumId w:val="46"/>
  </w:num>
  <w:num w:numId="60" w16cid:durableId="1232547037">
    <w:abstractNumId w:val="21"/>
  </w:num>
  <w:num w:numId="61" w16cid:durableId="190802283">
    <w:abstractNumId w:val="36"/>
  </w:num>
  <w:num w:numId="62" w16cid:durableId="1921595872">
    <w:abstractNumId w:val="37"/>
  </w:num>
  <w:num w:numId="63" w16cid:durableId="1988510950">
    <w:abstractNumId w:val="35"/>
  </w:num>
  <w:num w:numId="64" w16cid:durableId="1675574542">
    <w:abstractNumId w:val="19"/>
  </w:num>
  <w:num w:numId="65" w16cid:durableId="1781141658">
    <w:abstractNumId w:val="59"/>
  </w:num>
  <w:num w:numId="66" w16cid:durableId="97953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61725709">
    <w:abstractNumId w:val="71"/>
  </w:num>
  <w:num w:numId="68" w16cid:durableId="157041887">
    <w:abstractNumId w:val="27"/>
  </w:num>
  <w:num w:numId="69" w16cid:durableId="1131558597">
    <w:abstractNumId w:val="12"/>
  </w:num>
  <w:num w:numId="70" w16cid:durableId="1607034199">
    <w:abstractNumId w:val="11"/>
  </w:num>
  <w:num w:numId="71" w16cid:durableId="1722171646">
    <w:abstractNumId w:val="1"/>
  </w:num>
  <w:num w:numId="72" w16cid:durableId="1238590309">
    <w:abstractNumId w:val="52"/>
  </w:num>
  <w:num w:numId="73" w16cid:durableId="1423379235">
    <w:abstractNumId w:val="62"/>
  </w:num>
  <w:num w:numId="74" w16cid:durableId="1345014962">
    <w:abstractNumId w:val="0"/>
  </w:num>
  <w:num w:numId="75" w16cid:durableId="898588613">
    <w:abstractNumId w:val="69"/>
  </w:num>
  <w:num w:numId="76" w16cid:durableId="198979856">
    <w:abstractNumId w:val="63"/>
  </w:num>
  <w:num w:numId="77" w16cid:durableId="1657806440">
    <w:abstractNumId w:val="4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1701"/>
    <w:rsid w:val="001B2299"/>
    <w:rsid w:val="001B2350"/>
    <w:rsid w:val="001B2573"/>
    <w:rsid w:val="001B2674"/>
    <w:rsid w:val="001B2987"/>
    <w:rsid w:val="001B2E7E"/>
    <w:rsid w:val="001B4534"/>
    <w:rsid w:val="001B4AA7"/>
    <w:rsid w:val="001B5217"/>
    <w:rsid w:val="001B52F0"/>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54A"/>
    <w:rsid w:val="002116B2"/>
    <w:rsid w:val="00211CB3"/>
    <w:rsid w:val="00211F28"/>
    <w:rsid w:val="00211FEE"/>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1603"/>
    <w:rsid w:val="004B1D80"/>
    <w:rsid w:val="004B22D2"/>
    <w:rsid w:val="004B23DC"/>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41C"/>
    <w:rsid w:val="008B25B5"/>
    <w:rsid w:val="008B25DE"/>
    <w:rsid w:val="008B2E5B"/>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5E2"/>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65A2"/>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5D5"/>
    <w:rsid w:val="00E66696"/>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oleObject" Target="embeddings/oleObject10.bin"/><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header" Target="header1.xml"/><Relationship Id="rId20" Type="http://schemas.openxmlformats.org/officeDocument/2006/relationships/image" Target="media/image6.wmf"/><Relationship Id="rId41" Type="http://schemas.openxmlformats.org/officeDocument/2006/relationships/oleObject" Target="embeddings/oleObject11.bin"/><Relationship Id="rId54"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2.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62BE948-31E0-40FE-9B35-5FB7C0CFF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70</Pages>
  <Words>25695</Words>
  <Characters>141327</Characters>
  <Application>Microsoft Office Word</Application>
  <DocSecurity>0</DocSecurity>
  <Lines>1177</Lines>
  <Paragraphs>333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166689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Marco Maso</cp:lastModifiedBy>
  <cp:revision>2</cp:revision>
  <cp:lastPrinted>1900-12-31T16:00:00Z</cp:lastPrinted>
  <dcterms:created xsi:type="dcterms:W3CDTF">2023-04-20T00:13:00Z</dcterms:created>
  <dcterms:modified xsi:type="dcterms:W3CDTF">2023-04-20T00:13:00Z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ies>
</file>