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65C867E"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091271">
        <w:tc>
          <w:tcPr>
            <w:tcW w:w="1977" w:type="dxa"/>
          </w:tcPr>
          <w:p w14:paraId="19055BDF" w14:textId="77777777" w:rsidR="008D1048" w:rsidRPr="00091271" w:rsidRDefault="008D1048" w:rsidP="00091271">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091271">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9214B" w14:paraId="7BF1C434" w14:textId="77777777" w:rsidTr="00584963">
        <w:tc>
          <w:tcPr>
            <w:tcW w:w="1977" w:type="dxa"/>
          </w:tcPr>
          <w:p w14:paraId="2A01EFC5" w14:textId="77777777" w:rsidR="0009214B" w:rsidRDefault="0009214B" w:rsidP="0009214B">
            <w:pPr>
              <w:jc w:val="both"/>
              <w:rPr>
                <w:rFonts w:eastAsia="SimSun"/>
                <w:color w:val="FF0000"/>
                <w:lang w:val="en-US"/>
              </w:rPr>
            </w:pPr>
          </w:p>
        </w:tc>
        <w:tc>
          <w:tcPr>
            <w:tcW w:w="7654" w:type="dxa"/>
          </w:tcPr>
          <w:p w14:paraId="2758278B" w14:textId="77777777" w:rsidR="0009214B" w:rsidRDefault="0009214B" w:rsidP="0009214B">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lastRenderedPageBreak/>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lastRenderedPageBreak/>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lastRenderedPageBreak/>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453B59B6" w:rsidR="008D1048" w:rsidRPr="008D1048" w:rsidRDefault="008D1048" w:rsidP="008D1048">
            <w:pPr>
              <w:jc w:val="both"/>
              <w:rPr>
                <w:rFonts w:eastAsia="SimSun"/>
                <w:lang w:val="en-US"/>
              </w:rPr>
            </w:pPr>
            <w:r w:rsidRPr="008D1048">
              <w:rPr>
                <w:rFonts w:eastAsia="SimSun"/>
                <w:lang w:val="en-US"/>
              </w:rPr>
              <w:t xml:space="preserve">As commented above, we think the P-MPR information </w:t>
            </w:r>
            <w:r w:rsidR="005257B5">
              <w:rPr>
                <w:rFonts w:eastAsia="SimSun"/>
                <w:lang w:val="en-US"/>
              </w:rPr>
              <w:t xml:space="preserve">(if enhanced) </w:t>
            </w:r>
            <w:r w:rsidRPr="008D1048">
              <w:rPr>
                <w:rFonts w:eastAsia="SimSun"/>
                <w:lang w:val="en-US"/>
              </w:rPr>
              <w:t>should be as actionable as possible in the gNB to improve scheduling.  That being said, we think it is possible to have a unified reporting mechanism supporting both the ΔPPowerClass and P-MPR approaches as we discuss in R1-2303662.</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5"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425"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425"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678"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584963">
        <w:trPr>
          <w:trHeight w:val="313"/>
        </w:trPr>
        <w:tc>
          <w:tcPr>
            <w:tcW w:w="2686"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14:paraId="05C9052B" w14:textId="77777777" w:rsidR="00584963" w:rsidRDefault="000933A6">
            <w:pPr>
              <w:jc w:val="both"/>
              <w:rPr>
                <w:rFonts w:eastAsia="SimSun"/>
                <w:lang w:val="en-US"/>
              </w:rPr>
            </w:pPr>
            <w:r>
              <w:rPr>
                <w:rFonts w:eastAsia="SimSun"/>
                <w:sz w:val="22"/>
                <w:szCs w:val="22"/>
                <w:lang w:val="en-US"/>
              </w:rPr>
              <w:t>X</w:t>
            </w:r>
          </w:p>
        </w:tc>
        <w:tc>
          <w:tcPr>
            <w:tcW w:w="425" w:type="dxa"/>
          </w:tcPr>
          <w:p w14:paraId="0BD7E9F6" w14:textId="77777777" w:rsidR="00584963" w:rsidRDefault="000933A6">
            <w:pPr>
              <w:jc w:val="both"/>
              <w:rPr>
                <w:rFonts w:eastAsia="SimSun"/>
                <w:lang w:val="en-US"/>
              </w:rPr>
            </w:pPr>
            <w:r>
              <w:rPr>
                <w:rFonts w:eastAsia="SimSun"/>
                <w:sz w:val="22"/>
                <w:szCs w:val="22"/>
                <w:lang w:val="en-US"/>
              </w:rPr>
              <w:t>X</w:t>
            </w:r>
          </w:p>
        </w:tc>
        <w:tc>
          <w:tcPr>
            <w:tcW w:w="425" w:type="dxa"/>
          </w:tcPr>
          <w:p w14:paraId="753743B4" w14:textId="77777777" w:rsidR="00584963" w:rsidRDefault="000933A6">
            <w:pPr>
              <w:jc w:val="both"/>
              <w:rPr>
                <w:rFonts w:eastAsia="SimSun"/>
                <w:lang w:val="en-US"/>
              </w:rPr>
            </w:pPr>
            <w:r>
              <w:rPr>
                <w:rFonts w:eastAsia="SimSun"/>
                <w:sz w:val="22"/>
                <w:szCs w:val="22"/>
                <w:lang w:val="en-US"/>
              </w:rPr>
              <w:t>X</w:t>
            </w:r>
          </w:p>
        </w:tc>
        <w:tc>
          <w:tcPr>
            <w:tcW w:w="5678"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584963">
        <w:trPr>
          <w:trHeight w:val="300"/>
        </w:trPr>
        <w:tc>
          <w:tcPr>
            <w:tcW w:w="2686"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678"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584963">
        <w:trPr>
          <w:trHeight w:val="300"/>
        </w:trPr>
        <w:tc>
          <w:tcPr>
            <w:tcW w:w="2686"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5"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678"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584963">
        <w:trPr>
          <w:trHeight w:val="300"/>
        </w:trPr>
        <w:tc>
          <w:tcPr>
            <w:tcW w:w="2686" w:type="dxa"/>
          </w:tcPr>
          <w:p w14:paraId="2C23FD24" w14:textId="12527634" w:rsidR="00597085" w:rsidRDefault="00597085" w:rsidP="00597085">
            <w:pPr>
              <w:jc w:val="center"/>
              <w:rPr>
                <w:rFonts w:eastAsia="SimSun"/>
                <w:b/>
                <w:bCs/>
                <w:lang w:val="en-US"/>
              </w:rPr>
            </w:pPr>
            <w:r>
              <w:rPr>
                <w:lang w:val="en-US"/>
              </w:rPr>
              <w:t>Nokia/NSB</w:t>
            </w:r>
          </w:p>
        </w:tc>
        <w:tc>
          <w:tcPr>
            <w:tcW w:w="425" w:type="dxa"/>
          </w:tcPr>
          <w:p w14:paraId="7BB3067F" w14:textId="77777777" w:rsidR="00597085" w:rsidRDefault="00597085" w:rsidP="00597085">
            <w:pPr>
              <w:jc w:val="both"/>
              <w:rPr>
                <w:rFonts w:eastAsia="SimSun"/>
                <w:lang w:val="en-US"/>
              </w:rPr>
            </w:pPr>
          </w:p>
        </w:tc>
        <w:tc>
          <w:tcPr>
            <w:tcW w:w="425" w:type="dxa"/>
          </w:tcPr>
          <w:p w14:paraId="1E0D2DBA" w14:textId="66F433EA" w:rsidR="00597085" w:rsidRDefault="00597085" w:rsidP="00597085">
            <w:pPr>
              <w:jc w:val="both"/>
              <w:rPr>
                <w:rFonts w:eastAsia="SimSun"/>
                <w:lang w:val="en-US"/>
              </w:rPr>
            </w:pPr>
            <w:r>
              <w:rPr>
                <w:lang w:val="en-US"/>
              </w:rPr>
              <w:t>X</w:t>
            </w:r>
          </w:p>
        </w:tc>
        <w:tc>
          <w:tcPr>
            <w:tcW w:w="425" w:type="dxa"/>
          </w:tcPr>
          <w:p w14:paraId="7A9FE826" w14:textId="77777777" w:rsidR="00597085" w:rsidRDefault="00597085" w:rsidP="00597085">
            <w:pPr>
              <w:jc w:val="both"/>
              <w:rPr>
                <w:rFonts w:eastAsia="SimSun"/>
                <w:lang w:val="en-US"/>
              </w:rPr>
            </w:pPr>
          </w:p>
        </w:tc>
        <w:tc>
          <w:tcPr>
            <w:tcW w:w="5678"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584963">
        <w:trPr>
          <w:trHeight w:val="300"/>
        </w:trPr>
        <w:tc>
          <w:tcPr>
            <w:tcW w:w="2686" w:type="dxa"/>
          </w:tcPr>
          <w:p w14:paraId="79E9EA03" w14:textId="286F7D58" w:rsidR="00C115D7" w:rsidRPr="00C115D7" w:rsidRDefault="00C115D7" w:rsidP="00C115D7">
            <w:pPr>
              <w:jc w:val="center"/>
              <w:rPr>
                <w:lang w:val="en-US"/>
              </w:rPr>
            </w:pPr>
            <w:r w:rsidRPr="00C115D7">
              <w:rPr>
                <w:rFonts w:eastAsia="MS Mincho" w:hint="eastAsia"/>
                <w:lang w:val="en-US" w:eastAsia="ja-JP"/>
              </w:rPr>
              <w:lastRenderedPageBreak/>
              <w:t>F</w:t>
            </w:r>
            <w:r w:rsidRPr="00C115D7">
              <w:rPr>
                <w:rFonts w:eastAsia="MS Mincho"/>
                <w:lang w:val="en-US" w:eastAsia="ja-JP"/>
              </w:rPr>
              <w:t>ujitsu</w:t>
            </w:r>
          </w:p>
        </w:tc>
        <w:tc>
          <w:tcPr>
            <w:tcW w:w="425"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425" w:type="dxa"/>
          </w:tcPr>
          <w:p w14:paraId="6AC8BA69" w14:textId="1E907180" w:rsidR="00C115D7" w:rsidRDefault="00C115D7" w:rsidP="00C115D7">
            <w:pPr>
              <w:jc w:val="both"/>
              <w:rPr>
                <w:lang w:val="en-US"/>
              </w:rPr>
            </w:pPr>
            <w:r>
              <w:rPr>
                <w:rFonts w:eastAsia="MS Mincho" w:hint="eastAsia"/>
                <w:lang w:val="en-US" w:eastAsia="ja-JP"/>
              </w:rPr>
              <w:t>X</w:t>
            </w:r>
          </w:p>
        </w:tc>
        <w:tc>
          <w:tcPr>
            <w:tcW w:w="425"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678"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584963">
        <w:trPr>
          <w:trHeight w:val="300"/>
        </w:trPr>
        <w:tc>
          <w:tcPr>
            <w:tcW w:w="2686"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5"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425"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425"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678"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584963">
        <w:trPr>
          <w:trHeight w:val="300"/>
        </w:trPr>
        <w:tc>
          <w:tcPr>
            <w:tcW w:w="2686"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5" w:type="dxa"/>
          </w:tcPr>
          <w:p w14:paraId="0B68D068" w14:textId="77777777" w:rsidR="008D1048" w:rsidRDefault="008D1048" w:rsidP="008D1048">
            <w:pPr>
              <w:jc w:val="both"/>
              <w:rPr>
                <w:rFonts w:eastAsia="SimSun"/>
                <w:lang w:val="en-US"/>
              </w:rPr>
            </w:pPr>
          </w:p>
        </w:tc>
        <w:tc>
          <w:tcPr>
            <w:tcW w:w="425"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425"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678"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Huawei/HiSi [2], vivo [5], Spreadtrum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lastRenderedPageBreak/>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w:t>
      </w:r>
      <w:r>
        <w:rPr>
          <w:sz w:val="22"/>
          <w:szCs w:val="22"/>
          <w:lang w:val="en-US"/>
        </w:rPr>
        <w:lastRenderedPageBreak/>
        <w:t>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Huawei/HiSi, Qualcomm, Spreadtrum,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lastRenderedPageBreak/>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lastRenderedPageBreak/>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r>
        <w:rPr>
          <w:sz w:val="22"/>
          <w:szCs w:val="22"/>
          <w:lang w:val="en-US"/>
        </w:rPr>
        <w:lastRenderedPageBreak/>
        <w:t>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9214B" w14:paraId="1E28EE35" w14:textId="77777777" w:rsidTr="00584963">
        <w:tc>
          <w:tcPr>
            <w:tcW w:w="2260" w:type="dxa"/>
          </w:tcPr>
          <w:p w14:paraId="260FFC44" w14:textId="77777777" w:rsidR="0009214B" w:rsidRDefault="0009214B" w:rsidP="0009214B">
            <w:pPr>
              <w:jc w:val="both"/>
              <w:rPr>
                <w:rFonts w:eastAsia="SimSun"/>
                <w:color w:val="FF0000"/>
                <w:lang w:val="en-US"/>
              </w:rPr>
            </w:pPr>
          </w:p>
        </w:tc>
        <w:tc>
          <w:tcPr>
            <w:tcW w:w="2977" w:type="dxa"/>
          </w:tcPr>
          <w:p w14:paraId="4E4D8289" w14:textId="77777777" w:rsidR="0009214B" w:rsidRDefault="0009214B" w:rsidP="0009214B">
            <w:pPr>
              <w:jc w:val="both"/>
              <w:rPr>
                <w:rFonts w:eastAsia="SimSun"/>
                <w:color w:val="FF0000"/>
                <w:lang w:val="en-US"/>
              </w:rPr>
            </w:pPr>
          </w:p>
        </w:tc>
        <w:tc>
          <w:tcPr>
            <w:tcW w:w="4386" w:type="dxa"/>
          </w:tcPr>
          <w:p w14:paraId="0E95A6B4" w14:textId="77777777" w:rsidR="0009214B" w:rsidRDefault="0009214B" w:rsidP="0009214B">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lastRenderedPageBreak/>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w:t>
            </w:r>
            <w:r w:rsidRPr="004A6B82">
              <w:rPr>
                <w:rFonts w:eastAsia="SimSun"/>
                <w:lang w:val="en-US"/>
              </w:rPr>
              <w:t xml:space="preserve"> some discussion on the need for a separate design for sequence length less than 30</w:t>
            </w:r>
            <w:r w:rsidRPr="004A6B82">
              <w:rPr>
                <w:rFonts w:eastAsia="SimSun"/>
                <w:lang w:val="en-US"/>
              </w:rPr>
              <w:t>.</w:t>
            </w:r>
          </w:p>
        </w:tc>
      </w:tr>
      <w:tr w:rsidR="0009214B" w14:paraId="093DAF8D" w14:textId="77777777" w:rsidTr="00584963">
        <w:trPr>
          <w:trHeight w:val="300"/>
        </w:trPr>
        <w:tc>
          <w:tcPr>
            <w:tcW w:w="2260" w:type="dxa"/>
          </w:tcPr>
          <w:p w14:paraId="6F1B4A0F" w14:textId="77777777" w:rsidR="0009214B" w:rsidRDefault="0009214B" w:rsidP="0009214B">
            <w:pPr>
              <w:jc w:val="both"/>
              <w:rPr>
                <w:rFonts w:eastAsia="SimSun"/>
                <w:color w:val="FF0000"/>
                <w:lang w:val="en-US"/>
              </w:rPr>
            </w:pPr>
          </w:p>
        </w:tc>
        <w:tc>
          <w:tcPr>
            <w:tcW w:w="2977" w:type="dxa"/>
          </w:tcPr>
          <w:p w14:paraId="04F5142B" w14:textId="77777777" w:rsidR="0009214B" w:rsidRDefault="0009214B" w:rsidP="0009214B">
            <w:pPr>
              <w:jc w:val="both"/>
              <w:rPr>
                <w:rFonts w:eastAsia="SimSun"/>
                <w:color w:val="FF0000"/>
                <w:lang w:val="en-US"/>
              </w:rPr>
            </w:pPr>
          </w:p>
        </w:tc>
        <w:tc>
          <w:tcPr>
            <w:tcW w:w="4386" w:type="dxa"/>
          </w:tcPr>
          <w:p w14:paraId="49136CB1" w14:textId="77777777" w:rsidR="0009214B" w:rsidRDefault="0009214B" w:rsidP="0009214B">
            <w:pPr>
              <w:jc w:val="both"/>
              <w:rPr>
                <w:rFonts w:eastAsia="SimSun"/>
                <w:color w:val="FF0000"/>
                <w:lang w:val="en-US"/>
              </w:rPr>
            </w:pPr>
          </w:p>
        </w:tc>
      </w:tr>
      <w:tr w:rsidR="0009214B" w14:paraId="20AD28A9" w14:textId="77777777" w:rsidTr="00584963">
        <w:trPr>
          <w:trHeight w:val="300"/>
        </w:trPr>
        <w:tc>
          <w:tcPr>
            <w:tcW w:w="2260" w:type="dxa"/>
          </w:tcPr>
          <w:p w14:paraId="1E846142" w14:textId="77777777" w:rsidR="0009214B" w:rsidRDefault="0009214B" w:rsidP="0009214B">
            <w:pPr>
              <w:jc w:val="both"/>
              <w:rPr>
                <w:rFonts w:eastAsia="SimSun"/>
                <w:color w:val="FF0000"/>
                <w:lang w:val="en-US"/>
              </w:rPr>
            </w:pPr>
          </w:p>
        </w:tc>
        <w:tc>
          <w:tcPr>
            <w:tcW w:w="2977" w:type="dxa"/>
          </w:tcPr>
          <w:p w14:paraId="5793DAD2" w14:textId="77777777" w:rsidR="0009214B" w:rsidRDefault="0009214B" w:rsidP="0009214B">
            <w:pPr>
              <w:jc w:val="both"/>
              <w:rPr>
                <w:rFonts w:eastAsia="SimSun"/>
                <w:color w:val="FF0000"/>
                <w:lang w:val="en-US"/>
              </w:rPr>
            </w:pPr>
          </w:p>
        </w:tc>
        <w:tc>
          <w:tcPr>
            <w:tcW w:w="4386" w:type="dxa"/>
          </w:tcPr>
          <w:p w14:paraId="5E3E8CD1" w14:textId="77777777" w:rsidR="0009214B" w:rsidRDefault="0009214B" w:rsidP="0009214B">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lastRenderedPageBreak/>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MPR/PAR reduction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One company (Samsung [16]) proposes to discuss the gains of MPR/PAR reduction techniques, and potential impact on gNB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lastRenderedPageBreak/>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597085" w14:paraId="2198D725" w14:textId="77777777" w:rsidTr="00597085">
        <w:tc>
          <w:tcPr>
            <w:tcW w:w="2152" w:type="dxa"/>
          </w:tcPr>
          <w:p w14:paraId="1B0DECBF" w14:textId="77777777" w:rsidR="00597085" w:rsidRDefault="00597085" w:rsidP="00597085">
            <w:pPr>
              <w:jc w:val="both"/>
              <w:rPr>
                <w:rFonts w:eastAsia="SimSun"/>
                <w:color w:val="FF0000"/>
                <w:lang w:val="en-US"/>
              </w:rPr>
            </w:pPr>
          </w:p>
        </w:tc>
        <w:tc>
          <w:tcPr>
            <w:tcW w:w="472" w:type="dxa"/>
          </w:tcPr>
          <w:p w14:paraId="004010BD" w14:textId="77777777" w:rsidR="00597085" w:rsidRDefault="00597085" w:rsidP="00597085">
            <w:pPr>
              <w:jc w:val="both"/>
              <w:rPr>
                <w:rFonts w:eastAsia="SimSun"/>
                <w:color w:val="FF0000"/>
                <w:lang w:val="en-US"/>
              </w:rPr>
            </w:pPr>
          </w:p>
        </w:tc>
        <w:tc>
          <w:tcPr>
            <w:tcW w:w="472" w:type="dxa"/>
          </w:tcPr>
          <w:p w14:paraId="34CEE2BA" w14:textId="77777777" w:rsidR="00597085" w:rsidRDefault="00597085" w:rsidP="00597085">
            <w:pPr>
              <w:jc w:val="both"/>
              <w:rPr>
                <w:rFonts w:eastAsia="SimSun"/>
                <w:color w:val="FF0000"/>
                <w:lang w:val="en-US"/>
              </w:rPr>
            </w:pPr>
          </w:p>
        </w:tc>
        <w:tc>
          <w:tcPr>
            <w:tcW w:w="472" w:type="dxa"/>
          </w:tcPr>
          <w:p w14:paraId="7FDCB8A8" w14:textId="77777777" w:rsidR="00597085" w:rsidRDefault="00597085" w:rsidP="00597085">
            <w:pPr>
              <w:jc w:val="both"/>
              <w:rPr>
                <w:rFonts w:eastAsia="SimSun"/>
                <w:color w:val="FF0000"/>
                <w:lang w:val="en-US"/>
              </w:rPr>
            </w:pPr>
          </w:p>
        </w:tc>
        <w:tc>
          <w:tcPr>
            <w:tcW w:w="472" w:type="dxa"/>
          </w:tcPr>
          <w:p w14:paraId="51A5115F" w14:textId="77777777" w:rsidR="00597085" w:rsidRDefault="00597085" w:rsidP="00597085">
            <w:pPr>
              <w:jc w:val="both"/>
              <w:rPr>
                <w:rFonts w:eastAsia="SimSun"/>
                <w:color w:val="FF0000"/>
                <w:lang w:val="en-US"/>
              </w:rPr>
            </w:pPr>
          </w:p>
        </w:tc>
        <w:tc>
          <w:tcPr>
            <w:tcW w:w="5583" w:type="dxa"/>
          </w:tcPr>
          <w:p w14:paraId="44984B98" w14:textId="77777777" w:rsidR="00597085" w:rsidRDefault="00597085" w:rsidP="00597085">
            <w:pPr>
              <w:jc w:val="both"/>
              <w:rPr>
                <w:rFonts w:eastAsia="SimSun"/>
                <w:color w:val="FF0000"/>
                <w:lang w:val="en-US"/>
              </w:rPr>
            </w:pPr>
          </w:p>
        </w:tc>
      </w:tr>
      <w:tr w:rsidR="00597085" w14:paraId="601A5C65" w14:textId="77777777" w:rsidTr="00597085">
        <w:tc>
          <w:tcPr>
            <w:tcW w:w="2152" w:type="dxa"/>
          </w:tcPr>
          <w:p w14:paraId="7F826082" w14:textId="77777777" w:rsidR="00597085" w:rsidRDefault="00597085" w:rsidP="00597085">
            <w:pPr>
              <w:jc w:val="both"/>
              <w:rPr>
                <w:rFonts w:eastAsia="SimSun"/>
                <w:color w:val="FF0000"/>
                <w:lang w:val="en-US"/>
              </w:rPr>
            </w:pPr>
          </w:p>
        </w:tc>
        <w:tc>
          <w:tcPr>
            <w:tcW w:w="472" w:type="dxa"/>
          </w:tcPr>
          <w:p w14:paraId="47BD52AA" w14:textId="77777777" w:rsidR="00597085" w:rsidRDefault="00597085" w:rsidP="00597085">
            <w:pPr>
              <w:jc w:val="both"/>
              <w:rPr>
                <w:rFonts w:eastAsia="SimSun"/>
                <w:color w:val="FF0000"/>
                <w:lang w:val="en-US"/>
              </w:rPr>
            </w:pPr>
          </w:p>
        </w:tc>
        <w:tc>
          <w:tcPr>
            <w:tcW w:w="472" w:type="dxa"/>
          </w:tcPr>
          <w:p w14:paraId="45190BEA" w14:textId="77777777" w:rsidR="00597085" w:rsidRDefault="00597085" w:rsidP="00597085">
            <w:pPr>
              <w:jc w:val="both"/>
              <w:rPr>
                <w:rFonts w:eastAsia="SimSun"/>
                <w:color w:val="FF0000"/>
                <w:lang w:val="en-US"/>
              </w:rPr>
            </w:pPr>
          </w:p>
        </w:tc>
        <w:tc>
          <w:tcPr>
            <w:tcW w:w="472" w:type="dxa"/>
          </w:tcPr>
          <w:p w14:paraId="6CEAE6C6" w14:textId="77777777" w:rsidR="00597085" w:rsidRDefault="00597085" w:rsidP="00597085">
            <w:pPr>
              <w:jc w:val="both"/>
              <w:rPr>
                <w:rFonts w:eastAsia="SimSun"/>
                <w:color w:val="FF0000"/>
                <w:lang w:val="en-US"/>
              </w:rPr>
            </w:pPr>
          </w:p>
        </w:tc>
        <w:tc>
          <w:tcPr>
            <w:tcW w:w="472" w:type="dxa"/>
          </w:tcPr>
          <w:p w14:paraId="0AA420CF" w14:textId="77777777" w:rsidR="00597085" w:rsidRDefault="00597085" w:rsidP="00597085">
            <w:pPr>
              <w:jc w:val="both"/>
              <w:rPr>
                <w:rFonts w:eastAsia="SimSun"/>
                <w:color w:val="FF0000"/>
                <w:lang w:val="en-US"/>
              </w:rPr>
            </w:pPr>
          </w:p>
        </w:tc>
        <w:tc>
          <w:tcPr>
            <w:tcW w:w="5583" w:type="dxa"/>
          </w:tcPr>
          <w:p w14:paraId="558B67CF" w14:textId="77777777" w:rsidR="00597085" w:rsidRDefault="00597085" w:rsidP="00597085">
            <w:pPr>
              <w:jc w:val="both"/>
              <w:rPr>
                <w:rFonts w:eastAsia="SimSun"/>
                <w:color w:val="FF0000"/>
                <w:lang w:val="en-US"/>
              </w:rPr>
            </w:pPr>
          </w:p>
        </w:tc>
      </w:tr>
      <w:tr w:rsidR="00597085" w14:paraId="5B338320" w14:textId="77777777" w:rsidTr="00597085">
        <w:tc>
          <w:tcPr>
            <w:tcW w:w="2152" w:type="dxa"/>
          </w:tcPr>
          <w:p w14:paraId="6E57739E" w14:textId="77777777" w:rsidR="00597085" w:rsidRDefault="00597085" w:rsidP="00597085">
            <w:pPr>
              <w:jc w:val="both"/>
              <w:rPr>
                <w:rFonts w:eastAsia="SimSun"/>
                <w:color w:val="FF0000"/>
                <w:lang w:val="en-US"/>
              </w:rPr>
            </w:pPr>
          </w:p>
        </w:tc>
        <w:tc>
          <w:tcPr>
            <w:tcW w:w="472" w:type="dxa"/>
          </w:tcPr>
          <w:p w14:paraId="2BFB67F0" w14:textId="77777777" w:rsidR="00597085" w:rsidRDefault="00597085" w:rsidP="00597085">
            <w:pPr>
              <w:jc w:val="both"/>
              <w:rPr>
                <w:rFonts w:eastAsia="SimSun"/>
                <w:color w:val="FF0000"/>
                <w:lang w:val="en-US"/>
              </w:rPr>
            </w:pPr>
          </w:p>
        </w:tc>
        <w:tc>
          <w:tcPr>
            <w:tcW w:w="472" w:type="dxa"/>
          </w:tcPr>
          <w:p w14:paraId="66CF3F9F" w14:textId="77777777" w:rsidR="00597085" w:rsidRDefault="00597085" w:rsidP="00597085">
            <w:pPr>
              <w:jc w:val="both"/>
              <w:rPr>
                <w:rFonts w:eastAsia="SimSun"/>
                <w:color w:val="FF0000"/>
                <w:lang w:val="en-US"/>
              </w:rPr>
            </w:pPr>
          </w:p>
        </w:tc>
        <w:tc>
          <w:tcPr>
            <w:tcW w:w="472" w:type="dxa"/>
          </w:tcPr>
          <w:p w14:paraId="37C8A402" w14:textId="77777777" w:rsidR="00597085" w:rsidRDefault="00597085" w:rsidP="00597085">
            <w:pPr>
              <w:jc w:val="both"/>
              <w:rPr>
                <w:rFonts w:eastAsia="SimSun"/>
                <w:color w:val="FF0000"/>
                <w:lang w:val="en-US"/>
              </w:rPr>
            </w:pPr>
          </w:p>
        </w:tc>
        <w:tc>
          <w:tcPr>
            <w:tcW w:w="472" w:type="dxa"/>
          </w:tcPr>
          <w:p w14:paraId="2748B420" w14:textId="77777777" w:rsidR="00597085" w:rsidRDefault="00597085" w:rsidP="00597085">
            <w:pPr>
              <w:jc w:val="both"/>
              <w:rPr>
                <w:rFonts w:eastAsia="SimSun"/>
                <w:color w:val="FF0000"/>
                <w:lang w:val="en-US"/>
              </w:rPr>
            </w:pPr>
          </w:p>
        </w:tc>
        <w:tc>
          <w:tcPr>
            <w:tcW w:w="5583" w:type="dxa"/>
          </w:tcPr>
          <w:p w14:paraId="2B32E979" w14:textId="77777777" w:rsidR="00597085" w:rsidRDefault="00597085" w:rsidP="00597085">
            <w:pPr>
              <w:jc w:val="both"/>
              <w:rPr>
                <w:rFonts w:eastAsia="SimSun"/>
                <w:color w:val="FF0000"/>
                <w:lang w:val="en-US"/>
              </w:rPr>
            </w:pPr>
          </w:p>
        </w:tc>
      </w:tr>
      <w:tr w:rsidR="00597085" w14:paraId="27D23E7C" w14:textId="77777777" w:rsidTr="00597085">
        <w:tc>
          <w:tcPr>
            <w:tcW w:w="2152" w:type="dxa"/>
          </w:tcPr>
          <w:p w14:paraId="623A36FE" w14:textId="77777777" w:rsidR="00597085" w:rsidRDefault="00597085" w:rsidP="00597085">
            <w:pPr>
              <w:jc w:val="both"/>
              <w:rPr>
                <w:rFonts w:eastAsia="SimSun"/>
                <w:color w:val="FF0000"/>
                <w:lang w:val="en-US"/>
              </w:rPr>
            </w:pPr>
          </w:p>
        </w:tc>
        <w:tc>
          <w:tcPr>
            <w:tcW w:w="472" w:type="dxa"/>
          </w:tcPr>
          <w:p w14:paraId="6E5C9C57" w14:textId="77777777" w:rsidR="00597085" w:rsidRDefault="00597085" w:rsidP="00597085">
            <w:pPr>
              <w:jc w:val="both"/>
              <w:rPr>
                <w:rFonts w:eastAsia="SimSun"/>
                <w:color w:val="FF0000"/>
                <w:lang w:val="en-US"/>
              </w:rPr>
            </w:pPr>
          </w:p>
        </w:tc>
        <w:tc>
          <w:tcPr>
            <w:tcW w:w="472" w:type="dxa"/>
          </w:tcPr>
          <w:p w14:paraId="71E6AF49" w14:textId="77777777" w:rsidR="00597085" w:rsidRDefault="00597085" w:rsidP="00597085">
            <w:pPr>
              <w:jc w:val="both"/>
              <w:rPr>
                <w:rFonts w:eastAsia="SimSun"/>
                <w:color w:val="FF0000"/>
                <w:lang w:val="en-US"/>
              </w:rPr>
            </w:pPr>
          </w:p>
        </w:tc>
        <w:tc>
          <w:tcPr>
            <w:tcW w:w="472" w:type="dxa"/>
          </w:tcPr>
          <w:p w14:paraId="39DF8320" w14:textId="77777777" w:rsidR="00597085" w:rsidRDefault="00597085" w:rsidP="00597085">
            <w:pPr>
              <w:jc w:val="both"/>
              <w:rPr>
                <w:rFonts w:eastAsia="SimSun"/>
                <w:color w:val="FF0000"/>
                <w:lang w:val="en-US"/>
              </w:rPr>
            </w:pPr>
          </w:p>
        </w:tc>
        <w:tc>
          <w:tcPr>
            <w:tcW w:w="472" w:type="dxa"/>
          </w:tcPr>
          <w:p w14:paraId="4EB622FD" w14:textId="77777777" w:rsidR="00597085" w:rsidRDefault="00597085" w:rsidP="00597085">
            <w:pPr>
              <w:jc w:val="both"/>
              <w:rPr>
                <w:rFonts w:eastAsia="SimSun"/>
                <w:color w:val="FF0000"/>
                <w:lang w:val="en-US"/>
              </w:rPr>
            </w:pPr>
          </w:p>
        </w:tc>
        <w:tc>
          <w:tcPr>
            <w:tcW w:w="5583" w:type="dxa"/>
          </w:tcPr>
          <w:p w14:paraId="3C691EE0" w14:textId="77777777" w:rsidR="00597085" w:rsidRDefault="00597085" w:rsidP="00597085">
            <w:pPr>
              <w:jc w:val="both"/>
              <w:rPr>
                <w:rFonts w:eastAsia="SimSun"/>
                <w:color w:val="FF0000"/>
                <w:lang w:val="en-US"/>
              </w:rPr>
            </w:pPr>
          </w:p>
        </w:tc>
      </w:tr>
      <w:tr w:rsidR="00597085" w14:paraId="2271F125" w14:textId="77777777" w:rsidTr="00597085">
        <w:tc>
          <w:tcPr>
            <w:tcW w:w="2152" w:type="dxa"/>
          </w:tcPr>
          <w:p w14:paraId="47B3DCFC" w14:textId="77777777" w:rsidR="00597085" w:rsidRDefault="00597085" w:rsidP="00597085">
            <w:pPr>
              <w:jc w:val="both"/>
              <w:rPr>
                <w:rFonts w:eastAsia="SimSun"/>
                <w:color w:val="FF0000"/>
                <w:lang w:val="en-US"/>
              </w:rPr>
            </w:pPr>
          </w:p>
        </w:tc>
        <w:tc>
          <w:tcPr>
            <w:tcW w:w="472" w:type="dxa"/>
          </w:tcPr>
          <w:p w14:paraId="5A318364" w14:textId="77777777" w:rsidR="00597085" w:rsidRDefault="00597085" w:rsidP="00597085">
            <w:pPr>
              <w:jc w:val="both"/>
              <w:rPr>
                <w:rFonts w:eastAsia="SimSun"/>
                <w:color w:val="FF0000"/>
                <w:lang w:val="en-US"/>
              </w:rPr>
            </w:pPr>
          </w:p>
        </w:tc>
        <w:tc>
          <w:tcPr>
            <w:tcW w:w="472" w:type="dxa"/>
          </w:tcPr>
          <w:p w14:paraId="388A76FC" w14:textId="77777777" w:rsidR="00597085" w:rsidRDefault="00597085" w:rsidP="00597085">
            <w:pPr>
              <w:jc w:val="both"/>
              <w:rPr>
                <w:rFonts w:eastAsia="SimSun"/>
                <w:color w:val="FF0000"/>
                <w:lang w:val="en-US"/>
              </w:rPr>
            </w:pPr>
          </w:p>
        </w:tc>
        <w:tc>
          <w:tcPr>
            <w:tcW w:w="472" w:type="dxa"/>
          </w:tcPr>
          <w:p w14:paraId="33036B5A" w14:textId="77777777" w:rsidR="00597085" w:rsidRDefault="00597085" w:rsidP="00597085">
            <w:pPr>
              <w:jc w:val="both"/>
              <w:rPr>
                <w:rFonts w:eastAsia="SimSun"/>
                <w:color w:val="FF0000"/>
                <w:lang w:val="en-US"/>
              </w:rPr>
            </w:pPr>
          </w:p>
        </w:tc>
        <w:tc>
          <w:tcPr>
            <w:tcW w:w="472" w:type="dxa"/>
          </w:tcPr>
          <w:p w14:paraId="253A3250" w14:textId="77777777" w:rsidR="00597085" w:rsidRDefault="00597085" w:rsidP="00597085">
            <w:pPr>
              <w:jc w:val="both"/>
              <w:rPr>
                <w:rFonts w:eastAsia="SimSun"/>
                <w:color w:val="FF0000"/>
                <w:lang w:val="en-US"/>
              </w:rPr>
            </w:pPr>
          </w:p>
        </w:tc>
        <w:tc>
          <w:tcPr>
            <w:tcW w:w="5583" w:type="dxa"/>
          </w:tcPr>
          <w:p w14:paraId="44A90001" w14:textId="77777777" w:rsidR="00597085" w:rsidRDefault="00597085" w:rsidP="00597085">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lastRenderedPageBreak/>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lastRenderedPageBreak/>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lastRenderedPageBreak/>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lastRenderedPageBreak/>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C074" w14:textId="77777777" w:rsidR="00BA1930" w:rsidRDefault="00BA1930">
      <w:pPr>
        <w:spacing w:after="0"/>
      </w:pPr>
      <w:r>
        <w:separator/>
      </w:r>
    </w:p>
  </w:endnote>
  <w:endnote w:type="continuationSeparator" w:id="0">
    <w:p w14:paraId="7F18E883" w14:textId="77777777" w:rsidR="00BA1930" w:rsidRDefault="00BA1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7C29" w14:textId="77777777" w:rsidR="00BA1930" w:rsidRDefault="00BA1930">
      <w:pPr>
        <w:spacing w:after="0"/>
      </w:pPr>
      <w:r>
        <w:separator/>
      </w:r>
    </w:p>
  </w:footnote>
  <w:footnote w:type="continuationSeparator" w:id="0">
    <w:p w14:paraId="7437B3D0" w14:textId="77777777" w:rsidR="00BA1930" w:rsidRDefault="00BA19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51</Pages>
  <Words>17684</Words>
  <Characters>100800</Characters>
  <Application>Microsoft Office Word</Application>
  <DocSecurity>0</DocSecurity>
  <Lines>840</Lines>
  <Paragraphs>236</Paragraphs>
  <ScaleCrop>false</ScaleCrop>
  <Company>3GPP Support Team</Company>
  <LinksUpToDate>false</LinksUpToDate>
  <CharactersWithSpaces>118248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5</cp:revision>
  <cp:lastPrinted>1900-01-01T08:00:00Z</cp:lastPrinted>
  <dcterms:created xsi:type="dcterms:W3CDTF">2023-04-17T18:01:00Z</dcterms:created>
  <dcterms:modified xsi:type="dcterms:W3CDTF">2023-04-17T18:42:00Z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