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447pt" o:ole="">
            <v:imagedata r:id="rId12" o:title=""/>
          </v:shape>
          <o:OLEObject Type="Embed" ProgID="Visio.Drawing.15" ShapeID="_x0000_i1025" DrawAspect="Content" ObjectID="_1743534754"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Pr>
                <w:rFonts w:eastAsia="Malgun Gothic"/>
                <w:vertAlign w:val="superscript"/>
                <w:lang w:eastAsia="ko-KR"/>
              </w:rPr>
              <w:t>k</w:t>
            </w:r>
            <w:proofErr w:type="gramEnd"/>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rPr>
                      <w:rFonts w:ascii="Cambria Math" w:eastAsia="等线" w:hAnsi="Cambria Math"/>
                    </w:rPr>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DE0D08">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DE0D08">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0B7A87">
            <w:pPr>
              <w:jc w:val="both"/>
              <w:rPr>
                <w:szCs w:val="22"/>
                <w:lang w:eastAsia="zh-CN"/>
              </w:rPr>
            </w:pPr>
            <w:r w:rsidRPr="00A60E22">
              <w:rPr>
                <w:szCs w:val="22"/>
                <w:lang w:eastAsia="zh-CN"/>
              </w:rPr>
              <w:t>We are fine.</w:t>
            </w:r>
          </w:p>
        </w:tc>
      </w:tr>
    </w:tbl>
    <w:p w14:paraId="50EC0DFC" w14:textId="77777777" w:rsidR="003E29CC" w:rsidRDefault="003E29CC">
      <w:pPr>
        <w:spacing w:after="0"/>
        <w:rPr>
          <w:rFonts w:eastAsia="Batang"/>
        </w:rPr>
      </w:pPr>
    </w:p>
    <w:p w14:paraId="0AE1630D" w14:textId="77777777" w:rsidR="003E29CC" w:rsidRDefault="003E29CC">
      <w:pPr>
        <w:rPr>
          <w:lang w:eastAsia="zh-CN"/>
        </w:rPr>
      </w:pPr>
    </w:p>
    <w:p w14:paraId="03A1AFC9" w14:textId="77777777" w:rsidR="003E29CC" w:rsidRDefault="00867B11">
      <w:pPr>
        <w:pStyle w:val="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w:t>
            </w:r>
            <w:r>
              <w:rPr>
                <w:lang w:val="en-GB"/>
              </w:rPr>
              <w:lastRenderedPageBreak/>
              <w:t xml:space="preserve">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lastRenderedPageBreak/>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w:t>
            </w:r>
            <w:r>
              <w:rPr>
                <w:szCs w:val="22"/>
                <w:lang w:eastAsia="zh-CN"/>
              </w:rPr>
              <w:lastRenderedPageBreak/>
              <w:t>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DE0D08">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DE0D08">
            <w:pPr>
              <w:spacing w:after="0" w:line="240" w:lineRule="auto"/>
              <w:rPr>
                <w:szCs w:val="22"/>
                <w:lang w:eastAsia="zh-CN"/>
              </w:rPr>
            </w:pPr>
            <w:r w:rsidRPr="00A06DB3">
              <w:rPr>
                <w:szCs w:val="22"/>
                <w:lang w:eastAsia="zh-CN"/>
              </w:rPr>
              <w:t>OK</w:t>
            </w:r>
          </w:p>
        </w:tc>
      </w:tr>
      <w:tr w:rsidR="00A60E22" w:rsidRPr="00A15259" w14:paraId="0715349A" w14:textId="77777777" w:rsidTr="000B7A87">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0B7A87">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0B7A87">
            <w:pPr>
              <w:spacing w:after="0" w:line="240" w:lineRule="auto"/>
              <w:rPr>
                <w:lang w:eastAsia="zh-CN"/>
              </w:rPr>
            </w:pPr>
            <w:r>
              <w:rPr>
                <w:lang w:eastAsia="zh-CN"/>
              </w:rPr>
              <w:t xml:space="preserve">It seems companies mainly not align with the exact values, but in general the two cases </w:t>
            </w:r>
            <w:proofErr w:type="gramStart"/>
            <w:r>
              <w:rPr>
                <w:lang w:eastAsia="zh-CN"/>
              </w:rPr>
              <w:t>seems</w:t>
            </w:r>
            <w:proofErr w:type="gramEnd"/>
            <w:r>
              <w:rPr>
                <w:lang w:eastAsia="zh-CN"/>
              </w:rPr>
              <w:t xml:space="preserve"> OK for companies. Can we progress a little </w:t>
            </w:r>
            <w:proofErr w:type="gramStart"/>
            <w:r>
              <w:rPr>
                <w:lang w:eastAsia="zh-CN"/>
              </w:rPr>
              <w:t>bit:</w:t>
            </w:r>
            <w:proofErr w:type="gramEnd"/>
          </w:p>
          <w:p w14:paraId="35DA1760" w14:textId="77777777" w:rsidR="00A60E22" w:rsidRPr="00F841EF" w:rsidRDefault="00A60E22" w:rsidP="000B7A87">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0B7A87">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0B7A87">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fa"/>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0B7A87">
            <w:pPr>
              <w:spacing w:after="0" w:line="240" w:lineRule="auto"/>
              <w:rPr>
                <w:lang w:eastAsia="zh-CN"/>
              </w:rPr>
            </w:pPr>
          </w:p>
          <w:p w14:paraId="4E860907" w14:textId="77777777" w:rsidR="00A60E22" w:rsidRPr="00A15259" w:rsidRDefault="00A60E22" w:rsidP="000B7A87">
            <w:pPr>
              <w:spacing w:after="0" w:line="240" w:lineRule="auto"/>
              <w:rPr>
                <w:lang w:eastAsia="zh-CN"/>
              </w:rPr>
            </w:pPr>
          </w:p>
        </w:tc>
      </w:tr>
    </w:tbl>
    <w:p w14:paraId="5BB23F21" w14:textId="77777777" w:rsidR="003E29CC" w:rsidRDefault="003E29CC">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61502B" w14:paraId="771286AF" w14:textId="77777777">
        <w:tc>
          <w:tcPr>
            <w:tcW w:w="1555" w:type="dxa"/>
            <w:tcBorders>
              <w:top w:val="single" w:sz="4" w:space="0" w:color="auto"/>
              <w:left w:val="single" w:sz="4" w:space="0" w:color="auto"/>
              <w:bottom w:val="single" w:sz="4" w:space="0" w:color="auto"/>
              <w:right w:val="single" w:sz="4" w:space="0" w:color="auto"/>
            </w:tcBorders>
          </w:tcPr>
          <w:p w14:paraId="0C36DA29" w14:textId="77777777" w:rsidR="0061502B" w:rsidRDefault="0061502B" w:rsidP="00A1525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F5BFD56" w14:textId="77777777" w:rsidR="0061502B" w:rsidRDefault="0061502B" w:rsidP="00A15259">
            <w:pPr>
              <w:spacing w:after="0" w:line="240" w:lineRule="auto"/>
              <w:rPr>
                <w:szCs w:val="22"/>
                <w:lang w:eastAsia="zh-CN"/>
              </w:rPr>
            </w:pPr>
          </w:p>
        </w:tc>
      </w:tr>
    </w:tbl>
    <w:p w14:paraId="7A541A9D" w14:textId="77777777" w:rsidR="003E29CC" w:rsidRDefault="003E29CC">
      <w:pPr>
        <w:rPr>
          <w:highlight w:val="yellow"/>
          <w:lang w:eastAsia="zh-CN"/>
        </w:rPr>
      </w:pPr>
    </w:p>
    <w:p w14:paraId="078DE5D6" w14:textId="77777777" w:rsidR="003E29CC" w:rsidRDefault="003E29CC">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lastRenderedPageBreak/>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77777777" w:rsidR="003E29CC" w:rsidRDefault="00867B11">
      <w:pPr>
        <w:pStyle w:val="4"/>
        <w:numPr>
          <w:ilvl w:val="0"/>
          <w:numId w:val="0"/>
        </w:numPr>
        <w:ind w:left="864" w:hanging="864"/>
        <w:rPr>
          <w:lang w:eastAsia="zh-CN"/>
        </w:rPr>
      </w:pPr>
      <w:r>
        <w:rPr>
          <w:rFonts w:hint="eastAsia"/>
          <w:lang w:eastAsia="zh-CN"/>
        </w:rPr>
        <w:t>1B</w:t>
      </w:r>
      <w:r>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lastRenderedPageBreak/>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gramStart"/>
      <w:r>
        <w:rPr>
          <w:color w:val="FF0000"/>
        </w:rPr>
        <w:t>it’s</w:t>
      </w:r>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lastRenderedPageBreak/>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lastRenderedPageBreak/>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lastRenderedPageBreak/>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DE0D08">
            <w:pPr>
              <w:spacing w:after="0" w:line="240" w:lineRule="auto"/>
              <w:rPr>
                <w:szCs w:val="22"/>
                <w:lang w:eastAsia="zh-CN"/>
              </w:rPr>
            </w:pPr>
            <w:r w:rsidRPr="00A06DB3">
              <w:rPr>
                <w:szCs w:val="22"/>
                <w:lang w:eastAsia="zh-CN"/>
              </w:rPr>
              <w:t>OK to confirm Alt 1 as baseline</w:t>
            </w:r>
          </w:p>
        </w:tc>
      </w:tr>
    </w:tbl>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lastRenderedPageBreak/>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w:t>
            </w:r>
            <w:r>
              <w:rPr>
                <w:lang w:eastAsia="zh-CN"/>
              </w:rPr>
              <w:lastRenderedPageBreak/>
              <w:t>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lastRenderedPageBreak/>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19120" w:type="dxa"/>
        <w:tblLook w:val="04A0" w:firstRow="1" w:lastRow="0" w:firstColumn="1" w:lastColumn="0" w:noHBand="0" w:noVBand="1"/>
      </w:tblPr>
      <w:tblGrid>
        <w:gridCol w:w="1288"/>
        <w:gridCol w:w="10188"/>
        <w:gridCol w:w="213"/>
        <w:gridCol w:w="7431"/>
      </w:tblGrid>
      <w:tr w:rsidR="003E29CC" w14:paraId="2F8702EA" w14:textId="77777777" w:rsidTr="00A42655">
        <w:trPr>
          <w:gridAfter w:val="1"/>
          <w:wAfter w:w="7431" w:type="dxa"/>
          <w:trHeight w:val="303"/>
        </w:trPr>
        <w:tc>
          <w:tcPr>
            <w:tcW w:w="1288" w:type="dxa"/>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10401" w:type="dxa"/>
            <w:gridSpan w:val="2"/>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A42655">
        <w:trPr>
          <w:gridAfter w:val="1"/>
          <w:wAfter w:w="7431" w:type="dxa"/>
          <w:trHeight w:val="175"/>
        </w:trPr>
        <w:tc>
          <w:tcPr>
            <w:tcW w:w="1288" w:type="dxa"/>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10401" w:type="dxa"/>
            <w:gridSpan w:val="2"/>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10401" w:type="dxa"/>
            <w:gridSpan w:val="2"/>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lastRenderedPageBreak/>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10401" w:type="dxa"/>
            <w:gridSpan w:val="2"/>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10401" w:type="dxa"/>
            <w:gridSpan w:val="2"/>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10401" w:type="dxa"/>
            <w:gridSpan w:val="2"/>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A42655">
        <w:tc>
          <w:tcPr>
            <w:tcW w:w="1288" w:type="dxa"/>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10401" w:type="dxa"/>
            <w:gridSpan w:val="2"/>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7431" w:type="dxa"/>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A42655">
        <w:tc>
          <w:tcPr>
            <w:tcW w:w="1288" w:type="dxa"/>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10401" w:type="dxa"/>
            <w:gridSpan w:val="2"/>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7431" w:type="dxa"/>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A42655">
        <w:trPr>
          <w:gridAfter w:val="2"/>
          <w:wAfter w:w="7644" w:type="dxa"/>
        </w:trPr>
        <w:tc>
          <w:tcPr>
            <w:tcW w:w="1288" w:type="dxa"/>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10188" w:type="dxa"/>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lastRenderedPageBreak/>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A42655">
        <w:trPr>
          <w:gridAfter w:val="2"/>
          <w:wAfter w:w="7644" w:type="dxa"/>
        </w:trPr>
        <w:tc>
          <w:tcPr>
            <w:tcW w:w="1288" w:type="dxa"/>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10188" w:type="dxa"/>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A60E22">
        <w:trPr>
          <w:gridAfter w:val="2"/>
          <w:wAfter w:w="7644" w:type="dxa"/>
        </w:trPr>
        <w:tc>
          <w:tcPr>
            <w:tcW w:w="1288" w:type="dxa"/>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0B7A87">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10188" w:type="dxa"/>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0B7A87">
            <w:pPr>
              <w:pStyle w:val="affa"/>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0B7A87">
            <w:pPr>
              <w:pStyle w:val="affa"/>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 xml:space="preserve">.02 should be also added in the list, considering it presents the power of </w:t>
            </w:r>
            <w:proofErr w:type="gramStart"/>
            <w:r w:rsidRPr="00A60E22">
              <w:rPr>
                <w:rFonts w:eastAsia="宋体"/>
                <w:lang w:eastAsia="zh-CN"/>
              </w:rPr>
              <w:t>sequence based</w:t>
            </w:r>
            <w:proofErr w:type="gramEnd"/>
            <w:r w:rsidRPr="00A60E22">
              <w:rPr>
                <w:rFonts w:eastAsia="宋体"/>
                <w:lang w:eastAsia="zh-CN"/>
              </w:rPr>
              <w:t xml:space="preserve"> correlation;</w:t>
            </w:r>
          </w:p>
          <w:p w14:paraId="17FB4212" w14:textId="77777777" w:rsidR="00A60E22" w:rsidRPr="00A60E22" w:rsidRDefault="00A60E22" w:rsidP="000B7A87">
            <w:pPr>
              <w:pStyle w:val="affa"/>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0B7A87">
            <w:pPr>
              <w:pStyle w:val="affa"/>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bl>
    <w:p w14:paraId="51690334" w14:textId="77777777" w:rsidR="003E29CC" w:rsidRPr="00A60E22" w:rsidRDefault="003E29CC">
      <w:pPr>
        <w:rPr>
          <w:lang w:eastAsia="zh-CN"/>
        </w:rPr>
      </w:pPr>
    </w:p>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lastRenderedPageBreak/>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lastRenderedPageBreak/>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DE0D08">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0B7A87">
            <w:pPr>
              <w:spacing w:after="0" w:line="240" w:lineRule="auto"/>
              <w:rPr>
                <w:szCs w:val="22"/>
                <w:lang w:eastAsia="zh-CN"/>
              </w:rPr>
            </w:pPr>
            <w:r w:rsidRPr="00A60E22">
              <w:rPr>
                <w:rFonts w:hint="eastAsia"/>
                <w:szCs w:val="22"/>
                <w:lang w:eastAsia="zh-CN"/>
              </w:rPr>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0B7A87">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bl>
    <w:p w14:paraId="47FC6047" w14:textId="77777777" w:rsidR="003E29CC" w:rsidRPr="00A60E22" w:rsidRDefault="003E29CC">
      <w:pPr>
        <w:rPr>
          <w:b/>
          <w:lang w:eastAsia="zh-CN"/>
        </w:rPr>
      </w:pPr>
    </w:p>
    <w:p w14:paraId="38066726" w14:textId="77777777" w:rsidR="003E29CC" w:rsidRDefault="00867B11">
      <w:pPr>
        <w:pStyle w:val="4"/>
        <w:numPr>
          <w:ilvl w:val="0"/>
          <w:numId w:val="0"/>
        </w:numPr>
        <w:ind w:left="864" w:hanging="864"/>
        <w:rPr>
          <w:highlight w:val="yellow"/>
          <w:lang w:eastAsia="zh-CN"/>
        </w:rPr>
      </w:pPr>
      <w:r>
        <w:rPr>
          <w:lang w:eastAsia="zh-CN"/>
        </w:rPr>
        <w:lastRenderedPageBreak/>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14" w:name="_Ref131607979"/>
            <w:r>
              <w:t xml:space="preserve">Figure </w:t>
            </w:r>
            <w:r w:rsidR="009D324A">
              <w:fldChar w:fldCharType="begin"/>
            </w:r>
            <w:r w:rsidR="009D324A">
              <w:instrText xml:space="preserve"> SEQ Figure \* ARABIC </w:instrText>
            </w:r>
            <w:r w:rsidR="009D324A">
              <w:fldChar w:fldCharType="separate"/>
            </w:r>
            <w:r>
              <w:t>21</w:t>
            </w:r>
            <w:r w:rsidR="009D324A">
              <w:fldChar w:fldCharType="end"/>
            </w:r>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lastRenderedPageBreak/>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lastRenderedPageBreak/>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proofErr w:type="gramStart"/>
            <w:r w:rsidRPr="00A15259">
              <w:rPr>
                <w:rFonts w:eastAsia="宋体"/>
                <w:lang w:eastAsia="zh-CN"/>
              </w:rPr>
              <w:t xml:space="preserve">{ </w:t>
            </w:r>
            <w:r w:rsidRPr="00A15259">
              <w:rPr>
                <w:rFonts w:eastAsia="宋体" w:hint="eastAsia"/>
                <w:lang w:eastAsia="zh-CN"/>
              </w:rPr>
              <w:t>320</w:t>
            </w:r>
            <w:proofErr w:type="gramEnd"/>
            <w:r w:rsidRPr="00A15259">
              <w:rPr>
                <w:rFonts w:eastAsia="宋体" w:hint="eastAsia"/>
                <w:lang w:eastAsia="zh-CN"/>
              </w:rPr>
              <w:t>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DE0D08">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0B7A87">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0B7A87">
            <w:pPr>
              <w:spacing w:after="0" w:line="240" w:lineRule="auto"/>
              <w:rPr>
                <w:szCs w:val="22"/>
                <w:lang w:eastAsia="zh-CN"/>
              </w:rPr>
            </w:pPr>
            <w:r w:rsidRPr="00A60E22">
              <w:rPr>
                <w:szCs w:val="22"/>
                <w:lang w:eastAsia="zh-CN"/>
              </w:rPr>
              <w:t xml:space="preserve">Regarding the periodicity of SSB, we prefer not to include in this proposal, considering </w:t>
            </w:r>
            <w:proofErr w:type="gramStart"/>
            <w:r w:rsidRPr="00A60E22">
              <w:rPr>
                <w:szCs w:val="22"/>
                <w:lang w:eastAsia="zh-CN"/>
              </w:rPr>
              <w:t>this focuses</w:t>
            </w:r>
            <w:proofErr w:type="gramEnd"/>
            <w:r w:rsidRPr="00A60E22">
              <w:rPr>
                <w:szCs w:val="22"/>
                <w:lang w:eastAsia="zh-CN"/>
              </w:rPr>
              <w:t xml:space="preserve"> on the assumed periodicity of LP-SS signal. For the use of SSB, it is up to companies' report considering SSB periodicity exists in legacy NR system and no need to agree it in this proposal for the Low power synchronization signal.</w:t>
            </w:r>
          </w:p>
        </w:tc>
      </w:tr>
    </w:tbl>
    <w:p w14:paraId="3639B4CB" w14:textId="77777777" w:rsidR="003E29CC" w:rsidRPr="00A60E22" w:rsidRDefault="003E29CC">
      <w:pPr>
        <w:rPr>
          <w:lang w:eastAsia="zh-CN"/>
        </w:rPr>
      </w:pPr>
    </w:p>
    <w:p w14:paraId="5ED9AB62" w14:textId="77777777" w:rsidR="003E29CC" w:rsidRDefault="003E29CC">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affa"/>
              <w:numPr>
                <w:ilvl w:val="0"/>
                <w:numId w:val="52"/>
              </w:numPr>
              <w:rPr>
                <w:lang w:eastAsia="zh-CN"/>
              </w:rPr>
            </w:pPr>
            <w:r>
              <w:rPr>
                <w:bCs/>
                <w:i/>
                <w:iCs/>
                <w:lang w:eastAsia="ja-JP"/>
              </w:rPr>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lastRenderedPageBreak/>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DE0D08">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0B7A87">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0B7A87">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lastRenderedPageBreak/>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lastRenderedPageBreak/>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lastRenderedPageBreak/>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lastRenderedPageBreak/>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w:t>
            </w:r>
            <w:r>
              <w:rPr>
                <w:szCs w:val="22"/>
                <w:lang w:eastAsia="zh-CN"/>
              </w:rPr>
              <w:lastRenderedPageBreak/>
              <w:t>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DE0D08">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0B7A87">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0B7A87">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proofErr w:type="gramStart"/>
            <w:r w:rsidRPr="00A60E22">
              <w:rPr>
                <w:szCs w:val="22"/>
                <w:lang w:eastAsia="zh-CN"/>
              </w:rPr>
              <w:t>a</w:t>
            </w:r>
            <w:proofErr w:type="spellEnd"/>
            <w:proofErr w:type="gramEnd"/>
            <w:r w:rsidRPr="00A60E22">
              <w:rPr>
                <w:szCs w:val="22"/>
                <w:lang w:eastAsia="zh-CN"/>
              </w:rPr>
              <w:t xml:space="preserve"> evaluation target or not? </w:t>
            </w:r>
          </w:p>
          <w:p w14:paraId="4B98605D" w14:textId="77777777" w:rsidR="00A60E22" w:rsidRPr="00A60E22" w:rsidRDefault="00A60E22" w:rsidP="000B7A87">
            <w:pPr>
              <w:spacing w:after="0" w:line="240" w:lineRule="auto"/>
              <w:rPr>
                <w:szCs w:val="22"/>
                <w:lang w:eastAsia="zh-CN"/>
              </w:rPr>
            </w:pPr>
            <w:r w:rsidRPr="00A60E22">
              <w:rPr>
                <w:szCs w:val="22"/>
                <w:lang w:eastAsia="zh-CN"/>
              </w:rPr>
              <w:t>If not, why we need to it?</w:t>
            </w: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w:t>
            </w:r>
            <w:proofErr w:type="gramStart"/>
            <w:r>
              <w:rPr>
                <w:rFonts w:eastAsia="等线"/>
                <w:b/>
                <w:lang w:val="en-GB"/>
              </w:rPr>
              <w:t>0.5 unit</w:t>
            </w:r>
            <w:proofErr w:type="gramEnd"/>
            <w:r>
              <w:rPr>
                <w:rFonts w:eastAsia="等线"/>
                <w:b/>
                <w:lang w:val="en-GB"/>
              </w:rPr>
              <w:t>,</w:t>
            </w:r>
            <w:bookmarkEnd w:id="50"/>
            <w:r>
              <w:rPr>
                <w:rFonts w:eastAsia="等线"/>
                <w:b/>
                <w:lang w:val="en-GB"/>
              </w:rPr>
              <w:t xml:space="preserve"> substantial power saving gain e.g., up to 80% can be achieved.</w:t>
            </w:r>
            <w:bookmarkEnd w:id="51"/>
          </w:p>
          <w:p w14:paraId="1E2AA492" w14:textId="77777777" w:rsidR="003E29CC" w:rsidRDefault="00867B11">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77777777" w:rsidR="003E29CC" w:rsidRDefault="00867B11">
      <w:pPr>
        <w:snapToGrid w:val="0"/>
        <w:spacing w:line="240" w:lineRule="auto"/>
        <w:rPr>
          <w:b/>
          <w:lang w:eastAsia="zh-CN"/>
        </w:rPr>
      </w:pPr>
      <w:r>
        <w:rPr>
          <w:b/>
        </w:rPr>
        <w:t xml:space="preserve">Huawei </w:t>
      </w:r>
      <w:r>
        <w:t>propose to use PUSCH or Msg3, as the reference for coverage evaluation of LP-WUS.</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w:t>
            </w:r>
            <w:r>
              <w:lastRenderedPageBreak/>
              <w:t xml:space="preserve">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lastRenderedPageBreak/>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gramStart"/>
            <w:r>
              <w:rPr>
                <w:rFonts w:eastAsiaTheme="minorEastAsia"/>
                <w:lang w:eastAsia="zh-CN"/>
              </w:rPr>
              <w:t>PUSCH,and</w:t>
            </w:r>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affa"/>
              <w:numPr>
                <w:ilvl w:val="0"/>
                <w:numId w:val="65"/>
              </w:numPr>
              <w:spacing w:line="240" w:lineRule="auto"/>
              <w:rPr>
                <w:lang w:eastAsia="zh-CN"/>
              </w:rPr>
            </w:pPr>
            <w:r>
              <w:rPr>
                <w:rFonts w:eastAsiaTheme="minorEastAsia"/>
                <w:lang w:eastAsia="zh-CN"/>
              </w:rPr>
              <w:lastRenderedPageBreak/>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w:t>
            </w:r>
            <w:proofErr w:type="gramStart"/>
            <w:r>
              <w:rPr>
                <w:lang w:eastAsia="zh-CN"/>
              </w:rPr>
              <w:t>seem</w:t>
            </w:r>
            <w:proofErr w:type="gramEnd"/>
            <w:r>
              <w:rPr>
                <w:lang w:eastAsia="zh-CN"/>
              </w:rPr>
              <w:t xml:space="preserve">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DE0D08">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0B7A87">
            <w:pPr>
              <w:spacing w:after="0" w:line="240" w:lineRule="auto"/>
              <w:jc w:val="center"/>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0B7A87">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bookmarkStart w:id="61" w:name="_GoBack"/>
            <w:bookmarkEnd w:id="61"/>
          </w:p>
        </w:tc>
      </w:tr>
    </w:tbl>
    <w:p w14:paraId="523BA24C" w14:textId="77777777" w:rsidR="003E29CC" w:rsidRDefault="003E29CC">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7777777" w:rsidR="003E29CC" w:rsidRDefault="00867B11">
      <w:pPr>
        <w:pStyle w:val="1"/>
        <w:rPr>
          <w:sz w:val="44"/>
          <w:lang w:eastAsia="zh-CN"/>
        </w:rPr>
      </w:pPr>
      <w:r>
        <w:rPr>
          <w:sz w:val="44"/>
          <w:lang w:eastAsia="zh-CN"/>
        </w:rPr>
        <w:t>void</w:t>
      </w:r>
    </w:p>
    <w:p w14:paraId="5D99D7D0" w14:textId="77777777" w:rsidR="003E29CC" w:rsidRDefault="00867B11">
      <w:pPr>
        <w:pStyle w:val="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lastRenderedPageBreak/>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lastRenderedPageBreak/>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Note 2: the power state transitions in this table refer to transitions between ultra deep sleep state and active / micro sleep state.</w:t>
      </w:r>
    </w:p>
    <w:p w14:paraId="007ECBFC" w14:textId="77777777" w:rsidR="003E29CC" w:rsidRDefault="00867B11">
      <w:pPr>
        <w:pStyle w:val="affa"/>
        <w:ind w:left="0"/>
      </w:pPr>
      <w:r>
        <w:t>Note 3: The values inside of ‘</w:t>
      </w:r>
      <w:proofErr w:type="gramStart"/>
      <w:r>
        <w:t>[ ]</w:t>
      </w:r>
      <w:proofErr w:type="gramEnd"/>
      <w:r>
        <w:t>’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lastRenderedPageBreak/>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proofErr w:type="gramStart"/>
      <w:r>
        <w:t>Options :</w:t>
      </w:r>
      <w:proofErr w:type="gramEnd"/>
      <w:r>
        <w:t xml:space="preserve">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lastRenderedPageBreak/>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lastRenderedPageBreak/>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lastRenderedPageBreak/>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lastRenderedPageBreak/>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lastRenderedPageBreak/>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lastRenderedPageBreak/>
        <w:t>IoT cases including e.g., industrial wireless sensors, controllers, actuators and etc,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lastRenderedPageBreak/>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lastRenderedPageBreak/>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proofErr w:type="gramStart"/>
            <w:r>
              <w:t>OOK ,</w:t>
            </w:r>
            <w:proofErr w:type="gramEnd"/>
            <w:r>
              <w:t xml:space="preserve">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lastRenderedPageBreak/>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w:t>
            </w:r>
            <w:proofErr w:type="gramStart"/>
            <w:r>
              <w:t>i.e.{</w:t>
            </w:r>
            <w:proofErr w:type="gramEnd"/>
            <w:r>
              <w:t>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lastRenderedPageBreak/>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w:t>
      </w:r>
      <w:proofErr w:type="gramStart"/>
      <w:r>
        <w:t>( F</w:t>
      </w:r>
      <w:proofErr w:type="gramEnd"/>
      <w:r>
        <w:t>’)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w:t>
      </w:r>
      <w:proofErr w:type="gramStart"/>
      <w:r>
        <w:t>2301558][</w:t>
      </w:r>
      <w:proofErr w:type="gramEnd"/>
      <w:r>
        <w:t>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lastRenderedPageBreak/>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t>SID</w:t>
      </w:r>
    </w:p>
    <w:p w14:paraId="0EDFB537" w14:textId="77777777" w:rsidR="003E29CC" w:rsidRDefault="009D324A">
      <w:pPr>
        <w:rPr>
          <w:rFonts w:eastAsia="Batang"/>
          <w:lang w:eastAsia="zh-CN"/>
        </w:rPr>
      </w:pPr>
      <w:hyperlink r:id="rId17"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62" w:name="_Toc529948048"/>
      <w:bookmarkEnd w:id="47"/>
      <w:r>
        <w:rPr>
          <w:sz w:val="44"/>
        </w:rPr>
        <w:t>Reference</w:t>
      </w:r>
      <w:bookmarkEnd w:id="62"/>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lastRenderedPageBreak/>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978EB" w14:textId="77777777" w:rsidR="009D324A" w:rsidRDefault="009D324A">
      <w:pPr>
        <w:spacing w:after="0" w:line="240" w:lineRule="auto"/>
      </w:pPr>
      <w:r>
        <w:separator/>
      </w:r>
    </w:p>
  </w:endnote>
  <w:endnote w:type="continuationSeparator" w:id="0">
    <w:p w14:paraId="6FFBA463" w14:textId="77777777" w:rsidR="009D324A" w:rsidRDefault="009D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Malgun Gothic"/>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77777777" w:rsidR="00A15259" w:rsidRDefault="00A15259">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39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53</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298F0" w14:textId="77777777" w:rsidR="009D324A" w:rsidRDefault="009D324A">
      <w:pPr>
        <w:spacing w:after="0" w:line="240" w:lineRule="auto"/>
      </w:pPr>
      <w:r>
        <w:separator/>
      </w:r>
    </w:p>
  </w:footnote>
  <w:footnote w:type="continuationSeparator" w:id="0">
    <w:p w14:paraId="2241656F" w14:textId="77777777" w:rsidR="009D324A" w:rsidRDefault="009D3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1"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6"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7"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5"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6"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8"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9"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8"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1"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3"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5"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4"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45"/>
  </w:num>
  <w:num w:numId="3">
    <w:abstractNumId w:val="23"/>
  </w:num>
  <w:num w:numId="4">
    <w:abstractNumId w:val="30"/>
  </w:num>
  <w:num w:numId="5">
    <w:abstractNumId w:val="72"/>
  </w:num>
  <w:num w:numId="6">
    <w:abstractNumId w:val="82"/>
  </w:num>
  <w:num w:numId="7">
    <w:abstractNumId w:val="47"/>
  </w:num>
  <w:num w:numId="8">
    <w:abstractNumId w:val="80"/>
  </w:num>
  <w:num w:numId="9">
    <w:abstractNumId w:val="37"/>
  </w:num>
  <w:num w:numId="10">
    <w:abstractNumId w:val="15"/>
  </w:num>
  <w:num w:numId="11">
    <w:abstractNumId w:val="31"/>
  </w:num>
  <w:num w:numId="12">
    <w:abstractNumId w:val="88"/>
  </w:num>
  <w:num w:numId="13">
    <w:abstractNumId w:val="0"/>
  </w:num>
  <w:num w:numId="14">
    <w:abstractNumId w:val="64"/>
  </w:num>
  <w:num w:numId="15">
    <w:abstractNumId w:val="74"/>
  </w:num>
  <w:num w:numId="16">
    <w:abstractNumId w:val="55"/>
  </w:num>
  <w:num w:numId="17">
    <w:abstractNumId w:val="87"/>
  </w:num>
  <w:num w:numId="18">
    <w:abstractNumId w:val="4"/>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2"/>
  </w:num>
  <w:num w:numId="20">
    <w:abstractNumId w:val="77"/>
  </w:num>
  <w:num w:numId="21">
    <w:abstractNumId w:val="19"/>
  </w:num>
  <w:num w:numId="22">
    <w:abstractNumId w:val="20"/>
  </w:num>
  <w:num w:numId="23">
    <w:abstractNumId w:val="22"/>
  </w:num>
  <w:num w:numId="24">
    <w:abstractNumId w:val="61"/>
  </w:num>
  <w:num w:numId="25">
    <w:abstractNumId w:val="86"/>
  </w:num>
  <w:num w:numId="26">
    <w:abstractNumId w:val="49"/>
  </w:num>
  <w:num w:numId="27">
    <w:abstractNumId w:val="33"/>
  </w:num>
  <w:num w:numId="28">
    <w:abstractNumId w:val="40"/>
  </w:num>
  <w:num w:numId="29">
    <w:abstractNumId w:val="84"/>
  </w:num>
  <w:num w:numId="30">
    <w:abstractNumId w:val="28"/>
  </w:num>
  <w:num w:numId="31">
    <w:abstractNumId w:val="10"/>
  </w:num>
  <w:num w:numId="32">
    <w:abstractNumId w:val="16"/>
  </w:num>
  <w:num w:numId="33">
    <w:abstractNumId w:val="48"/>
  </w:num>
  <w:num w:numId="34">
    <w:abstractNumId w:val="70"/>
  </w:num>
  <w:num w:numId="35">
    <w:abstractNumId w:val="17"/>
  </w:num>
  <w:num w:numId="36">
    <w:abstractNumId w:val="59"/>
  </w:num>
  <w:num w:numId="37">
    <w:abstractNumId w:val="44"/>
  </w:num>
  <w:num w:numId="38">
    <w:abstractNumId w:val="53"/>
  </w:num>
  <w:num w:numId="39">
    <w:abstractNumId w:val="18"/>
  </w:num>
  <w:num w:numId="40">
    <w:abstractNumId w:val="83"/>
  </w:num>
  <w:num w:numId="41">
    <w:abstractNumId w:val="76"/>
  </w:num>
  <w:num w:numId="42">
    <w:abstractNumId w:val="9"/>
  </w:num>
  <w:num w:numId="43">
    <w:abstractNumId w:val="85"/>
  </w:num>
  <w:num w:numId="44">
    <w:abstractNumId w:val="35"/>
  </w:num>
  <w:num w:numId="45">
    <w:abstractNumId w:val="2"/>
  </w:num>
  <w:num w:numId="46">
    <w:abstractNumId w:val="41"/>
  </w:num>
  <w:num w:numId="47">
    <w:abstractNumId w:val="54"/>
  </w:num>
  <w:num w:numId="48">
    <w:abstractNumId w:val="8"/>
  </w:num>
  <w:num w:numId="49">
    <w:abstractNumId w:val="81"/>
  </w:num>
  <w:num w:numId="50">
    <w:abstractNumId w:val="11"/>
  </w:num>
  <w:num w:numId="51">
    <w:abstractNumId w:val="58"/>
  </w:num>
  <w:num w:numId="52">
    <w:abstractNumId w:val="67"/>
  </w:num>
  <w:num w:numId="53">
    <w:abstractNumId w:val="50"/>
  </w:num>
  <w:num w:numId="54">
    <w:abstractNumId w:val="75"/>
  </w:num>
  <w:num w:numId="55">
    <w:abstractNumId w:val="6"/>
  </w:num>
  <w:num w:numId="56">
    <w:abstractNumId w:val="38"/>
  </w:num>
  <w:num w:numId="57">
    <w:abstractNumId w:val="32"/>
  </w:num>
  <w:num w:numId="58">
    <w:abstractNumId w:val="21"/>
  </w:num>
  <w:num w:numId="59">
    <w:abstractNumId w:val="57"/>
  </w:num>
  <w:num w:numId="60">
    <w:abstractNumId w:val="7"/>
  </w:num>
  <w:num w:numId="61">
    <w:abstractNumId w:val="42"/>
  </w:num>
  <w:num w:numId="62">
    <w:abstractNumId w:val="79"/>
  </w:num>
  <w:num w:numId="63">
    <w:abstractNumId w:val="52"/>
  </w:num>
  <w:num w:numId="64">
    <w:abstractNumId w:val="63"/>
  </w:num>
  <w:num w:numId="65">
    <w:abstractNumId w:val="3"/>
  </w:num>
  <w:num w:numId="66">
    <w:abstractNumId w:val="66"/>
  </w:num>
  <w:num w:numId="67">
    <w:abstractNumId w:val="34"/>
  </w:num>
  <w:num w:numId="68">
    <w:abstractNumId w:val="25"/>
  </w:num>
  <w:num w:numId="69">
    <w:abstractNumId w:val="51"/>
  </w:num>
  <w:num w:numId="70">
    <w:abstractNumId w:val="68"/>
  </w:num>
  <w:num w:numId="71">
    <w:abstractNumId w:val="71"/>
  </w:num>
  <w:num w:numId="72">
    <w:abstractNumId w:val="43"/>
  </w:num>
  <w:num w:numId="73">
    <w:abstractNumId w:val="29"/>
  </w:num>
  <w:num w:numId="74">
    <w:abstractNumId w:val="73"/>
  </w:num>
  <w:num w:numId="75">
    <w:abstractNumId w:val="36"/>
  </w:num>
  <w:num w:numId="76">
    <w:abstractNumId w:val="13"/>
  </w:num>
  <w:num w:numId="77">
    <w:abstractNumId w:val="26"/>
  </w:num>
  <w:num w:numId="78">
    <w:abstractNumId w:val="60"/>
  </w:num>
  <w:num w:numId="79">
    <w:abstractNumId w:val="14"/>
  </w:num>
  <w:num w:numId="80">
    <w:abstractNumId w:val="65"/>
  </w:num>
  <w:num w:numId="81">
    <w:abstractNumId w:val="62"/>
  </w:num>
  <w:num w:numId="82">
    <w:abstractNumId w:val="39"/>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num>
  <w:num w:numId="85">
    <w:abstractNumId w:val="78"/>
  </w:num>
  <w:num w:numId="86">
    <w:abstractNumId w:val="69"/>
  </w:num>
  <w:num w:numId="87">
    <w:abstractNumId w:val="24"/>
  </w:num>
  <w:num w:numId="88">
    <w:abstractNumId w:val="46"/>
  </w:num>
  <w:num w:numId="89">
    <w:abstractNumId w:val="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C9528D-80F3-463D-99FE-C473A8C0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20136</Words>
  <Characters>116789</Characters>
  <Application>Microsoft Office Word</Application>
  <DocSecurity>0</DocSecurity>
  <Lines>14598</Lines>
  <Paragraphs>8557</Paragraphs>
  <ScaleCrop>false</ScaleCrop>
  <Company>vivo</Company>
  <LinksUpToDate>false</LinksUpToDate>
  <CharactersWithSpaces>128368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Xiaolei TIE</cp:lastModifiedBy>
  <cp:revision>3</cp:revision>
  <cp:lastPrinted>2020-10-27T09:39:00Z</cp:lastPrinted>
  <dcterms:created xsi:type="dcterms:W3CDTF">2023-04-20T14:13:00Z</dcterms:created>
  <dcterms:modified xsi:type="dcterms:W3CDTF">2023-04-20T14:17:00Z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