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4D410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4D410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4D410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4D410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4D410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4D410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4D410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4D410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4D410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4D410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4D410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4D410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4D410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4D410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4D410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4D410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4D410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4D410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4D410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4D410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4D410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4D410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4D410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4D410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4D410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4D410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4D410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4D410C">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4D410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pt;height:60.15pt;mso-width-percent:0;mso-height-percent:0;mso-width-percent:0;mso-height-percent:0" o:ole="">
                  <v:imagedata r:id="rId14" o:title=""/>
                </v:shape>
                <o:OLEObject Type="Embed" ProgID="Equation.3" ShapeID="_x0000_i1025" DrawAspect="Content" ObjectID="_1743879878"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6" type="#_x0000_t75" alt="" style="width:198.6pt;height:45.9pt;mso-width-percent:0;mso-height-percent:0;mso-width-percent:0;mso-height-percent:0" o:ole="">
                  <v:imagedata r:id="rId16" o:title=""/>
                </v:shape>
                <o:OLEObject Type="Embed" ProgID="Visio.Drawing.15" ShapeID="_x0000_i1026" DrawAspect="Content" ObjectID="_1743879879"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A44A2E">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A44A2E">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A44A2E">
            <w:pPr>
              <w:spacing w:after="0" w:line="240" w:lineRule="auto"/>
              <w:contextualSpacing/>
              <w:rPr>
                <w:bCs/>
                <w:lang w:eastAsia="zh-CN"/>
              </w:rPr>
            </w:pPr>
          </w:p>
          <w:p w14:paraId="75A1F195" w14:textId="77777777" w:rsidR="00942764" w:rsidRDefault="000F41AB" w:rsidP="00A44A2E">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A44A2E">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A44A2E">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A44A2E">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A44A2E">
            <w:pPr>
              <w:spacing w:after="0" w:line="240" w:lineRule="auto"/>
              <w:contextualSpacing/>
              <w:rPr>
                <w:bCs/>
                <w:lang w:eastAsia="zh-CN"/>
              </w:rPr>
            </w:pPr>
          </w:p>
          <w:p w14:paraId="6756CE8B" w14:textId="453AE3B2" w:rsidR="00444EE0" w:rsidRDefault="00444EE0" w:rsidP="00A44A2E">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A44A2E">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A44A2E">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A44A2E">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A44A2E">
            <w:pPr>
              <w:spacing w:after="0" w:line="240" w:lineRule="auto"/>
              <w:contextualSpacing/>
              <w:rPr>
                <w:bCs/>
                <w:lang w:eastAsia="zh-CN"/>
              </w:rPr>
            </w:pPr>
          </w:p>
          <w:p w14:paraId="34BB2D5C" w14:textId="62D49DD7" w:rsidR="000F41AB" w:rsidRDefault="000F41AB" w:rsidP="00A44A2E">
            <w:pPr>
              <w:spacing w:after="0" w:line="240" w:lineRule="auto"/>
              <w:contextualSpacing/>
              <w:rPr>
                <w:bCs/>
                <w:lang w:eastAsia="zh-CN"/>
              </w:rPr>
            </w:pPr>
            <w:r>
              <w:rPr>
                <w:bCs/>
                <w:lang w:eastAsia="zh-CN"/>
              </w:rPr>
              <w:t>P3.6: support</w:t>
            </w:r>
          </w:p>
        </w:tc>
      </w:tr>
      <w:tr w:rsidR="002B05F0" w:rsidRPr="00B23A37" w14:paraId="0EBEFF07" w14:textId="77777777" w:rsidTr="00290028">
        <w:trPr>
          <w:trHeight w:val="224"/>
        </w:trPr>
        <w:tc>
          <w:tcPr>
            <w:tcW w:w="2070" w:type="dxa"/>
          </w:tcPr>
          <w:p w14:paraId="71046910" w14:textId="1AC60B8C" w:rsidR="002B05F0" w:rsidRDefault="002B05F0" w:rsidP="00A44A2E">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A44A2E">
            <w:pPr>
              <w:spacing w:after="0" w:line="240" w:lineRule="auto"/>
              <w:contextualSpacing/>
              <w:rPr>
                <w:bCs/>
                <w:lang w:eastAsia="zh-CN"/>
              </w:rPr>
            </w:pPr>
            <w:r>
              <w:rPr>
                <w:bCs/>
                <w:lang w:eastAsia="zh-CN"/>
              </w:rPr>
              <w:t>Proposal 3.1: Support</w:t>
            </w:r>
          </w:p>
          <w:p w14:paraId="00E61EF2" w14:textId="77777777" w:rsidR="002B05F0" w:rsidRDefault="002B05F0" w:rsidP="00A44A2E">
            <w:pPr>
              <w:spacing w:after="0" w:line="240" w:lineRule="auto"/>
              <w:contextualSpacing/>
              <w:rPr>
                <w:bCs/>
                <w:lang w:eastAsia="zh-CN"/>
              </w:rPr>
            </w:pPr>
          </w:p>
          <w:p w14:paraId="7E7C4A68" w14:textId="16466B56" w:rsidR="002B05F0" w:rsidRDefault="002B05F0" w:rsidP="00A44A2E">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A44A2E">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r w:rsidR="00A40607" w:rsidRPr="00EF23D7">
              <w:rPr>
                <w:rStyle w:val="Emphasis"/>
                <w:rFonts w:eastAsia="Times New Roman"/>
                <w:strike/>
                <w:highlight w:val="yellow"/>
              </w:rPr>
              <w:t>The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A44A2E">
            <w:pPr>
              <w:spacing w:after="0" w:line="240" w:lineRule="auto"/>
              <w:contextualSpacing/>
              <w:rPr>
                <w:bCs/>
                <w:lang w:eastAsia="zh-CN"/>
              </w:rPr>
            </w:pPr>
          </w:p>
          <w:p w14:paraId="2D91293D" w14:textId="5174B8AD" w:rsidR="00EF23D7" w:rsidRDefault="00EF23D7" w:rsidP="00A44A2E">
            <w:pPr>
              <w:spacing w:after="0" w:line="240" w:lineRule="auto"/>
              <w:contextualSpacing/>
              <w:rPr>
                <w:bCs/>
                <w:lang w:eastAsia="zh-CN"/>
              </w:rPr>
            </w:pPr>
            <w:r>
              <w:rPr>
                <w:bCs/>
                <w:lang w:eastAsia="zh-CN"/>
              </w:rPr>
              <w:t>Proposal 3.6: okay</w:t>
            </w:r>
          </w:p>
          <w:p w14:paraId="05DDB5D8" w14:textId="77777777" w:rsidR="00EF23D7" w:rsidRDefault="00EF23D7" w:rsidP="00A44A2E">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290028">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290028">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Emphasis"/>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Emphasis"/>
                <w:rFonts w:eastAsia="Times New Roman"/>
                <w:i w:val="0"/>
                <w:iCs w:val="0"/>
              </w:rPr>
            </w:pPr>
            <w:r w:rsidRPr="0031480B">
              <w:rPr>
                <w:rStyle w:val="Emphasis"/>
                <w:rFonts w:eastAsia="Times New Roman"/>
              </w:rPr>
              <w:t xml:space="preserve">The following rank and layer splitting cases </w:t>
            </w:r>
            <w:r w:rsidRPr="006F6643">
              <w:rPr>
                <w:rStyle w:val="Emphasis"/>
                <w:rFonts w:eastAsia="Times New Roman"/>
                <w:color w:val="00B050"/>
                <w:u w:val="single"/>
              </w:rPr>
              <w:t>or subsets thereof</w:t>
            </w:r>
            <w:r w:rsidRPr="006F6643">
              <w:rPr>
                <w:rStyle w:val="Emphasis"/>
                <w:rFonts w:eastAsia="Times New Roman"/>
                <w:color w:val="00B050"/>
              </w:rPr>
              <w:t xml:space="preserve"> </w:t>
            </w:r>
            <w:r w:rsidRPr="0031480B">
              <w:rPr>
                <w:rStyle w:val="Emphasis"/>
                <w:rFonts w:eastAsia="Times New Roman"/>
              </w:rPr>
              <w:t>are supported</w:t>
            </w:r>
            <w:r>
              <w:rPr>
                <w:rStyle w:val="Emphasis"/>
                <w:rFonts w:eastAsia="Times New Roman"/>
              </w:rPr>
              <w:t xml:space="preserve"> </w:t>
            </w:r>
            <w:r w:rsidRPr="00091271">
              <w:rPr>
                <w:rStyle w:val="Emphasis"/>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Emphasis"/>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color w:val="00B050"/>
                <w:u w:val="single"/>
              </w:rPr>
              <w:t>F</w:t>
            </w:r>
            <w:r w:rsidRPr="00091271">
              <w:rPr>
                <w:rStyle w:val="Emphasis"/>
                <w:rFonts w:eastAsia="Times New Roman"/>
                <w:color w:val="00B050"/>
                <w:u w:val="single"/>
              </w:rPr>
              <w:t>or ranks 5, 6, and 7</w:t>
            </w:r>
            <w:r>
              <w:rPr>
                <w:rStyle w:val="Emphasis"/>
                <w:rFonts w:eastAsia="Times New Roman"/>
                <w:color w:val="00B050"/>
                <w:u w:val="single"/>
              </w:rPr>
              <w:t>, s</w:t>
            </w:r>
            <w:r w:rsidRPr="00091271">
              <w:rPr>
                <w:rStyle w:val="Emphasis"/>
                <w:rFonts w:eastAsia="Times New Roman"/>
                <w:color w:val="00B050"/>
                <w:u w:val="single"/>
              </w:rPr>
              <w:t>ubsets of</w:t>
            </w:r>
            <w:r>
              <w:rPr>
                <w:rStyle w:val="Emphasis"/>
                <w:rFonts w:eastAsia="Times New Roman"/>
                <w:color w:val="00B050"/>
                <w:u w:val="single"/>
              </w:rPr>
              <w:t xml:space="preserve"> the</w:t>
            </w:r>
            <w:r w:rsidRPr="00091271">
              <w:rPr>
                <w:rStyle w:val="Emphasis"/>
                <w:rFonts w:eastAsia="Times New Roman"/>
                <w:color w:val="00B050"/>
              </w:rPr>
              <w:t xml:space="preserve"> </w:t>
            </w:r>
            <w:r>
              <w:rPr>
                <w:rStyle w:val="Emphasis"/>
                <w:rFonts w:eastAsia="Times New Roman"/>
              </w:rPr>
              <w:t>c</w:t>
            </w:r>
            <w:r w:rsidRPr="0031480B">
              <w:rPr>
                <w:rStyle w:val="Emphasis"/>
                <w:rFonts w:eastAsia="Times New Roman"/>
              </w:rPr>
              <w:t xml:space="preserve">ases presented </w:t>
            </w:r>
            <w:r w:rsidRPr="00091271">
              <w:rPr>
                <w:rStyle w:val="Emphasis"/>
                <w:rFonts w:eastAsia="Times New Roman"/>
                <w:strike/>
                <w:color w:val="00B050"/>
              </w:rPr>
              <w:t>in […]</w:t>
            </w:r>
            <w:r>
              <w:rPr>
                <w:rStyle w:val="Emphasis"/>
                <w:rFonts w:eastAsia="Times New Roman"/>
                <w:color w:val="00B050"/>
                <w:u w:val="single"/>
              </w:rPr>
              <w:t xml:space="preserve">are to be </w:t>
            </w:r>
            <w:r w:rsidRPr="00091271">
              <w:rPr>
                <w:rStyle w:val="Emphasis"/>
                <w:rFonts w:eastAsia="Times New Roman"/>
                <w:strike/>
                <w:color w:val="00B050"/>
              </w:rPr>
              <w:t>may be down</w:t>
            </w:r>
            <w:r w:rsidRPr="00091271">
              <w:rPr>
                <w:rStyle w:val="Emphasis"/>
                <w:rFonts w:eastAsia="Times New Roman"/>
                <w:color w:val="00B050"/>
              </w:rPr>
              <w:t>-</w:t>
            </w:r>
            <w:r>
              <w:rPr>
                <w:rStyle w:val="Emphasis"/>
                <w:rFonts w:eastAsia="Times New Roman"/>
                <w:color w:val="00B050"/>
              </w:rPr>
              <w:t xml:space="preserve"> </w:t>
            </w:r>
            <w:r w:rsidRPr="0031480B">
              <w:rPr>
                <w:rStyle w:val="Emphasis"/>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w:t>
            </w:r>
            <w:r>
              <w:lastRenderedPageBreak/>
              <w:t xml:space="preserve">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lastRenderedPageBreak/>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lastRenderedPageBreak/>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lastRenderedPageBreak/>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lastRenderedPageBreak/>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lastRenderedPageBreak/>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D07E81">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D07E81">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D07E81">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r>
              <w:rPr>
                <w:rFonts w:eastAsia="Times New Roman"/>
                <w:i/>
                <w:iCs/>
                <w:lang w:eastAsia="x-none"/>
              </w:rPr>
              <w:t xml:space="preserve"> </w:t>
            </w:r>
            <w:r w:rsidRPr="00091271">
              <w:rPr>
                <w:rFonts w:eastAsia="Times New Roman"/>
                <w:i/>
                <w:iCs/>
                <w:strike/>
                <w:color w:val="FF0000"/>
                <w:lang w:eastAsia="x-none"/>
              </w:rPr>
              <w:t>. If supported,</w:t>
            </w:r>
          </w:p>
          <w:p w14:paraId="57DF0CE0"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lastRenderedPageBreak/>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lastRenderedPageBreak/>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lastRenderedPageBreak/>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lastRenderedPageBreak/>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lastRenderedPageBreak/>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lastRenderedPageBreak/>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lastRenderedPageBreak/>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lastRenderedPageBreak/>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D07E81">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D07E81">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D07E81">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lastRenderedPageBreak/>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lastRenderedPageBreak/>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lastRenderedPageBreak/>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w:t>
            </w:r>
            <w:r>
              <w:rPr>
                <w:i/>
                <w:iCs/>
              </w:rPr>
              <w:lastRenderedPageBreak/>
              <w:t>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lastRenderedPageBreak/>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lastRenderedPageBreak/>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lastRenderedPageBreak/>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lastRenderedPageBreak/>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45pt;height:340.6pt;mso-width-percent:0;mso-height-percent:0;mso-width-percent:0;mso-height-percent:0" o:ole="">
                        <v:imagedata r:id="rId19" o:title=""/>
                      </v:shape>
                      <o:OLEObject Type="Embed" ProgID="Visio.Drawing.15" ShapeID="_x0000_i1027" DrawAspect="Content" ObjectID="_1743879880"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lastRenderedPageBreak/>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lastRenderedPageBreak/>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9pt;height:93.45pt;mso-width-percent:0;mso-height-percent:0;mso-width-percent:0;mso-height-percent:0" o:ole="">
                        <v:imagedata r:id="rId24" o:title=""/>
                      </v:shape>
                      <o:OLEObject Type="Embed" ProgID="Visio.Drawing.15" ShapeID="_x0000_i1028" DrawAspect="Content" ObjectID="_1743879881"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lastRenderedPageBreak/>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9976" w14:textId="77777777" w:rsidR="00576A27" w:rsidRDefault="00576A27">
      <w:pPr>
        <w:spacing w:after="0" w:line="240" w:lineRule="auto"/>
      </w:pPr>
      <w:r>
        <w:separator/>
      </w:r>
    </w:p>
  </w:endnote>
  <w:endnote w:type="continuationSeparator" w:id="0">
    <w:p w14:paraId="0A26FD39" w14:textId="77777777" w:rsidR="00576A27" w:rsidRDefault="00576A27">
      <w:pPr>
        <w:spacing w:after="0" w:line="240" w:lineRule="auto"/>
      </w:pPr>
      <w:r>
        <w:continuationSeparator/>
      </w:r>
    </w:p>
  </w:endnote>
  <w:endnote w:type="continuationNotice" w:id="1">
    <w:p w14:paraId="1D3429F2" w14:textId="77777777" w:rsidR="00576A27" w:rsidRDefault="0057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DB63" w14:textId="77777777" w:rsidR="00576A27" w:rsidRDefault="00576A27">
      <w:pPr>
        <w:spacing w:after="0" w:line="240" w:lineRule="auto"/>
      </w:pPr>
      <w:r>
        <w:separator/>
      </w:r>
    </w:p>
  </w:footnote>
  <w:footnote w:type="continuationSeparator" w:id="0">
    <w:p w14:paraId="3529ADA8" w14:textId="77777777" w:rsidR="00576A27" w:rsidRDefault="00576A27">
      <w:pPr>
        <w:spacing w:after="0" w:line="240" w:lineRule="auto"/>
      </w:pPr>
      <w:r>
        <w:continuationSeparator/>
      </w:r>
    </w:p>
  </w:footnote>
  <w:footnote w:type="continuationNotice" w:id="1">
    <w:p w14:paraId="33935154" w14:textId="77777777" w:rsidR="00576A27" w:rsidRDefault="00576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37983</Words>
  <Characters>216504</Characters>
  <Application>Microsoft Office Word</Application>
  <DocSecurity>0</DocSecurity>
  <Lines>1804</Lines>
  <Paragraphs>507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Mark Harrison</cp:lastModifiedBy>
  <cp:revision>4</cp:revision>
  <cp:lastPrinted>2011-11-09T07:49:00Z</cp:lastPrinted>
  <dcterms:created xsi:type="dcterms:W3CDTF">2023-04-25T02:36:00Z</dcterms:created>
  <dcterms:modified xsi:type="dcterms:W3CDTF">2023-04-25T02:49:00Z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