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 xml:space="preserve">FFS whether partial-coherent precoders are </w:t>
            </w:r>
            <w:proofErr w:type="gramStart"/>
            <w:r>
              <w:rPr>
                <w:rStyle w:val="Emphasis"/>
                <w:rFonts w:eastAsia="Times New Roman"/>
                <w:i w:val="0"/>
              </w:rPr>
              <w:t>needed</w:t>
            </w:r>
            <w:proofErr w:type="gramEnd"/>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 xml:space="preserve">Partial-coherent precoders are </w:t>
            </w:r>
            <w:proofErr w:type="gramStart"/>
            <w:r>
              <w:rPr>
                <w:rStyle w:val="Emphasis"/>
                <w:rFonts w:eastAsia="Times New Roman"/>
                <w:i w:val="0"/>
              </w:rPr>
              <w:t>used</w:t>
            </w:r>
            <w:proofErr w:type="gramEnd"/>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Following rank and layer splitting cases are </w:t>
            </w:r>
            <w:proofErr w:type="gramStart"/>
            <w:r>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804650">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80465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804650">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804650">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804650">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804650">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804650">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Select from the following cases based on the performance and overall DCI </w:t>
            </w:r>
            <w:proofErr w:type="gramStart"/>
            <w:r>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804650">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80465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804650">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804650">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804650">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804650">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804650">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804650">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804650">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804650">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804650">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804650">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804650">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804650">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804650">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804650">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804650">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804650">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804650">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804650">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804650">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TPMI indication is based on using 2 TPMI each with a length of 5 </w:t>
      </w:r>
      <w:proofErr w:type="gramStart"/>
      <w:r>
        <w:rPr>
          <w:rStyle w:val="Emphasis"/>
          <w:rFonts w:eastAsia="Times New Roman"/>
          <w:b/>
          <w:bCs/>
          <w:iCs w:val="0"/>
          <w:strike/>
          <w:sz w:val="22"/>
          <w:szCs w:val="22"/>
          <w:highlight w:val="darkGray"/>
        </w:rPr>
        <w:t>bits</w:t>
      </w:r>
      <w:proofErr w:type="gramEnd"/>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 xml:space="preserve">Partial-coherent precoders are </w:t>
      </w:r>
      <w:proofErr w:type="gramStart"/>
      <w:r>
        <w:rPr>
          <w:rStyle w:val="Emphasis"/>
          <w:b/>
          <w:bCs/>
          <w:iCs w:val="0"/>
          <w:strike/>
          <w:sz w:val="22"/>
          <w:szCs w:val="22"/>
        </w:rPr>
        <w:t>used</w:t>
      </w:r>
      <w:proofErr w:type="gramEnd"/>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Following rank and layer splitting cases are </w:t>
      </w:r>
      <w:proofErr w:type="gramStart"/>
      <w:r>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Select from the following cases based on the performance and overall DCI </w:t>
      </w:r>
      <w:proofErr w:type="gramStart"/>
      <w:r>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1 – A single TPMI is indicated and applied on both antenna </w:t>
            </w:r>
            <w:proofErr w:type="gramStart"/>
            <w:r>
              <w:rPr>
                <w:rFonts w:ascii="Times New Roman" w:hAnsi="Times New Roman"/>
                <w:b/>
                <w:bCs/>
                <w:i/>
                <w:iCs/>
                <w:strike/>
                <w:color w:val="FF0000"/>
              </w:rPr>
              <w:t>groups</w:t>
            </w:r>
            <w:proofErr w:type="gramEnd"/>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precoder is derived for the second antenna </w:t>
            </w:r>
            <w:proofErr w:type="gramStart"/>
            <w:r>
              <w:rPr>
                <w:rFonts w:ascii="Times New Roman" w:hAnsi="Times New Roman"/>
                <w:b/>
                <w:bCs/>
                <w:i/>
                <w:iCs/>
                <w:strike/>
                <w:color w:val="FF0000"/>
              </w:rPr>
              <w:t>group</w:t>
            </w:r>
            <w:proofErr w:type="gramEnd"/>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Pr>
                <w:rFonts w:ascii="Times New Roman" w:hAnsi="Times New Roman"/>
                <w:b/>
                <w:bCs/>
                <w:i/>
                <w:iCs/>
                <w:strike/>
                <w:color w:val="FF0000"/>
              </w:rPr>
              <w:t>group</w:t>
            </w:r>
            <w:proofErr w:type="gramEnd"/>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2pt;height:60.75pt;mso-width-percent:0;mso-height-percent:0;mso-width-percent:0;mso-height-percent:0" o:ole="">
                  <v:imagedata r:id="rId14" o:title=""/>
                </v:shape>
                <o:OLEObject Type="Embed" ProgID="Equation.3" ShapeID="_x0000_i1025" DrawAspect="Content" ObjectID="_1743592071" r:id="rId15"/>
              </w:object>
            </w:r>
            <w:r>
              <w:rPr>
                <w:rFonts w:eastAsia="Batang"/>
                <w:sz w:val="18"/>
              </w:rPr>
              <w:t xml:space="preserve"> is indicated, </w:t>
            </w:r>
            <w:proofErr w:type="gramStart"/>
            <w:r>
              <w:rPr>
                <w:rFonts w:eastAsia="Batang"/>
                <w:sz w:val="18"/>
              </w:rPr>
              <w:t>then</w:t>
            </w:r>
            <w:proofErr w:type="gramEnd"/>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1pt;height:46.2pt;mso-width-percent:0;mso-height-percent:0;mso-width-percent:0;mso-height-percent:0" o:ole="">
                  <v:imagedata r:id="rId16" o:title=""/>
                </v:shape>
                <o:OLEObject Type="Embed" ProgID="Visio.Drawing.15" ShapeID="_x0000_i1026" DrawAspect="Content" ObjectID="_1743592072"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0125BB">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0125BB">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0125BB">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rsidP="002F4BA0">
            <w:pPr>
              <w:pStyle w:val="ListParagraph"/>
              <w:numPr>
                <w:ilvl w:val="0"/>
                <w:numId w:val="58"/>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rsidP="002F4BA0">
            <w:pPr>
              <w:pStyle w:val="ListParagraph"/>
              <w:numPr>
                <w:ilvl w:val="2"/>
                <w:numId w:val="58"/>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0125BB">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7E2CAF" w14:paraId="62CBCF26" w14:textId="77777777" w:rsidTr="000125BB">
        <w:trPr>
          <w:trHeight w:val="224"/>
        </w:trPr>
        <w:tc>
          <w:tcPr>
            <w:tcW w:w="2070" w:type="dxa"/>
          </w:tcPr>
          <w:p w14:paraId="07ED8D65" w14:textId="1A94FC5C" w:rsidR="007E2CAF" w:rsidRDefault="007E2CAF" w:rsidP="007E2CAF">
            <w:pPr>
              <w:spacing w:after="0" w:line="240" w:lineRule="auto"/>
              <w:contextualSpacing/>
              <w:rPr>
                <w:lang w:eastAsia="zh-CN"/>
              </w:rPr>
            </w:pPr>
            <w:r>
              <w:rPr>
                <w:lang w:eastAsia="zh-CN"/>
              </w:rPr>
              <w:t>Ericsson</w:t>
            </w:r>
          </w:p>
        </w:tc>
        <w:tc>
          <w:tcPr>
            <w:tcW w:w="8100" w:type="dxa"/>
          </w:tcPr>
          <w:p w14:paraId="60A21DF3" w14:textId="77777777" w:rsidR="007E2CAF" w:rsidRDefault="007E2CAF" w:rsidP="007E2CAF">
            <w:pPr>
              <w:spacing w:after="0" w:line="240" w:lineRule="auto"/>
              <w:contextualSpacing/>
              <w:rPr>
                <w:bCs/>
              </w:rPr>
            </w:pPr>
            <w:r>
              <w:rPr>
                <w:bCs/>
              </w:rPr>
              <w:t>New P3.1: Support in principal; need to clarify the first part since either 4 Tx or 8 Tx will be downselected: “</w:t>
            </w:r>
            <w:r w:rsidRPr="00D16784">
              <w:rPr>
                <w:bCs/>
              </w:rPr>
              <w:t>Updated Proposal 3.1: For partially coherent 8TX precoding with Ng=2, the precoder indication is based on</w:t>
            </w:r>
            <w:r w:rsidRPr="00091271">
              <w:rPr>
                <w:bCs/>
                <w:strike/>
                <w:color w:val="FF0000"/>
              </w:rPr>
              <w:t xml:space="preserve"> indication of up to two full-coherent 4TX precoders.</w:t>
            </w:r>
            <w:r>
              <w:rPr>
                <w:bCs/>
              </w:rPr>
              <w:t>”  Note that we have already agreed to use fully coherent precoding for Ng=2, so we don’t need to repeat that here.  Ok with QC’s change as well.</w:t>
            </w:r>
          </w:p>
          <w:p w14:paraId="4663ECE3" w14:textId="77777777" w:rsidR="007E2CAF" w:rsidRDefault="007E2CAF" w:rsidP="007E2CAF">
            <w:pPr>
              <w:spacing w:after="0" w:line="240" w:lineRule="auto"/>
              <w:contextualSpacing/>
              <w:rPr>
                <w:bCs/>
              </w:rPr>
            </w:pPr>
          </w:p>
          <w:p w14:paraId="028392BD" w14:textId="77777777" w:rsidR="007E2CAF" w:rsidRDefault="007E2CAF" w:rsidP="007E2CAF">
            <w:pPr>
              <w:spacing w:after="0" w:line="240" w:lineRule="auto"/>
              <w:contextualSpacing/>
              <w:rPr>
                <w:bCs/>
              </w:rPr>
            </w:pPr>
            <w:r>
              <w:rPr>
                <w:bCs/>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0CA12113" w14:textId="77777777" w:rsidR="007E2CAF" w:rsidRDefault="007E2CAF" w:rsidP="007E2CAF">
            <w:pPr>
              <w:spacing w:after="0" w:line="240" w:lineRule="auto"/>
              <w:contextualSpacing/>
              <w:rPr>
                <w:bCs/>
              </w:rPr>
            </w:pPr>
          </w:p>
          <w:p w14:paraId="1C7E832A" w14:textId="77777777" w:rsidR="007E2CAF" w:rsidRDefault="007E2CAF" w:rsidP="007E2CAF">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3C7AA1A3" w14:textId="77777777" w:rsidR="007E2CAF" w:rsidRDefault="007E2CAF" w:rsidP="007E2CAF">
            <w:pPr>
              <w:numPr>
                <w:ilvl w:val="0"/>
                <w:numId w:val="12"/>
              </w:numPr>
              <w:overflowPunct/>
              <w:autoSpaceDE/>
              <w:adjustRightInd/>
              <w:snapToGrid w:val="0"/>
              <w:spacing w:before="0" w:after="0" w:line="240" w:lineRule="auto"/>
              <w:contextualSpacing/>
              <w:jc w:val="left"/>
              <w:textAlignment w:val="auto"/>
              <w:rPr>
                <w:rStyle w:val="Emphasis"/>
                <w:rFonts w:eastAsia="Times New Roman"/>
                <w:lang w:val="en-US"/>
              </w:rPr>
            </w:pPr>
            <w:r>
              <w:rPr>
                <w:rStyle w:val="Emphasis"/>
                <w:rFonts w:eastAsia="Times New Roman"/>
              </w:rPr>
              <w:t>Alt1. – All 255 combinations of non-coherent rank1 precoders are supported</w:t>
            </w:r>
          </w:p>
          <w:p w14:paraId="4797CE6E" w14:textId="77777777" w:rsidR="007E2CAF" w:rsidRDefault="007E2CAF" w:rsidP="007E2CAF">
            <w:pPr>
              <w:numPr>
                <w:ilvl w:val="0"/>
                <w:numId w:val="12"/>
              </w:numPr>
              <w:overflowPunct/>
              <w:autoSpaceDE/>
              <w:adjustRightInd/>
              <w:snapToGrid w:val="0"/>
              <w:spacing w:before="0" w:after="0" w:line="240" w:lineRule="auto"/>
              <w:contextualSpacing/>
              <w:jc w:val="left"/>
              <w:textAlignment w:val="auto"/>
              <w:rPr>
                <w:rStyle w:val="Emphasis"/>
                <w:rFonts w:ascii="Nirmala UI" w:eastAsiaTheme="minorHAnsi" w:hAnsi="Nirmala UI" w:cs="Nirmala UI"/>
                <w:b/>
                <w:bCs/>
              </w:rPr>
            </w:pPr>
            <w:r>
              <w:rPr>
                <w:rStyle w:val="Emphasis"/>
                <w:rFonts w:eastAsia="Times New Roman"/>
              </w:rPr>
              <w:t xml:space="preserve">Alt2. – Only a subset of Alt1. is supported, </w:t>
            </w:r>
            <w:r w:rsidRPr="00091271">
              <w:rPr>
                <w:rStyle w:val="Emphasis"/>
                <w:rFonts w:eastAsia="Times New Roman"/>
                <w:color w:val="FF0000"/>
                <w:u w:val="single"/>
              </w:rPr>
              <w:t>striving for a substantial reduction in precoders</w:t>
            </w:r>
          </w:p>
          <w:p w14:paraId="25D73CD0" w14:textId="77777777" w:rsidR="007E2CAF" w:rsidRPr="00091271" w:rsidRDefault="007E2CAF" w:rsidP="007E2CAF">
            <w:pPr>
              <w:numPr>
                <w:ilvl w:val="1"/>
                <w:numId w:val="12"/>
              </w:numPr>
              <w:overflowPunct/>
              <w:autoSpaceDE/>
              <w:adjustRightInd/>
              <w:snapToGrid w:val="0"/>
              <w:spacing w:before="0" w:after="0" w:line="240" w:lineRule="auto"/>
              <w:contextualSpacing/>
              <w:jc w:val="left"/>
              <w:textAlignment w:val="auto"/>
              <w:rPr>
                <w:rStyle w:val="Emphasis"/>
                <w:rFonts w:ascii="Times New Roman" w:hAnsi="Times New Roman"/>
                <w:strike/>
                <w:color w:val="FF0000"/>
              </w:rPr>
            </w:pPr>
            <w:r w:rsidRPr="00091271">
              <w:rPr>
                <w:rStyle w:val="Emphasis"/>
                <w:strike/>
                <w:color w:val="FF0000"/>
              </w:rPr>
              <w:t>Example (ZTE, Samsung): For the shown antenna set up, NC precoders can be defined as follows,</w:t>
            </w:r>
          </w:p>
          <w:p w14:paraId="4D44ABC9" w14:textId="77777777" w:rsidR="007E2CAF" w:rsidRDefault="007E2CAF" w:rsidP="007E2CAF">
            <w:pPr>
              <w:spacing w:after="0" w:line="240" w:lineRule="auto"/>
              <w:contextualSpacing/>
              <w:rPr>
                <w:bCs/>
              </w:rPr>
            </w:pPr>
          </w:p>
          <w:p w14:paraId="3F560A09" w14:textId="77777777" w:rsidR="007E2CAF" w:rsidRDefault="007E2CAF" w:rsidP="007E2CAF">
            <w:pPr>
              <w:spacing w:after="0" w:line="240" w:lineRule="auto"/>
              <w:contextualSpacing/>
              <w:rPr>
                <w:bCs/>
                <w:lang w:eastAsia="zh-CN"/>
              </w:rPr>
            </w:pPr>
          </w:p>
        </w:tc>
      </w:tr>
      <w:tr w:rsidR="0071062E" w14:paraId="20D12737" w14:textId="77777777" w:rsidTr="000125BB">
        <w:trPr>
          <w:trHeight w:val="224"/>
        </w:trPr>
        <w:tc>
          <w:tcPr>
            <w:tcW w:w="2070" w:type="dxa"/>
          </w:tcPr>
          <w:p w14:paraId="082EF5C5" w14:textId="5401E641" w:rsidR="0071062E" w:rsidRDefault="0071062E" w:rsidP="0071062E">
            <w:pPr>
              <w:spacing w:after="0" w:line="240" w:lineRule="auto"/>
              <w:contextualSpacing/>
              <w:rPr>
                <w:lang w:eastAsia="zh-CN"/>
              </w:rPr>
            </w:pPr>
            <w:r>
              <w:rPr>
                <w:lang w:eastAsia="zh-CN"/>
              </w:rPr>
              <w:t>IDC</w:t>
            </w:r>
          </w:p>
        </w:tc>
        <w:tc>
          <w:tcPr>
            <w:tcW w:w="8100" w:type="dxa"/>
          </w:tcPr>
          <w:p w14:paraId="67EB2AD8" w14:textId="77777777" w:rsidR="0071062E" w:rsidRDefault="0071062E" w:rsidP="0071062E">
            <w:pPr>
              <w:spacing w:after="0" w:line="240" w:lineRule="auto"/>
              <w:contextualSpacing/>
              <w:rPr>
                <w:bCs/>
                <w:lang w:eastAsia="zh-CN"/>
              </w:rPr>
            </w:pPr>
            <w:r>
              <w:rPr>
                <w:rFonts w:hint="eastAsia"/>
                <w:bCs/>
                <w:lang w:eastAsia="zh-CN"/>
              </w:rPr>
              <w:t>P</w:t>
            </w:r>
            <w:r>
              <w:rPr>
                <w:bCs/>
                <w:lang w:eastAsia="zh-CN"/>
              </w:rPr>
              <w:t>3.1, Support, and okay with Apple’s update.</w:t>
            </w:r>
          </w:p>
          <w:p w14:paraId="43D79B80" w14:textId="77777777" w:rsidR="0071062E" w:rsidRDefault="0071062E" w:rsidP="0071062E">
            <w:pPr>
              <w:spacing w:after="0" w:line="240" w:lineRule="auto"/>
              <w:contextualSpacing/>
              <w:rPr>
                <w:bCs/>
                <w:lang w:eastAsia="zh-CN"/>
              </w:rPr>
            </w:pPr>
            <w:r>
              <w:rPr>
                <w:rFonts w:hint="eastAsia"/>
                <w:bCs/>
                <w:lang w:eastAsia="zh-CN"/>
              </w:rPr>
              <w:t>P</w:t>
            </w:r>
            <w:r>
              <w:rPr>
                <w:bCs/>
                <w:lang w:eastAsia="zh-CN"/>
              </w:rPr>
              <w:t>3.5, Support the proposal, but the example can be deleted at this moment.</w:t>
            </w:r>
          </w:p>
          <w:p w14:paraId="0C973B78" w14:textId="77777777" w:rsidR="0071062E" w:rsidRDefault="0071062E" w:rsidP="0071062E">
            <w:pPr>
              <w:spacing w:after="0" w:line="240" w:lineRule="auto"/>
              <w:contextualSpacing/>
              <w:rPr>
                <w:bCs/>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lastRenderedPageBreak/>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lastRenderedPageBreak/>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lastRenderedPageBreak/>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lastRenderedPageBreak/>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lastRenderedPageBreak/>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lastRenderedPageBreak/>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lastRenderedPageBreak/>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934359">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3676EC83"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0B5C1E08" w14:textId="77777777" w:rsidR="00C440BB" w:rsidRDefault="00C440BB" w:rsidP="00C440BB">
            <w:pPr>
              <w:spacing w:after="0" w:line="240" w:lineRule="auto"/>
              <w:contextualSpacing/>
              <w:rPr>
                <w:lang w:eastAsia="zh-CN"/>
              </w:rPr>
            </w:pPr>
          </w:p>
          <w:p w14:paraId="67F8D479" w14:textId="77777777" w:rsidR="00C440BB" w:rsidRDefault="00C440BB" w:rsidP="00C440BB">
            <w:pPr>
              <w:spacing w:after="0" w:line="240" w:lineRule="auto"/>
              <w:contextualSpacing/>
              <w:rPr>
                <w:lang w:eastAsia="zh-CN"/>
              </w:rPr>
            </w:pPr>
          </w:p>
          <w:p w14:paraId="322CE4A7" w14:textId="77777777" w:rsidR="00C440BB" w:rsidRDefault="00C440BB" w:rsidP="00C440BB">
            <w:pPr>
              <w:spacing w:after="0" w:line="240" w:lineRule="auto"/>
              <w:contextualSpacing/>
              <w:rPr>
                <w:lang w:eastAsia="zh-CN"/>
              </w:rPr>
            </w:pPr>
          </w:p>
        </w:tc>
      </w:tr>
      <w:tr w:rsidR="00030514" w:rsidRPr="005B04D7" w14:paraId="50BE3AD4" w14:textId="77777777" w:rsidTr="00934359">
        <w:trPr>
          <w:trHeight w:val="224"/>
        </w:trPr>
        <w:tc>
          <w:tcPr>
            <w:tcW w:w="2070" w:type="dxa"/>
          </w:tcPr>
          <w:p w14:paraId="515054A3" w14:textId="709E9640" w:rsidR="00030514" w:rsidRDefault="00030514" w:rsidP="00030514">
            <w:pPr>
              <w:spacing w:after="0" w:line="240" w:lineRule="auto"/>
              <w:contextualSpacing/>
              <w:rPr>
                <w:lang w:eastAsia="zh-CN"/>
              </w:rPr>
            </w:pPr>
            <w:r>
              <w:rPr>
                <w:lang w:eastAsia="zh-CN"/>
              </w:rPr>
              <w:t>Ericsson</w:t>
            </w:r>
          </w:p>
        </w:tc>
        <w:tc>
          <w:tcPr>
            <w:tcW w:w="8100" w:type="dxa"/>
          </w:tcPr>
          <w:p w14:paraId="38F8E9B6" w14:textId="77777777" w:rsidR="00030514" w:rsidRDefault="00030514" w:rsidP="00030514">
            <w:pPr>
              <w:spacing w:after="0" w:line="240" w:lineRule="auto"/>
              <w:contextualSpacing/>
            </w:pPr>
            <w:r w:rsidRPr="00091271">
              <w:rPr>
                <w:b/>
                <w:bCs/>
              </w:rPr>
              <w:t>New P4.5</w:t>
            </w:r>
            <w:r w:rsidRPr="00091271">
              <w:t xml:space="preserve">: Appreciate the FL’s effort to move this </w:t>
            </w:r>
            <w:r>
              <w:t xml:space="preserve">issue </w:t>
            </w:r>
            <w:r w:rsidRPr="00091271">
              <w:t xml:space="preserve">forward, but CG PUSCH is not a critical feature for 8 TX MIMO.  Fine to leave </w:t>
            </w:r>
            <w:r>
              <w:t xml:space="preserve">it </w:t>
            </w:r>
            <w:r w:rsidRPr="00091271">
              <w:t>open, but we should prioritize the work on essential aspects like a good codebook design.</w:t>
            </w:r>
          </w:p>
          <w:p w14:paraId="402AC52E" w14:textId="77777777" w:rsidR="00030514" w:rsidRDefault="00030514" w:rsidP="00030514">
            <w:pPr>
              <w:spacing w:after="0" w:line="240" w:lineRule="auto"/>
              <w:contextualSpacing/>
            </w:pPr>
          </w:p>
          <w:p w14:paraId="11CBC12B" w14:textId="43DB5C4A" w:rsidR="00030514" w:rsidRDefault="00030514" w:rsidP="00030514">
            <w:pPr>
              <w:spacing w:after="0" w:line="240" w:lineRule="auto"/>
              <w:contextualSpacing/>
              <w:rPr>
                <w:lang w:eastAsia="zh-CN"/>
              </w:rPr>
            </w:pPr>
            <w:r w:rsidRPr="00091271">
              <w:rPr>
                <w:b/>
                <w:bCs/>
              </w:rPr>
              <w:t>@QC on P4.2:</w:t>
            </w:r>
            <w: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71062E" w:rsidRPr="005B04D7" w14:paraId="1F96E7D8" w14:textId="77777777" w:rsidTr="00934359">
        <w:trPr>
          <w:trHeight w:val="224"/>
        </w:trPr>
        <w:tc>
          <w:tcPr>
            <w:tcW w:w="2070" w:type="dxa"/>
          </w:tcPr>
          <w:p w14:paraId="75875212" w14:textId="7CAD2F35" w:rsidR="0071062E" w:rsidRDefault="0071062E" w:rsidP="0071062E">
            <w:pPr>
              <w:spacing w:after="0" w:line="240" w:lineRule="auto"/>
              <w:contextualSpacing/>
              <w:rPr>
                <w:lang w:eastAsia="zh-CN"/>
              </w:rPr>
            </w:pPr>
            <w:r>
              <w:rPr>
                <w:lang w:eastAsia="zh-CN"/>
              </w:rPr>
              <w:t>IDC</w:t>
            </w:r>
          </w:p>
        </w:tc>
        <w:tc>
          <w:tcPr>
            <w:tcW w:w="8100" w:type="dxa"/>
          </w:tcPr>
          <w:p w14:paraId="636472D9" w14:textId="1AF8F181" w:rsidR="0071062E" w:rsidRPr="00091271" w:rsidRDefault="0071062E" w:rsidP="0071062E">
            <w:pPr>
              <w:spacing w:after="0" w:line="240" w:lineRule="auto"/>
              <w:contextualSpacing/>
              <w:rPr>
                <w:b/>
                <w:bCs/>
              </w:rPr>
            </w:pPr>
            <w:r w:rsidRPr="0006660D">
              <w:rPr>
                <w:lang w:eastAsia="zh-CN"/>
              </w:rPr>
              <w:t>OK with updated proposal 4.5</w:t>
            </w:r>
          </w:p>
        </w:tc>
      </w:tr>
      <w:tr w:rsidR="00804650" w:rsidRPr="005B04D7" w14:paraId="4D117123" w14:textId="77777777" w:rsidTr="00934359">
        <w:trPr>
          <w:trHeight w:val="224"/>
        </w:trPr>
        <w:tc>
          <w:tcPr>
            <w:tcW w:w="2070" w:type="dxa"/>
          </w:tcPr>
          <w:p w14:paraId="013BB1C3" w14:textId="5593E587" w:rsidR="00804650" w:rsidRDefault="00804650" w:rsidP="0071062E">
            <w:pPr>
              <w:spacing w:after="0" w:line="240" w:lineRule="auto"/>
              <w:contextualSpacing/>
              <w:rPr>
                <w:lang w:eastAsia="zh-CN"/>
              </w:rPr>
            </w:pPr>
            <w:r>
              <w:rPr>
                <w:lang w:eastAsia="zh-CN"/>
              </w:rPr>
              <w:t>QC</w:t>
            </w:r>
          </w:p>
        </w:tc>
        <w:tc>
          <w:tcPr>
            <w:tcW w:w="8100" w:type="dxa"/>
          </w:tcPr>
          <w:p w14:paraId="71B09B40" w14:textId="77777777" w:rsidR="00804650" w:rsidRDefault="00804650" w:rsidP="0071062E">
            <w:pPr>
              <w:spacing w:after="0" w:line="240" w:lineRule="auto"/>
              <w:contextualSpacing/>
              <w:rPr>
                <w:lang w:eastAsia="zh-CN"/>
              </w:rPr>
            </w:pPr>
            <w:r>
              <w:rPr>
                <w:lang w:eastAsia="zh-CN"/>
              </w:rPr>
              <w:t xml:space="preserve">@Nokia, on </w:t>
            </w:r>
            <w:r>
              <w:rPr>
                <w:lang w:eastAsia="zh-CN"/>
              </w:rPr>
              <w:t>Proposal 4.2</w:t>
            </w:r>
            <w:r>
              <w:rPr>
                <w:lang w:eastAsia="zh-CN"/>
              </w:rPr>
              <w:t xml:space="preserve">, yes, I also think we should stick with last meeting’s agreement. Since there was some discussion on whether update the previous agreement with “highest MCS with SE”, I was trying to clarify there is no need to mention SE here. </w:t>
            </w:r>
          </w:p>
          <w:p w14:paraId="17F84057" w14:textId="77777777" w:rsidR="00804650" w:rsidRDefault="00804650" w:rsidP="0071062E">
            <w:pPr>
              <w:spacing w:after="0" w:line="240" w:lineRule="auto"/>
              <w:contextualSpacing/>
              <w:rPr>
                <w:lang w:eastAsia="zh-CN"/>
              </w:rPr>
            </w:pPr>
          </w:p>
          <w:p w14:paraId="6A1F47C6" w14:textId="50E06034" w:rsidR="00804650" w:rsidRPr="0006660D" w:rsidRDefault="00804650" w:rsidP="0071062E">
            <w:pPr>
              <w:spacing w:after="0" w:line="240" w:lineRule="auto"/>
              <w:contextualSpacing/>
              <w:rPr>
                <w:lang w:eastAsia="zh-CN"/>
              </w:rPr>
            </w:pPr>
            <w:r>
              <w:rPr>
                <w:lang w:eastAsia="zh-CN"/>
              </w:rPr>
              <w:t xml:space="preserve">@Ericsson, using highest MCS in DCI scheduling the </w:t>
            </w:r>
            <w:proofErr w:type="spellStart"/>
            <w:r>
              <w:rPr>
                <w:lang w:eastAsia="zh-CN"/>
              </w:rPr>
              <w:t>reTx</w:t>
            </w:r>
            <w:proofErr w:type="spellEnd"/>
            <w:r>
              <w:rPr>
                <w:lang w:eastAsia="zh-CN"/>
              </w:rPr>
              <w:t xml:space="preserve">, seems </w:t>
            </w:r>
            <w:r w:rsidR="004E12B4">
              <w:rPr>
                <w:lang w:eastAsia="zh-CN"/>
              </w:rPr>
              <w:t>better</w:t>
            </w:r>
            <w:r>
              <w:rPr>
                <w:lang w:eastAsia="zh-CN"/>
              </w:rPr>
              <w:t xml:space="preserve"> to me. The three reserved MCS, 26, 27, 28 (or 27, 28, 29? I don’t recall exactly. But this does not matter) are corresponding to indicating QPSK, 16QAM, 64QAM </w:t>
            </w:r>
            <w:r w:rsidR="004E12B4">
              <w:rPr>
                <w:lang w:eastAsia="zh-CN"/>
              </w:rPr>
              <w:t xml:space="preserve">for retransmission. </w:t>
            </w:r>
            <w:proofErr w:type="gramStart"/>
            <w:r w:rsidR="004E12B4">
              <w:rPr>
                <w:lang w:eastAsia="zh-CN"/>
              </w:rPr>
              <w:t>So</w:t>
            </w:r>
            <w:proofErr w:type="gramEnd"/>
            <w:r w:rsidR="004E12B4">
              <w:rPr>
                <w:lang w:eastAsia="zh-CN"/>
              </w:rPr>
              <w:t xml:space="preserve"> using higher MCS index </w:t>
            </w:r>
            <w:r w:rsidR="004E12B4">
              <w:rPr>
                <w:lang w:eastAsia="zh-CN"/>
              </w:rPr>
              <w:t xml:space="preserve">in DCI scheduling the </w:t>
            </w:r>
            <w:proofErr w:type="spellStart"/>
            <w:r w:rsidR="004E12B4">
              <w:rPr>
                <w:lang w:eastAsia="zh-CN"/>
              </w:rPr>
              <w:t>reTx</w:t>
            </w:r>
            <w:proofErr w:type="spellEnd"/>
            <w:r w:rsidR="004E12B4">
              <w:rPr>
                <w:lang w:eastAsia="zh-CN"/>
              </w:rPr>
              <w:t xml:space="preserve"> can make sure UCI is </w:t>
            </w:r>
            <w:proofErr w:type="spellStart"/>
            <w:r w:rsidR="004E12B4">
              <w:rPr>
                <w:lang w:eastAsia="zh-CN"/>
              </w:rPr>
              <w:t>muxed</w:t>
            </w:r>
            <w:proofErr w:type="spellEnd"/>
            <w:r w:rsidR="004E12B4">
              <w:rPr>
                <w:lang w:eastAsia="zh-CN"/>
              </w:rPr>
              <w:t xml:space="preserve"> on the CW with higher SNR, which is aligned with the principle </w:t>
            </w:r>
            <w:r w:rsidR="003E51BE">
              <w:rPr>
                <w:lang w:eastAsia="zh-CN"/>
              </w:rPr>
              <w:t>of Alt2</w:t>
            </w:r>
            <w:r w:rsidR="004E12B4">
              <w:rPr>
                <w:lang w:eastAsia="zh-CN"/>
              </w:rPr>
              <w:t xml:space="preserve">. </w:t>
            </w:r>
          </w:p>
        </w:tc>
      </w:tr>
      <w:tr w:rsidR="009D3303" w:rsidRPr="005B04D7" w14:paraId="424FFE31" w14:textId="77777777" w:rsidTr="00934359">
        <w:trPr>
          <w:trHeight w:val="224"/>
        </w:trPr>
        <w:tc>
          <w:tcPr>
            <w:tcW w:w="2070" w:type="dxa"/>
          </w:tcPr>
          <w:p w14:paraId="7F5EF6EA" w14:textId="14548663" w:rsidR="009D3303" w:rsidRDefault="009D3303" w:rsidP="0071062E">
            <w:pPr>
              <w:spacing w:after="0" w:line="240" w:lineRule="auto"/>
              <w:contextualSpacing/>
              <w:rPr>
                <w:lang w:eastAsia="zh-CN"/>
              </w:rPr>
            </w:pPr>
            <w:r>
              <w:rPr>
                <w:lang w:eastAsia="zh-CN"/>
              </w:rPr>
              <w:t>QC</w:t>
            </w:r>
          </w:p>
        </w:tc>
        <w:tc>
          <w:tcPr>
            <w:tcW w:w="8100" w:type="dxa"/>
          </w:tcPr>
          <w:p w14:paraId="79335BA7" w14:textId="206B5A16" w:rsidR="009D3303" w:rsidRDefault="009D3303" w:rsidP="0071062E">
            <w:pPr>
              <w:spacing w:after="0" w:line="240" w:lineRule="auto"/>
              <w:contextualSpacing/>
              <w:rPr>
                <w:lang w:eastAsia="zh-CN"/>
              </w:rPr>
            </w:pPr>
            <w:r>
              <w:rPr>
                <w:lang w:eastAsia="zh-CN"/>
              </w:rPr>
              <w:t>@Ericsson</w:t>
            </w:r>
            <w:proofErr w:type="gramStart"/>
            <w:r>
              <w:rPr>
                <w:lang w:eastAsia="zh-CN"/>
              </w:rPr>
              <w:t>,</w:t>
            </w:r>
            <w:r>
              <w:rPr>
                <w:lang w:eastAsia="zh-CN"/>
              </w:rPr>
              <w:t xml:space="preserve"> actually, after</w:t>
            </w:r>
            <w:proofErr w:type="gramEnd"/>
            <w:r>
              <w:rPr>
                <w:lang w:eastAsia="zh-CN"/>
              </w:rPr>
              <w:t xml:space="preserve"> a second thought. I now think following LTE using initial MCS is better. The reason is the granularity of SE change for </w:t>
            </w:r>
            <w:proofErr w:type="spellStart"/>
            <w:r>
              <w:rPr>
                <w:lang w:eastAsia="zh-CN"/>
              </w:rPr>
              <w:t>reTx</w:t>
            </w:r>
            <w:proofErr w:type="spellEnd"/>
            <w:r>
              <w:rPr>
                <w:lang w:eastAsia="zh-CN"/>
              </w:rPr>
              <w:t xml:space="preserve"> is too coarse, which only have three QAM levels. If gNB just needs to lower the PUSCH SE a little bit pass the decode for </w:t>
            </w:r>
            <w:proofErr w:type="spellStart"/>
            <w:r>
              <w:rPr>
                <w:lang w:eastAsia="zh-CN"/>
              </w:rPr>
              <w:t>ReTx</w:t>
            </w:r>
            <w:proofErr w:type="spellEnd"/>
            <w:r>
              <w:rPr>
                <w:lang w:eastAsia="zh-CN"/>
              </w:rPr>
              <w:t xml:space="preserve">, but it has to use a lower level of QAM, which can drastically lower the actual </w:t>
            </w:r>
            <w:proofErr w:type="gramStart"/>
            <w:r>
              <w:rPr>
                <w:lang w:eastAsia="zh-CN"/>
              </w:rPr>
              <w:t>MCS(</w:t>
            </w:r>
            <w:proofErr w:type="gramEnd"/>
            <w:r>
              <w:rPr>
                <w:lang w:eastAsia="zh-CN"/>
              </w:rPr>
              <w:t xml:space="preserve">or SE) of the </w:t>
            </w:r>
            <w:proofErr w:type="spellStart"/>
            <w:r>
              <w:rPr>
                <w:lang w:eastAsia="zh-CN"/>
              </w:rPr>
              <w:t>reTx</w:t>
            </w:r>
            <w:proofErr w:type="spellEnd"/>
            <w:r>
              <w:rPr>
                <w:lang w:eastAsia="zh-CN"/>
              </w:rPr>
              <w:t xml:space="preserve">. </w:t>
            </w:r>
            <w:proofErr w:type="gramStart"/>
            <w:r>
              <w:rPr>
                <w:lang w:eastAsia="zh-CN"/>
              </w:rPr>
              <w:t>So</w:t>
            </w:r>
            <w:proofErr w:type="gramEnd"/>
            <w:r>
              <w:rPr>
                <w:lang w:eastAsia="zh-CN"/>
              </w:rPr>
              <w:t xml:space="preserve"> the actual MCS or SE derived for </w:t>
            </w:r>
            <w:proofErr w:type="spellStart"/>
            <w:r>
              <w:rPr>
                <w:lang w:eastAsia="zh-CN"/>
              </w:rPr>
              <w:t>reTx</w:t>
            </w:r>
            <w:proofErr w:type="spellEnd"/>
            <w:r>
              <w:rPr>
                <w:lang w:eastAsia="zh-CN"/>
              </w:rPr>
              <w:t xml:space="preserve"> is not very meaningful. </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2.3pt;height:314.2pt;mso-width-percent:0;mso-height-percent:0;mso-width-percent:0;mso-height-percent:0" o:ole="">
                        <v:imagedata r:id="rId19" o:title=""/>
                      </v:shape>
                      <o:OLEObject Type="Embed" ProgID="Visio.Drawing.15" ShapeID="_x0000_i1027" DrawAspect="Content" ObjectID="_1743592073"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lastRenderedPageBreak/>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lastRenderedPageBreak/>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A0220B">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A0220B">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A0220B">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A0220B">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A0220B">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A0220B">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A0220B">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A0220B">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A0220B">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A0220B">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A0220B">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A0220B">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A0220B">
        <w:trPr>
          <w:trHeight w:val="224"/>
        </w:trPr>
        <w:tc>
          <w:tcPr>
            <w:tcW w:w="2070" w:type="dxa"/>
          </w:tcPr>
          <w:p w14:paraId="4181DD07" w14:textId="77777777" w:rsidR="007B76D9" w:rsidRDefault="002809FD">
            <w:pPr>
              <w:spacing w:after="0" w:line="240" w:lineRule="auto"/>
              <w:contextualSpacing/>
            </w:pPr>
            <w:r>
              <w:lastRenderedPageBreak/>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A0220B">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A0220B">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A0220B">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A0220B">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A0220B">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A0220B">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A0220B">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A0220B">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A0220B">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A0220B">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lastRenderedPageBreak/>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A0220B">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A0220B">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A0220B">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A0220B">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A0220B">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A0220B">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A0220B">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A0220B">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A0220B">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A0220B">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A0220B">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A0220B">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A0220B">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A0220B">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A0220B">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A0220B">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A0220B">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A0220B">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A0220B">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A0220B">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lastRenderedPageBreak/>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A0220B">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A0220B">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A0220B">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A0220B">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A0220B">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A0220B">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A0220B">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A0220B">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A0220B">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A0220B">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lastRenderedPageBreak/>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A0220B">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A0220B">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A0220B">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A0220B">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A0220B">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A0220B">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A0220B">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A0220B">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A0220B">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lastRenderedPageBreak/>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3F4022" w14:paraId="02F4F657" w14:textId="77777777" w:rsidTr="00A0220B">
        <w:trPr>
          <w:trHeight w:val="224"/>
        </w:trPr>
        <w:tc>
          <w:tcPr>
            <w:tcW w:w="2070" w:type="dxa"/>
          </w:tcPr>
          <w:p w14:paraId="18EA574C" w14:textId="5EF3178B" w:rsidR="003F4022" w:rsidRPr="00A0220B" w:rsidRDefault="003F4022" w:rsidP="003F4022">
            <w:pPr>
              <w:spacing w:after="0" w:line="240" w:lineRule="auto"/>
              <w:contextualSpacing/>
              <w:rPr>
                <w:color w:val="0070C0"/>
                <w:lang w:eastAsia="zh-CN"/>
              </w:rPr>
            </w:pPr>
            <w:r>
              <w:rPr>
                <w:lang w:eastAsia="zh-CN"/>
              </w:rPr>
              <w:t>Ericsson</w:t>
            </w:r>
          </w:p>
        </w:tc>
        <w:tc>
          <w:tcPr>
            <w:tcW w:w="8100" w:type="dxa"/>
          </w:tcPr>
          <w:p w14:paraId="7123BC1F" w14:textId="65C636EC" w:rsidR="003F4022" w:rsidRPr="00A0220B" w:rsidRDefault="003F4022" w:rsidP="003F4022">
            <w:pPr>
              <w:spacing w:after="0" w:line="240" w:lineRule="auto"/>
              <w:contextualSpacing/>
              <w:rPr>
                <w:color w:val="0070C0"/>
                <w:lang w:eastAsia="zh-CN"/>
              </w:rPr>
            </w:pPr>
            <w:r w:rsidRPr="00091271">
              <w:rPr>
                <w:b/>
              </w:rPr>
              <w:t xml:space="preserve">New 6.3: </w:t>
            </w:r>
            <w:r>
              <w:rPr>
                <w:bCs/>
              </w:rPr>
              <w:t>We can accept the proposal, although it has a lot of configurability.  In our view</w:t>
            </w:r>
            <w:r w:rsidR="00F4045A">
              <w:rPr>
                <w:bCs/>
              </w:rPr>
              <w:t xml:space="preserve"> for Alt 1</w:t>
            </w:r>
            <w:r>
              <w:rPr>
                <w:bCs/>
              </w:rPr>
              <w:t xml:space="preserve">, adding a small number of non-coherent precoders will give all the benefits of power saving, coherence fallback, and directional antenna support, and these can fit into a single codebook.  We can accept </w:t>
            </w:r>
            <w:r w:rsidR="00F4045A">
              <w:rPr>
                <w:bCs/>
              </w:rPr>
              <w:t xml:space="preserve">some </w:t>
            </w:r>
            <w:r>
              <w:rPr>
                <w:bCs/>
              </w:rPr>
              <w:t xml:space="preserve">extra configurations &amp; UE capabilities if </w:t>
            </w:r>
            <w:r w:rsidR="00F4045A">
              <w:rPr>
                <w:bCs/>
              </w:rPr>
              <w:t xml:space="preserve">they </w:t>
            </w:r>
            <w:r>
              <w:rPr>
                <w:bCs/>
              </w:rPr>
              <w:t xml:space="preserve">is essential to other companies, however we would like some further discussion on if we can have some simpler solutions.  QC’s proposal to add </w:t>
            </w:r>
            <w:r w:rsidRPr="002F3DA5">
              <w:rPr>
                <w:bCs/>
              </w:rPr>
              <w:t>“</w:t>
            </w:r>
            <w:r w:rsidRPr="00091271">
              <w:rPr>
                <w:bCs/>
                <w:color w:val="FF0000"/>
              </w:rPr>
              <w:t>Other alternatives are not precluded</w:t>
            </w:r>
            <w:r w:rsidRPr="002F3DA5">
              <w:rPr>
                <w:bCs/>
              </w:rPr>
              <w:t xml:space="preserve">” to </w:t>
            </w:r>
            <w:r>
              <w:rPr>
                <w:bCs/>
              </w:rPr>
              <w:t xml:space="preserve">Alt 1 to </w:t>
            </w:r>
            <w:r w:rsidRPr="002F3DA5">
              <w:rPr>
                <w:bCs/>
              </w:rPr>
              <w:t>allow simplified alternatives</w:t>
            </w:r>
            <w:r>
              <w:rPr>
                <w:bCs/>
              </w:rPr>
              <w:t xml:space="preserve"> then seems like a very good idea to us.</w:t>
            </w:r>
          </w:p>
        </w:tc>
      </w:tr>
      <w:tr w:rsidR="0071062E" w14:paraId="414F5DEB" w14:textId="77777777" w:rsidTr="00A0220B">
        <w:trPr>
          <w:trHeight w:val="224"/>
        </w:trPr>
        <w:tc>
          <w:tcPr>
            <w:tcW w:w="2070" w:type="dxa"/>
          </w:tcPr>
          <w:p w14:paraId="2B35910C" w14:textId="236BB127" w:rsidR="0071062E" w:rsidRDefault="0071062E" w:rsidP="0071062E">
            <w:pPr>
              <w:spacing w:after="0" w:line="240" w:lineRule="auto"/>
              <w:contextualSpacing/>
              <w:rPr>
                <w:lang w:eastAsia="zh-CN"/>
              </w:rPr>
            </w:pPr>
            <w:r w:rsidRPr="001E3930">
              <w:rPr>
                <w:bCs/>
                <w:lang w:eastAsia="zh-CN"/>
              </w:rPr>
              <w:t>IDC</w:t>
            </w:r>
          </w:p>
        </w:tc>
        <w:tc>
          <w:tcPr>
            <w:tcW w:w="8100" w:type="dxa"/>
          </w:tcPr>
          <w:p w14:paraId="410A403E" w14:textId="7577D80B" w:rsidR="0071062E" w:rsidRPr="00091271" w:rsidRDefault="0071062E" w:rsidP="0071062E">
            <w:pPr>
              <w:spacing w:after="0" w:line="240" w:lineRule="auto"/>
              <w:contextualSpacing/>
              <w:rPr>
                <w:b/>
              </w:rPr>
            </w:pPr>
            <w:r>
              <w:rPr>
                <w:bCs/>
                <w:lang w:eastAsia="zh-CN"/>
              </w:rPr>
              <w:t>Support Alt2. We also agree to simplify the wording on Alt1, as Alt1 is essentially “a big codebook”</w:t>
            </w:r>
            <w:r w:rsidRPr="001E3930">
              <w:rPr>
                <w:bCs/>
                <w:lang w:eastAsia="zh-CN"/>
              </w:rPr>
              <w:t xml:space="preserve"> which includes </w:t>
            </w:r>
            <w:r>
              <w:rPr>
                <w:bCs/>
                <w:lang w:eastAsia="zh-CN"/>
              </w:rPr>
              <w:t xml:space="preserve">all possible FC, PC, NC precoders, </w:t>
            </w:r>
            <w:proofErr w:type="gramStart"/>
            <w:r>
              <w:rPr>
                <w:bCs/>
                <w:lang w:eastAsia="zh-CN"/>
              </w:rPr>
              <w:t>similar to</w:t>
            </w:r>
            <w:proofErr w:type="gramEnd"/>
            <w:r>
              <w:rPr>
                <w:bCs/>
                <w:lang w:eastAsia="zh-CN"/>
              </w:rPr>
              <w:t xml:space="preserve">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lastRenderedPageBreak/>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lastRenderedPageBreak/>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Rel-18 8Tx UE, the legacy codebook subset configuration rule can be reused, i.e., the fully-coherent UE can be configured with 'fullyAndPartialAndNonCoherent' codebook, partially-</w:t>
            </w:r>
            <w:r>
              <w:rPr>
                <w:i/>
                <w:iCs/>
                <w:lang w:val="en-US" w:eastAsia="zh-CN"/>
              </w:rPr>
              <w:lastRenderedPageBreak/>
              <w:t xml:space="preserve">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 xml:space="preserve">Even if the bit field for MCS, NDI and RV for the second codeword is included in the DCI format, UE ignores the field for the second CW and only transmit the first CW when the number </w:t>
            </w:r>
            <w:r>
              <w:rPr>
                <w:rFonts w:eastAsia="Times New Roman"/>
                <w:lang w:val="en-US"/>
              </w:rPr>
              <w:lastRenderedPageBreak/>
              <w:t>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lastRenderedPageBreak/>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lastRenderedPageBreak/>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lastRenderedPageBreak/>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2.7pt;height:340.45pt;mso-width-percent:0;mso-height-percent:0;mso-width-percent:0;mso-height-percent:0" o:ole="">
                        <v:imagedata r:id="rId19" o:title=""/>
                      </v:shape>
                      <o:OLEObject Type="Embed" ProgID="Visio.Drawing.15" ShapeID="_x0000_i1028" DrawAspect="Content" ObjectID="_1743592074"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lastRenderedPageBreak/>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3"/>
              <w:gridCol w:w="1073"/>
              <w:gridCol w:w="4148"/>
              <w:gridCol w:w="3263"/>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45pt;height:93.65pt;mso-width-percent:0;mso-height-percent:0;mso-width-percent:0;mso-height-percent:0" o:ole="">
                        <v:imagedata r:id="rId25" o:title=""/>
                      </v:shape>
                      <o:OLEObject Type="Embed" ProgID="Visio.Drawing.15" ShapeID="_x0000_i1029" DrawAspect="Content" ObjectID="_1743592075"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AF70" w14:textId="77777777" w:rsidR="00E87112" w:rsidRDefault="00E87112">
      <w:pPr>
        <w:spacing w:after="0" w:line="240" w:lineRule="auto"/>
      </w:pPr>
      <w:r>
        <w:separator/>
      </w:r>
    </w:p>
  </w:endnote>
  <w:endnote w:type="continuationSeparator" w:id="0">
    <w:p w14:paraId="068432B5" w14:textId="77777777" w:rsidR="00E87112" w:rsidRDefault="00E87112">
      <w:pPr>
        <w:spacing w:after="0" w:line="240" w:lineRule="auto"/>
      </w:pPr>
      <w:r>
        <w:continuationSeparator/>
      </w:r>
    </w:p>
  </w:endnote>
  <w:endnote w:type="continuationNotice" w:id="1">
    <w:p w14:paraId="64EB253E" w14:textId="77777777" w:rsidR="00E87112" w:rsidRDefault="00E87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D9FE" w14:textId="77777777" w:rsidR="00E87112" w:rsidRDefault="00E87112">
      <w:pPr>
        <w:spacing w:after="0" w:line="240" w:lineRule="auto"/>
      </w:pPr>
      <w:r>
        <w:separator/>
      </w:r>
    </w:p>
  </w:footnote>
  <w:footnote w:type="continuationSeparator" w:id="0">
    <w:p w14:paraId="053329AA" w14:textId="77777777" w:rsidR="00E87112" w:rsidRDefault="00E87112">
      <w:pPr>
        <w:spacing w:after="0" w:line="240" w:lineRule="auto"/>
      </w:pPr>
      <w:r>
        <w:continuationSeparator/>
      </w:r>
    </w:p>
  </w:footnote>
  <w:footnote w:type="continuationNotice" w:id="1">
    <w:p w14:paraId="11E4B290" w14:textId="77777777" w:rsidR="00E87112" w:rsidRDefault="00E871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07378627">
    <w:abstractNumId w:val="21"/>
  </w:num>
  <w:num w:numId="2" w16cid:durableId="1065227963">
    <w:abstractNumId w:val="51"/>
  </w:num>
  <w:num w:numId="3" w16cid:durableId="10084822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0"/>
  </w:num>
  <w:num w:numId="6" w16cid:durableId="1118599471">
    <w:abstractNumId w:val="30"/>
    <w:lvlOverride w:ilvl="0">
      <w:startOverride w:val="1"/>
    </w:lvlOverride>
  </w:num>
  <w:num w:numId="7" w16cid:durableId="1035807753">
    <w:abstractNumId w:val="47"/>
  </w:num>
  <w:num w:numId="8" w16cid:durableId="1673796964">
    <w:abstractNumId w:val="14"/>
  </w:num>
  <w:num w:numId="9" w16cid:durableId="290869288">
    <w:abstractNumId w:val="15"/>
  </w:num>
  <w:num w:numId="10" w16cid:durableId="1632831785">
    <w:abstractNumId w:val="24"/>
  </w:num>
  <w:num w:numId="11" w16cid:durableId="932784498">
    <w:abstractNumId w:val="46"/>
  </w:num>
  <w:num w:numId="12" w16cid:durableId="2036420872">
    <w:abstractNumId w:val="43"/>
  </w:num>
  <w:num w:numId="13" w16cid:durableId="1254779610">
    <w:abstractNumId w:val="7"/>
  </w:num>
  <w:num w:numId="14" w16cid:durableId="1791435158">
    <w:abstractNumId w:val="29"/>
  </w:num>
  <w:num w:numId="15" w16cid:durableId="1992323351">
    <w:abstractNumId w:val="48"/>
  </w:num>
  <w:num w:numId="16" w16cid:durableId="1135680202">
    <w:abstractNumId w:val="41"/>
  </w:num>
  <w:num w:numId="17" w16cid:durableId="1890989720">
    <w:abstractNumId w:val="22"/>
  </w:num>
  <w:num w:numId="18" w16cid:durableId="1480999615">
    <w:abstractNumId w:val="25"/>
  </w:num>
  <w:num w:numId="19" w16cid:durableId="691340144">
    <w:abstractNumId w:val="5"/>
  </w:num>
  <w:num w:numId="20" w16cid:durableId="1488479349">
    <w:abstractNumId w:val="45"/>
  </w:num>
  <w:num w:numId="21" w16cid:durableId="1887179968">
    <w:abstractNumId w:val="17"/>
  </w:num>
  <w:num w:numId="22" w16cid:durableId="773132533">
    <w:abstractNumId w:val="23"/>
  </w:num>
  <w:num w:numId="23" w16cid:durableId="635259022">
    <w:abstractNumId w:val="9"/>
  </w:num>
  <w:num w:numId="24" w16cid:durableId="505249771">
    <w:abstractNumId w:val="18"/>
  </w:num>
  <w:num w:numId="25" w16cid:durableId="1995913623">
    <w:abstractNumId w:val="34"/>
  </w:num>
  <w:num w:numId="26" w16cid:durableId="37246813">
    <w:abstractNumId w:val="20"/>
  </w:num>
  <w:num w:numId="27" w16cid:durableId="562108163">
    <w:abstractNumId w:val="38"/>
  </w:num>
  <w:num w:numId="28" w16cid:durableId="538932711">
    <w:abstractNumId w:val="4"/>
  </w:num>
  <w:num w:numId="29" w16cid:durableId="1850296199">
    <w:abstractNumId w:val="10"/>
  </w:num>
  <w:num w:numId="30" w16cid:durableId="1361858720">
    <w:abstractNumId w:val="42"/>
  </w:num>
  <w:num w:numId="31" w16cid:durableId="949631127">
    <w:abstractNumId w:val="13"/>
  </w:num>
  <w:num w:numId="32" w16cid:durableId="897473110">
    <w:abstractNumId w:val="0"/>
  </w:num>
  <w:num w:numId="33" w16cid:durableId="1581790692">
    <w:abstractNumId w:val="34"/>
  </w:num>
  <w:num w:numId="34" w16cid:durableId="1070731768">
    <w:abstractNumId w:val="28"/>
  </w:num>
  <w:num w:numId="35" w16cid:durableId="1675064645">
    <w:abstractNumId w:val="8"/>
  </w:num>
  <w:num w:numId="36" w16cid:durableId="1392852151">
    <w:abstractNumId w:val="6"/>
  </w:num>
  <w:num w:numId="37" w16cid:durableId="497229649">
    <w:abstractNumId w:val="11"/>
  </w:num>
  <w:num w:numId="38" w16cid:durableId="1676956496">
    <w:abstractNumId w:val="33"/>
  </w:num>
  <w:num w:numId="39" w16cid:durableId="978875595">
    <w:abstractNumId w:val="50"/>
  </w:num>
  <w:num w:numId="40" w16cid:durableId="997269395">
    <w:abstractNumId w:val="12"/>
  </w:num>
  <w:num w:numId="41" w16cid:durableId="1864323222">
    <w:abstractNumId w:val="16"/>
  </w:num>
  <w:num w:numId="42" w16cid:durableId="670372581">
    <w:abstractNumId w:val="27"/>
  </w:num>
  <w:num w:numId="43" w16cid:durableId="2024940948">
    <w:abstractNumId w:val="3"/>
  </w:num>
  <w:num w:numId="44" w16cid:durableId="2047675144">
    <w:abstractNumId w:val="35"/>
  </w:num>
  <w:num w:numId="45" w16cid:durableId="1233813463">
    <w:abstractNumId w:val="39"/>
  </w:num>
  <w:num w:numId="46" w16cid:durableId="553737026">
    <w:abstractNumId w:val="44"/>
  </w:num>
  <w:num w:numId="47" w16cid:durableId="2077974679">
    <w:abstractNumId w:val="26"/>
  </w:num>
  <w:num w:numId="48" w16cid:durableId="20476622">
    <w:abstractNumId w:val="19"/>
  </w:num>
  <w:num w:numId="49" w16cid:durableId="345405415">
    <w:abstractNumId w:val="31"/>
  </w:num>
  <w:num w:numId="50" w16cid:durableId="683046284">
    <w:abstractNumId w:val="49"/>
  </w:num>
  <w:num w:numId="51" w16cid:durableId="19748134">
    <w:abstractNumId w:val="36"/>
  </w:num>
  <w:num w:numId="52" w16cid:durableId="237132749">
    <w:abstractNumId w:val="29"/>
  </w:num>
  <w:num w:numId="53" w16cid:durableId="1186332853">
    <w:abstractNumId w:val="43"/>
  </w:num>
  <w:num w:numId="54" w16cid:durableId="846137269">
    <w:abstractNumId w:val="9"/>
  </w:num>
  <w:num w:numId="55" w16cid:durableId="479883052">
    <w:abstractNumId w:val="4"/>
  </w:num>
  <w:num w:numId="56" w16cid:durableId="526413385">
    <w:abstractNumId w:val="37"/>
  </w:num>
  <w:num w:numId="57" w16cid:durableId="1642071973">
    <w:abstractNumId w:val="52"/>
  </w:num>
  <w:num w:numId="58" w16cid:durableId="114905813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514"/>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84"/>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068"/>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1BE"/>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022"/>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2B4"/>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62E"/>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CAF"/>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650"/>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0F33"/>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303"/>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248"/>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81"/>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112"/>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045A"/>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5AIRPNAIUNRU-1379959237-8609</_dlc_DocId>
    <HideFromDelve xmlns="71c5aaf6-e6ce-465b-b873-5148d2a4c105">false</HideFromDelve>
    <_dlc_DocIdUrl xmlns="71c5aaf6-e6ce-465b-b873-5148d2a4c105">
      <Url>https://nokia.sharepoint.com/sites/c5g/projects/phydesign/_layouts/15/DocIdRedir.aspx?ID=5AIRPNAIUNRU-1379959237-8609</Url>
      <Description>5AIRPNAIUNRU-1379959237-8609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85</Pages>
  <Words>35862</Words>
  <Characters>204414</Characters>
  <Application>Microsoft Office Word</Application>
  <DocSecurity>0</DocSecurity>
  <Lines>1703</Lines>
  <Paragraphs>479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2</cp:revision>
  <cp:lastPrinted>2011-11-09T07:49:00Z</cp:lastPrinted>
  <dcterms:created xsi:type="dcterms:W3CDTF">2023-04-21T20:36:00Z</dcterms:created>
  <dcterms:modified xsi:type="dcterms:W3CDTF">2023-04-21T20:36:00Z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76a91b64-7ce9-45f0-99da-165963fb03b2</vt:lpwstr>
  </property>
</Properties>
</file>