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2022E0">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2022E0">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2022E0">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2022E0">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2022E0">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2022E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2022E0">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2022E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2022E0">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2022E0">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2022E0">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2022E0">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2022E0">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2022E0">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2022E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2022E0">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2022E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2022E0">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2022E0">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2022E0">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2022E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2022E0">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2022E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2022E0">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2022E0">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2022E0">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2022E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2022E0">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2022E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2022E0">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2022E0">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2022E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2022E0">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2022E0">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2022E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2022E0">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2022E0">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2022E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2022E0">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35pt;height:60.65pt;mso-width-percent:0;mso-height-percent:0;mso-width-percent:0;mso-height-percent:0" o:ole="">
                  <v:imagedata r:id="rId14" o:title=""/>
                </v:shape>
                <o:OLEObject Type="Embed" ProgID="Equation.3" ShapeID="_x0000_i1025" DrawAspect="Content" ObjectID="_1743610129"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pt;height:46.35pt;mso-width-percent:0;mso-height-percent:0;mso-width-percent:0;mso-height-percent:0" o:ole="">
                  <v:imagedata r:id="rId16" o:title=""/>
                </v:shape>
                <o:OLEObject Type="Embed" ProgID="Visio.Drawing.15" ShapeID="_x0000_i1026" DrawAspect="Content" ObjectID="_1743610130"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0125BB">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0125BB">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0125BB">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0125BB">
        <w:trPr>
          <w:trHeight w:val="224"/>
        </w:trPr>
        <w:tc>
          <w:tcPr>
            <w:tcW w:w="2070" w:type="dxa"/>
          </w:tcPr>
          <w:p w14:paraId="607F4DE5" w14:textId="438348FD" w:rsidR="002022E0" w:rsidRDefault="002022E0" w:rsidP="002022E0">
            <w:pPr>
              <w:spacing w:after="0" w:line="240" w:lineRule="auto"/>
              <w:contextualSpacing/>
              <w:rPr>
                <w:rFonts w:hint="eastAsia"/>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lastRenderedPageBreak/>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lastRenderedPageBreak/>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lastRenderedPageBreak/>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lastRenderedPageBreak/>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lastRenderedPageBreak/>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lastRenderedPageBreak/>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lastRenderedPageBreak/>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lastRenderedPageBreak/>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lastRenderedPageBreak/>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934359">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3pt;height:314.65pt;mso-width-percent:0;mso-height-percent:0;mso-width-percent:0;mso-height-percent:0" o:ole="">
                        <v:imagedata r:id="rId19" o:title=""/>
                      </v:shape>
                      <o:OLEObject Type="Embed" ProgID="Visio.Drawing.15" ShapeID="_x0000_i1027" DrawAspect="Content" ObjectID="_1743610131"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lastRenderedPageBreak/>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lastRenderedPageBreak/>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lastRenderedPageBreak/>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lastRenderedPageBreak/>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813A58">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813A58">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813A58">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813A58">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813A58">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813A58">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813A58">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813A58">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813A58">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lastRenderedPageBreak/>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813A58">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813A58">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813A58">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813A58">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813A58">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813A58">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813A58">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813A58">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813A58">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813A58">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813A58">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813A58">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813A58">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813A58">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lastRenderedPageBreak/>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813A58">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813A58">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813A58">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813A58">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813A58">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813A58">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813A58">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lastRenderedPageBreak/>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813A58">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813A58">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813A58">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813A58">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lastRenderedPageBreak/>
              <w:t>Proposal 6.3: Fine with Alt1 and agree with QC’s comment, i.e. a PC UE (Ng=2) can be configured with partially-coherent (Ng=2) and non-coherent precoders.</w:t>
            </w:r>
          </w:p>
        </w:tc>
      </w:tr>
      <w:tr w:rsidR="007B76D9" w14:paraId="206C2CDA" w14:textId="77777777" w:rsidTr="00813A58">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lastRenderedPageBreak/>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813A58">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813A58">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813A58">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813A58">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813A58">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813A58">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813A58">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813A58">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813A58">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813A58">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813A58">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813A58">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lastRenderedPageBreak/>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813A58">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813A58">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813A58">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813A58">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lastRenderedPageBreak/>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813A58">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lastRenderedPageBreak/>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813A58">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813A58">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813A58">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813A58">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813A58">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lastRenderedPageBreak/>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813A58">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lastRenderedPageBreak/>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813A58">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lastRenderedPageBreak/>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lastRenderedPageBreak/>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 xml:space="preserve">The UE capable of “fullyAndPartialAndNonCoherent” transmission could be configured with fullCoherent codebook subset, or partialCoherent codebook subset or nonCoherent codebook subset, the UE capable of “partialAndNonCoherent” transmission could be configured with </w:t>
            </w:r>
            <w:r>
              <w:rPr>
                <w:i/>
                <w:iCs/>
                <w:color w:val="000000"/>
                <w:lang w:val="en-US" w:eastAsia="zh-CN"/>
              </w:rPr>
              <w:lastRenderedPageBreak/>
              <w:t>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lastRenderedPageBreak/>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lastRenderedPageBreak/>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3pt;height:340.65pt;mso-width-percent:0;mso-height-percent:0;mso-width-percent:0;mso-height-percent:0" o:ole="">
                        <v:imagedata r:id="rId19" o:title=""/>
                      </v:shape>
                      <o:OLEObject Type="Embed" ProgID="Visio.Drawing.15" ShapeID="_x0000_i1028" DrawAspect="Content" ObjectID="_1743610132"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lastRenderedPageBreak/>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lastRenderedPageBreak/>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pt;height:93.65pt;mso-width-percent:0;mso-height-percent:0;mso-width-percent:0;mso-height-percent:0" o:ole="">
                        <v:imagedata r:id="rId25" o:title=""/>
                      </v:shape>
                      <o:OLEObject Type="Embed" ProgID="Visio.Drawing.15" ShapeID="_x0000_i1029" DrawAspect="Content" ObjectID="_1743610133"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082A" w14:textId="77777777" w:rsidR="00160C49" w:rsidRDefault="00160C49">
      <w:pPr>
        <w:spacing w:after="0" w:line="240" w:lineRule="auto"/>
      </w:pPr>
      <w:r>
        <w:separator/>
      </w:r>
    </w:p>
  </w:endnote>
  <w:endnote w:type="continuationSeparator" w:id="0">
    <w:p w14:paraId="1A179DAC" w14:textId="77777777" w:rsidR="00160C49" w:rsidRDefault="0016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52705613"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D8771A">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771A">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B940" w14:textId="77777777" w:rsidR="00160C49" w:rsidRDefault="00160C49">
      <w:pPr>
        <w:spacing w:after="0" w:line="240" w:lineRule="auto"/>
      </w:pPr>
      <w:r>
        <w:separator/>
      </w:r>
    </w:p>
  </w:footnote>
  <w:footnote w:type="continuationSeparator" w:id="0">
    <w:p w14:paraId="75208D0A" w14:textId="77777777" w:rsidR="00160C49" w:rsidRDefault="0016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0BC6CF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3020493">
    <w:abstractNumId w:val="21"/>
  </w:num>
  <w:num w:numId="2" w16cid:durableId="614100446">
    <w:abstractNumId w:val="51"/>
  </w:num>
  <w:num w:numId="3" w16cid:durableId="8743910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1006178">
    <w:abstractNumId w:val="2"/>
  </w:num>
  <w:num w:numId="5" w16cid:durableId="486018425">
    <w:abstractNumId w:val="40"/>
  </w:num>
  <w:num w:numId="6" w16cid:durableId="1429816489">
    <w:abstractNumId w:val="30"/>
    <w:lvlOverride w:ilvl="0">
      <w:startOverride w:val="1"/>
    </w:lvlOverride>
  </w:num>
  <w:num w:numId="7" w16cid:durableId="647251335">
    <w:abstractNumId w:val="47"/>
  </w:num>
  <w:num w:numId="8" w16cid:durableId="1843622672">
    <w:abstractNumId w:val="14"/>
  </w:num>
  <w:num w:numId="9" w16cid:durableId="1728992905">
    <w:abstractNumId w:val="15"/>
  </w:num>
  <w:num w:numId="10" w16cid:durableId="267086796">
    <w:abstractNumId w:val="24"/>
  </w:num>
  <w:num w:numId="11" w16cid:durableId="624431289">
    <w:abstractNumId w:val="46"/>
  </w:num>
  <w:num w:numId="12" w16cid:durableId="1263295761">
    <w:abstractNumId w:val="43"/>
  </w:num>
  <w:num w:numId="13" w16cid:durableId="909268004">
    <w:abstractNumId w:val="7"/>
  </w:num>
  <w:num w:numId="14" w16cid:durableId="433139150">
    <w:abstractNumId w:val="29"/>
  </w:num>
  <w:num w:numId="15" w16cid:durableId="826825654">
    <w:abstractNumId w:val="48"/>
  </w:num>
  <w:num w:numId="16" w16cid:durableId="931090271">
    <w:abstractNumId w:val="41"/>
  </w:num>
  <w:num w:numId="17" w16cid:durableId="617490598">
    <w:abstractNumId w:val="22"/>
  </w:num>
  <w:num w:numId="18" w16cid:durableId="398331184">
    <w:abstractNumId w:val="25"/>
  </w:num>
  <w:num w:numId="19" w16cid:durableId="2074501003">
    <w:abstractNumId w:val="5"/>
  </w:num>
  <w:num w:numId="20" w16cid:durableId="1018191860">
    <w:abstractNumId w:val="45"/>
  </w:num>
  <w:num w:numId="21" w16cid:durableId="1918712769">
    <w:abstractNumId w:val="17"/>
  </w:num>
  <w:num w:numId="22" w16cid:durableId="983389475">
    <w:abstractNumId w:val="23"/>
  </w:num>
  <w:num w:numId="23" w16cid:durableId="970790618">
    <w:abstractNumId w:val="9"/>
  </w:num>
  <w:num w:numId="24" w16cid:durableId="2111661572">
    <w:abstractNumId w:val="18"/>
  </w:num>
  <w:num w:numId="25" w16cid:durableId="1195653918">
    <w:abstractNumId w:val="34"/>
  </w:num>
  <w:num w:numId="26" w16cid:durableId="155386881">
    <w:abstractNumId w:val="20"/>
  </w:num>
  <w:num w:numId="27" w16cid:durableId="1552502777">
    <w:abstractNumId w:val="38"/>
  </w:num>
  <w:num w:numId="28" w16cid:durableId="1912347194">
    <w:abstractNumId w:val="4"/>
  </w:num>
  <w:num w:numId="29" w16cid:durableId="1854880026">
    <w:abstractNumId w:val="10"/>
  </w:num>
  <w:num w:numId="30" w16cid:durableId="1466387006">
    <w:abstractNumId w:val="42"/>
  </w:num>
  <w:num w:numId="31" w16cid:durableId="265433144">
    <w:abstractNumId w:val="13"/>
  </w:num>
  <w:num w:numId="32" w16cid:durableId="53163265">
    <w:abstractNumId w:val="0"/>
  </w:num>
  <w:num w:numId="33" w16cid:durableId="389689569">
    <w:abstractNumId w:val="34"/>
  </w:num>
  <w:num w:numId="34" w16cid:durableId="1947620249">
    <w:abstractNumId w:val="28"/>
  </w:num>
  <w:num w:numId="35" w16cid:durableId="1445466297">
    <w:abstractNumId w:val="8"/>
  </w:num>
  <w:num w:numId="36" w16cid:durableId="276646101">
    <w:abstractNumId w:val="6"/>
  </w:num>
  <w:num w:numId="37" w16cid:durableId="1672676889">
    <w:abstractNumId w:val="11"/>
  </w:num>
  <w:num w:numId="38" w16cid:durableId="1558324836">
    <w:abstractNumId w:val="33"/>
  </w:num>
  <w:num w:numId="39" w16cid:durableId="1413042939">
    <w:abstractNumId w:val="50"/>
  </w:num>
  <w:num w:numId="40" w16cid:durableId="1202284832">
    <w:abstractNumId w:val="12"/>
  </w:num>
  <w:num w:numId="41" w16cid:durableId="443571783">
    <w:abstractNumId w:val="16"/>
  </w:num>
  <w:num w:numId="42" w16cid:durableId="1776753722">
    <w:abstractNumId w:val="27"/>
  </w:num>
  <w:num w:numId="43" w16cid:durableId="1571770925">
    <w:abstractNumId w:val="3"/>
  </w:num>
  <w:num w:numId="44" w16cid:durableId="332804820">
    <w:abstractNumId w:val="35"/>
  </w:num>
  <w:num w:numId="45" w16cid:durableId="860820655">
    <w:abstractNumId w:val="39"/>
  </w:num>
  <w:num w:numId="46" w16cid:durableId="124858548">
    <w:abstractNumId w:val="44"/>
  </w:num>
  <w:num w:numId="47" w16cid:durableId="1580208005">
    <w:abstractNumId w:val="26"/>
  </w:num>
  <w:num w:numId="48" w16cid:durableId="2118333415">
    <w:abstractNumId w:val="19"/>
  </w:num>
  <w:num w:numId="49" w16cid:durableId="1664971750">
    <w:abstractNumId w:val="31"/>
  </w:num>
  <w:num w:numId="50" w16cid:durableId="1781100894">
    <w:abstractNumId w:val="49"/>
  </w:num>
  <w:num w:numId="51" w16cid:durableId="1918133149">
    <w:abstractNumId w:val="36"/>
  </w:num>
  <w:num w:numId="52" w16cid:durableId="1088229663">
    <w:abstractNumId w:val="29"/>
  </w:num>
  <w:num w:numId="53" w16cid:durableId="2141417381">
    <w:abstractNumId w:val="43"/>
  </w:num>
  <w:num w:numId="54" w16cid:durableId="1028919689">
    <w:abstractNumId w:val="9"/>
  </w:num>
  <w:num w:numId="55" w16cid:durableId="1601178421">
    <w:abstractNumId w:val="4"/>
  </w:num>
  <w:num w:numId="56" w16cid:durableId="1353268415">
    <w:abstractNumId w:val="37"/>
  </w:num>
  <w:num w:numId="57" w16cid:durableId="1617324854">
    <w:abstractNumId w:val="52"/>
  </w:num>
  <w:num w:numId="58" w16cid:durableId="766384793">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82C39FD1-3D7E-478E-A5DB-4D466F04C3C4}">
  <ds:schemaRefs>
    <ds:schemaRef ds:uri="http://schemas.openxmlformats.org/officeDocument/2006/bibliography"/>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82</Pages>
  <Words>34720</Words>
  <Characters>197904</Characters>
  <Application>Microsoft Office Word</Application>
  <DocSecurity>0</DocSecurity>
  <Lines>1649</Lines>
  <Paragraphs>464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Intel</cp:lastModifiedBy>
  <cp:revision>8</cp:revision>
  <cp:lastPrinted>2011-11-09T07:49:00Z</cp:lastPrinted>
  <dcterms:created xsi:type="dcterms:W3CDTF">2023-04-21T09:06:00Z</dcterms:created>
  <dcterms:modified xsi:type="dcterms:W3CDTF">2023-04-21T11:20:00Z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5"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1680483978</vt:lpwstr>
  </property>
  <property fmtid="{D5CDD505-2E9C-101B-9397-08002B2CF9AE}" pid="30"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ies>
</file>