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BA5709">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BA5709">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BA5709">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BA5709">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BA5709">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BA5709">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BA5709">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BA5709">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BA5709">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BA5709">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BA5709">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BA5709">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BA5709">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BA5709">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BA5709">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BA5709">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BA5709">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BA5709">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BA5709">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BA5709">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BA5709">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BA5709">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BA5709">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BA5709">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BA5709">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BA5709">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BA5709">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BA5709">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BA5709">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Proposal 3.4: Agree with QC, (1</w:t>
            </w:r>
            <w:proofErr w:type="gramStart"/>
            <w:r>
              <w:rPr>
                <w:rFonts w:eastAsia="Malgun Gothic"/>
                <w:lang w:eastAsia="ko-KR"/>
              </w:rPr>
              <w:t>,1,1,1</w:t>
            </w:r>
            <w:proofErr w:type="gramEnd"/>
            <w:r>
              <w:rPr>
                <w:rFonts w:eastAsia="Malgun Gothic"/>
                <w:lang w:eastAsia="ko-KR"/>
              </w:rPr>
              <w:t xml:space="preserve">) is one of the balanced option.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pt;height:60.5pt;mso-width-percent:0;mso-height-percent:0;mso-width-percent:0;mso-height-percent:0" o:ole="">
                  <v:imagedata r:id="rId14" o:title=""/>
                </v:shape>
                <o:OLEObject Type="Embed" ProgID="Equation.3" ShapeID="_x0000_i1025" DrawAspect="Content" ObjectID="_1743609104"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w:t>
            </w:r>
            <w:proofErr w:type="gramStart"/>
            <w:r>
              <w:rPr>
                <w:rFonts w:eastAsiaTheme="minorEastAsia"/>
                <w:bCs/>
                <w:iCs/>
                <w:color w:val="000000"/>
                <w:lang w:eastAsia="zh-CN"/>
                <w14:ligatures w14:val="standardContextual"/>
              </w:rPr>
              <w:t>,Ly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w:t>
            </w:r>
            <w:proofErr w:type="gramStart"/>
            <w:r>
              <w:rPr>
                <w:rFonts w:eastAsiaTheme="minorEastAsia"/>
                <w:bCs/>
                <w:iCs/>
                <w:color w:val="000000"/>
                <w:lang w:eastAsia="zh-CN"/>
                <w14:ligatures w14:val="standardContextual"/>
              </w:rPr>
              <w:t>,y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w:t>
            </w:r>
            <w:proofErr w:type="gramStart"/>
            <w:r>
              <w:rPr>
                <w:rStyle w:val="afe"/>
                <w:rFonts w:ascii="Times New Roman" w:eastAsia="Times New Roman" w:hAnsi="Times New Roman"/>
                <w:b/>
                <w:bCs/>
                <w:highlight w:val="yellow"/>
              </w:rPr>
              <w:t>,Ly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 xml:space="preserve">(2, 2, 2, </w:t>
            </w:r>
            <w:proofErr w:type="gramStart"/>
            <w:r>
              <w:rPr>
                <w:rFonts w:ascii="Times New Roman" w:hAnsi="Times New Roman"/>
                <w:kern w:val="2"/>
                <w:lang w:eastAsia="zh-CN"/>
                <w14:ligatures w14:val="standardContextual"/>
              </w:rPr>
              <w:t>2</w:t>
            </w:r>
            <w:proofErr w:type="gramEnd"/>
            <w:r>
              <w:rPr>
                <w:rFonts w:ascii="Times New Roman" w:hAnsi="Times New Roman"/>
                <w:kern w:val="2"/>
                <w:lang w:eastAsia="zh-CN"/>
                <w14:ligatures w14:val="standardContextual"/>
              </w:rPr>
              <w:t>)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w:t>
            </w:r>
            <w:proofErr w:type="gramStart"/>
            <w:r>
              <w:rPr>
                <w:rFonts w:eastAsiaTheme="minorHAnsi"/>
                <w:bCs/>
                <w:iCs/>
                <w:color w:val="000000"/>
                <w:lang w:eastAsia="zh-CN"/>
                <w14:ligatures w14:val="standardContextual"/>
              </w:rPr>
              <w:t>, ..,</w:t>
            </w:r>
            <w:proofErr w:type="gramEnd"/>
            <w:r>
              <w:rPr>
                <w:rFonts w:eastAsiaTheme="minorHAnsi"/>
                <w:bCs/>
                <w:iCs/>
                <w:color w:val="000000"/>
                <w:lang w:eastAsia="zh-CN"/>
                <w14:ligatures w14:val="standardContextual"/>
              </w:rPr>
              <w:t xml:space="preserve">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w:t>
            </w:r>
            <w:proofErr w:type="gramStart"/>
            <w:r>
              <w:rPr>
                <w:bCs/>
                <w:color w:val="000000"/>
                <w:lang w:bidi="ar"/>
              </w:rPr>
              <w:t>,4</w:t>
            </w:r>
            <w:proofErr w:type="gramEnd"/>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BA5709"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Following rank and layer splitting cases are supported,</w:t>
            </w:r>
            <w:proofErr w:type="gramStart"/>
            <w:r w:rsidR="00194D34">
              <w:rPr>
                <w:rStyle w:val="afe"/>
                <w:rFonts w:eastAsia="Times New Roman"/>
              </w:rPr>
              <w:t>.. ”</w:t>
            </w:r>
            <w:proofErr w:type="gramEnd"/>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afe"/>
              </w:rPr>
            </w:pPr>
            <w:r>
              <w:rPr>
                <w:rFonts w:ascii="Times New Roman" w:eastAsiaTheme="minorHAnsi" w:hAnsi="Times New Roman"/>
                <w:i/>
                <w:iCs/>
                <w:noProof/>
              </w:rPr>
              <w:object w:dxaOrig="3960" w:dyaOrig="940" w14:anchorId="60EA5D97">
                <v:shape id="_x0000_i1026" type="#_x0000_t75" alt="" style="width:198pt;height:46.5pt;mso-width-percent:0;mso-height-percent:0;mso-width-percent:0;mso-height-percent:0" o:ole="">
                  <v:imagedata r:id="rId16" o:title=""/>
                </v:shape>
                <o:OLEObject Type="Embed" ProgID="Visio.Drawing.15" ShapeID="_x0000_i1026" DrawAspect="Content" ObjectID="_1743609105"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aff2"/>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aff2"/>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w:t>
            </w:r>
            <w:proofErr w:type="gramStart"/>
            <w:r>
              <w:rPr>
                <w:rFonts w:eastAsia="Malgun Gothic"/>
                <w:lang w:eastAsia="ko-KR"/>
              </w:rPr>
              <w:t>,3,4,5,6,7</w:t>
            </w:r>
            <w:proofErr w:type="gramEnd"/>
            <w:r>
              <w:rPr>
                <w:rFonts w:eastAsia="Malgun Gothic"/>
                <w:lang w:eastAsia="ko-KR"/>
              </w:rPr>
              <w:t xml:space="preserve">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aff2"/>
              <w:spacing w:line="240" w:lineRule="auto"/>
              <w:contextualSpacing/>
              <w:rPr>
                <w:rFonts w:ascii="New York" w:hAnsi="New York"/>
                <w:bCs/>
                <w:lang w:eastAsia="zh-CN"/>
              </w:rPr>
            </w:pPr>
          </w:p>
          <w:p w14:paraId="086D354A" w14:textId="77777777" w:rsidR="00DE4211" w:rsidRDefault="00DE4211" w:rsidP="00DE421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aff2"/>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w:t>
            </w:r>
            <w:proofErr w:type="gramStart"/>
            <w:r>
              <w:rPr>
                <w:bCs/>
                <w:lang w:eastAsia="zh-CN"/>
              </w:rPr>
              <w:t>gNB</w:t>
            </w:r>
            <w:proofErr w:type="gramEnd"/>
            <w:r>
              <w:rPr>
                <w:bCs/>
                <w:lang w:eastAsia="zh-CN"/>
              </w:rPr>
              <w:t xml:space="preserve">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aff2"/>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 xml:space="preserve">When two TMPIs are indicated, </w:t>
            </w:r>
            <w:proofErr w:type="spellStart"/>
            <w:r w:rsidRPr="00231C2B">
              <w:rPr>
                <w:rFonts w:ascii="Times New Roman" w:hAnsi="Times New Roman"/>
                <w:i/>
                <w:iCs/>
                <w:strike/>
                <w:color w:val="FF0000"/>
                <w:sz w:val="20"/>
                <w:szCs w:val="20"/>
              </w:rPr>
              <w:t>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w:t>
            </w:r>
            <w:proofErr w:type="spellEnd"/>
            <w:r>
              <w:rPr>
                <w:rFonts w:ascii="Times New Roman" w:hAnsi="Times New Roman"/>
                <w:i/>
                <w:iCs/>
                <w:sz w:val="20"/>
                <w:szCs w:val="20"/>
              </w:rPr>
              <w:t xml:space="preserve"> first is applied on one of antenna group, and the second is applied on the other antenna group,</w:t>
            </w:r>
          </w:p>
          <w:p w14:paraId="6D0C89DE" w14:textId="77777777" w:rsidR="00BA5709" w:rsidRPr="00BE39E1" w:rsidRDefault="00BA5709" w:rsidP="00BA5709">
            <w:pPr>
              <w:pStyle w:val="aff2"/>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w:t>
            </w:r>
            <w:bookmarkStart w:id="4" w:name="_GoBack"/>
            <w:bookmarkEnd w:id="4"/>
            <w:r>
              <w:rPr>
                <w:rFonts w:ascii="Times New Roman" w:hAnsi="Times New Roman"/>
                <w:i/>
                <w:iCs/>
                <w:sz w:val="20"/>
                <w:szCs w:val="20"/>
              </w:rPr>
              <w:t>d</w:t>
            </w:r>
          </w:p>
          <w:p w14:paraId="6C0030C1" w14:textId="77777777" w:rsidR="00BA5709" w:rsidRPr="00B66EED"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lastRenderedPageBreak/>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BA5709">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lastRenderedPageBreak/>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lastRenderedPageBreak/>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lastRenderedPageBreak/>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lastRenderedPageBreak/>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lastRenderedPageBreak/>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lastRenderedPageBreak/>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pt;height:314.5pt;mso-width-percent:0;mso-height-percent:0;mso-width-percent:0;mso-height-percent:0" o:ole="">
                        <v:imagedata r:id="rId19" o:title=""/>
                      </v:shape>
                      <o:OLEObject Type="Embed" ProgID="Visio.Drawing.15" ShapeID="_x0000_i1027" DrawAspect="Content" ObjectID="_1743609106"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lastRenderedPageBreak/>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lastRenderedPageBreak/>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lastRenderedPageBreak/>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0D7F2149"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lastRenderedPageBreak/>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lastRenderedPageBreak/>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lastRenderedPageBreak/>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lastRenderedPageBreak/>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lastRenderedPageBreak/>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proofErr w:type="gramStart"/>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f2"/>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813A58">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813A58">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BA5709">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BA5709">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BA5709">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BA5709">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Rank-{2</w:t>
            </w:r>
            <w:proofErr w:type="gramStart"/>
            <w:r>
              <w:rPr>
                <w:i/>
                <w:iCs/>
                <w:color w:val="000000"/>
                <w:lang w:val="en-US" w:eastAsia="zh-CN"/>
              </w:rPr>
              <w:t>,3,4</w:t>
            </w:r>
            <w:proofErr w:type="gramEnd"/>
            <w:r>
              <w:rPr>
                <w:i/>
                <w:iCs/>
                <w:color w:val="000000"/>
                <w:lang w:val="en-US" w:eastAsia="zh-CN"/>
              </w:rPr>
              <w:t xml:space="preserve">}.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(O1</w:t>
            </w:r>
            <w:proofErr w:type="gramStart"/>
            <w:r>
              <w:rPr>
                <w:i/>
                <w:iCs/>
                <w:color w:val="000000"/>
                <w:lang w:val="en-US" w:eastAsia="zh-CN"/>
              </w:rPr>
              <w:t>,O2</w:t>
            </w:r>
            <w:proofErr w:type="gramEnd"/>
            <w:r>
              <w:rPr>
                <w:i/>
                <w:iCs/>
                <w:color w:val="000000"/>
                <w:lang w:val="en-US" w:eastAsia="zh-CN"/>
              </w:rPr>
              <w:t xml:space="preserve">)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(N1</w:t>
            </w:r>
            <w:proofErr w:type="gramStart"/>
            <w:r>
              <w:rPr>
                <w:i/>
                <w:iCs/>
                <w:color w:val="000000"/>
                <w:lang w:val="en-US" w:eastAsia="zh-CN"/>
              </w:rPr>
              <w:t>,N2</w:t>
            </w:r>
            <w:proofErr w:type="gramEnd"/>
            <w:r>
              <w:rPr>
                <w:i/>
                <w:iCs/>
                <w:color w:val="000000"/>
                <w:lang w:val="en-US" w:eastAsia="zh-CN"/>
              </w:rPr>
              <w:t xml:space="preserve">)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lastRenderedPageBreak/>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BA5709">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BA5709">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w:t>
            </w:r>
            <w:proofErr w:type="gramStart"/>
            <w:r>
              <w:rPr>
                <w:rFonts w:eastAsiaTheme="minorEastAsia"/>
                <w:bCs/>
                <w:i/>
                <w:iCs/>
              </w:rPr>
              <w:t>an</w:t>
            </w:r>
            <w:proofErr w:type="gramEnd"/>
            <w:r>
              <w:rPr>
                <w:rFonts w:eastAsiaTheme="minorEastAsia"/>
                <w:bCs/>
                <w:i/>
                <w:iCs/>
              </w:rPr>
              <w:t xml:space="preserv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w:t>
            </w:r>
            <w:proofErr w:type="gramStart"/>
            <w:r>
              <w:rPr>
                <w:rFonts w:ascii="Times New Roman" w:hAnsi="Times New Roman"/>
                <w:i/>
                <w:iCs/>
                <w:color w:val="000000"/>
                <w:sz w:val="20"/>
                <w:szCs w:val="20"/>
                <w:lang w:eastAsia="zh-CN"/>
              </w:rPr>
              <w:t>precoding.</w:t>
            </w:r>
            <w:proofErr w:type="gramEnd"/>
            <w:r>
              <w:rPr>
                <w:rFonts w:ascii="Times New Roman" w:hAnsi="Times New Roman"/>
                <w:i/>
                <w:iCs/>
                <w:color w:val="000000"/>
                <w:sz w:val="20"/>
                <w:szCs w:val="20"/>
                <w:lang w:eastAsia="zh-CN"/>
              </w:rPr>
              <w:t xml:space="preserve">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proofErr w:type="gramStart"/>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lastRenderedPageBreak/>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(O1</w:t>
            </w:r>
            <w:proofErr w:type="gramStart"/>
            <w:r>
              <w:rPr>
                <w:i/>
                <w:iCs/>
                <w:color w:val="000000"/>
                <w:lang w:val="en-US" w:eastAsia="zh-CN"/>
              </w:rPr>
              <w:t>,O2</w:t>
            </w:r>
            <w:proofErr w:type="gramEnd"/>
            <w:r>
              <w:rPr>
                <w:i/>
                <w:iCs/>
                <w:color w:val="000000"/>
                <w:lang w:val="en-US" w:eastAsia="zh-CN"/>
              </w:rPr>
              <w:t xml:space="preserve">)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lastRenderedPageBreak/>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BA5709">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BA5709">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pt;height:340.5pt;mso-width-percent:0;mso-height-percent:0;mso-width-percent:0;mso-height-percent:0" o:ole="">
                        <v:imagedata r:id="rId19" o:title=""/>
                      </v:shape>
                      <o:OLEObject Type="Embed" ProgID="Visio.Drawing.15" ShapeID="_x0000_i1028" DrawAspect="Content" ObjectID="_1743609107"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lastRenderedPageBreak/>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lastRenderedPageBreak/>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BA5709">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lastRenderedPageBreak/>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pt;height:93.5pt;mso-width-percent:0;mso-height-percent:0;mso-width-percent:0;mso-height-percent:0" o:ole="">
                        <v:imagedata r:id="rId25" o:title=""/>
                      </v:shape>
                      <o:OLEObject Type="Embed" ProgID="Visio.Drawing.15" ShapeID="_x0000_i1029" DrawAspect="Content" ObjectID="_1743609108"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27E1C" w14:textId="77777777" w:rsidR="00075969" w:rsidRDefault="00075969">
      <w:pPr>
        <w:spacing w:after="0" w:line="240" w:lineRule="auto"/>
      </w:pPr>
      <w:r>
        <w:separator/>
      </w:r>
    </w:p>
  </w:endnote>
  <w:endnote w:type="continuationSeparator" w:id="0">
    <w:p w14:paraId="3BEC72A9" w14:textId="77777777" w:rsidR="00075969" w:rsidRDefault="0007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BA5709" w:rsidRDefault="00BA5709">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BA5709" w:rsidRDefault="00BA570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52705613" w:rsidR="00BA5709" w:rsidRDefault="00BA5709">
    <w:pPr>
      <w:pStyle w:val="af0"/>
      <w:ind w:right="360"/>
    </w:pPr>
    <w:r>
      <w:rPr>
        <w:rStyle w:val="afc"/>
      </w:rPr>
      <w:fldChar w:fldCharType="begin"/>
    </w:r>
    <w:r>
      <w:rPr>
        <w:rStyle w:val="afc"/>
      </w:rPr>
      <w:instrText xml:space="preserve"> PAGE </w:instrText>
    </w:r>
    <w:r>
      <w:rPr>
        <w:rStyle w:val="afc"/>
      </w:rPr>
      <w:fldChar w:fldCharType="separate"/>
    </w:r>
    <w:r w:rsidR="00D8771A">
      <w:rPr>
        <w:rStyle w:val="afc"/>
        <w:noProof/>
      </w:rPr>
      <w:t>26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8771A">
      <w:rPr>
        <w:rStyle w:val="afc"/>
        <w:noProof/>
      </w:rPr>
      <w:t>82</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9D669" w14:textId="77777777" w:rsidR="00075969" w:rsidRDefault="00075969">
      <w:pPr>
        <w:spacing w:after="0" w:line="240" w:lineRule="auto"/>
      </w:pPr>
      <w:r>
        <w:separator/>
      </w:r>
    </w:p>
  </w:footnote>
  <w:footnote w:type="continuationSeparator" w:id="0">
    <w:p w14:paraId="6DCBFE9A" w14:textId="77777777" w:rsidR="00075969" w:rsidRDefault="0007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5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30"/>
    <w:lvlOverride w:ilvl="0">
      <w:startOverride w:val="1"/>
    </w:lvlOverride>
  </w:num>
  <w:num w:numId="7">
    <w:abstractNumId w:val="47"/>
  </w:num>
  <w:num w:numId="8">
    <w:abstractNumId w:val="14"/>
  </w:num>
  <w:num w:numId="9">
    <w:abstractNumId w:val="15"/>
  </w:num>
  <w:num w:numId="10">
    <w:abstractNumId w:val="24"/>
  </w:num>
  <w:num w:numId="11">
    <w:abstractNumId w:val="46"/>
  </w:num>
  <w:num w:numId="12">
    <w:abstractNumId w:val="43"/>
  </w:num>
  <w:num w:numId="13">
    <w:abstractNumId w:val="7"/>
  </w:num>
  <w:num w:numId="14">
    <w:abstractNumId w:val="29"/>
  </w:num>
  <w:num w:numId="15">
    <w:abstractNumId w:val="48"/>
  </w:num>
  <w:num w:numId="16">
    <w:abstractNumId w:val="41"/>
  </w:num>
  <w:num w:numId="17">
    <w:abstractNumId w:val="22"/>
  </w:num>
  <w:num w:numId="18">
    <w:abstractNumId w:val="25"/>
  </w:num>
  <w:num w:numId="19">
    <w:abstractNumId w:val="5"/>
  </w:num>
  <w:num w:numId="20">
    <w:abstractNumId w:val="45"/>
  </w:num>
  <w:num w:numId="21">
    <w:abstractNumId w:val="17"/>
  </w:num>
  <w:num w:numId="22">
    <w:abstractNumId w:val="23"/>
  </w:num>
  <w:num w:numId="23">
    <w:abstractNumId w:val="9"/>
  </w:num>
  <w:num w:numId="24">
    <w:abstractNumId w:val="18"/>
  </w:num>
  <w:num w:numId="25">
    <w:abstractNumId w:val="34"/>
  </w:num>
  <w:num w:numId="26">
    <w:abstractNumId w:val="20"/>
  </w:num>
  <w:num w:numId="27">
    <w:abstractNumId w:val="38"/>
  </w:num>
  <w:num w:numId="28">
    <w:abstractNumId w:val="4"/>
  </w:num>
  <w:num w:numId="29">
    <w:abstractNumId w:val="10"/>
  </w:num>
  <w:num w:numId="30">
    <w:abstractNumId w:val="42"/>
  </w:num>
  <w:num w:numId="31">
    <w:abstractNumId w:val="13"/>
  </w:num>
  <w:num w:numId="32">
    <w:abstractNumId w:val="0"/>
  </w:num>
  <w:num w:numId="33">
    <w:abstractNumId w:val="34"/>
  </w:num>
  <w:num w:numId="34">
    <w:abstractNumId w:val="28"/>
  </w:num>
  <w:num w:numId="35">
    <w:abstractNumId w:val="8"/>
  </w:num>
  <w:num w:numId="36">
    <w:abstractNumId w:val="6"/>
  </w:num>
  <w:num w:numId="37">
    <w:abstractNumId w:val="11"/>
  </w:num>
  <w:num w:numId="38">
    <w:abstractNumId w:val="33"/>
  </w:num>
  <w:num w:numId="39">
    <w:abstractNumId w:val="50"/>
  </w:num>
  <w:num w:numId="40">
    <w:abstractNumId w:val="12"/>
  </w:num>
  <w:num w:numId="41">
    <w:abstractNumId w:val="16"/>
  </w:num>
  <w:num w:numId="42">
    <w:abstractNumId w:val="27"/>
  </w:num>
  <w:num w:numId="43">
    <w:abstractNumId w:val="3"/>
  </w:num>
  <w:num w:numId="44">
    <w:abstractNumId w:val="35"/>
  </w:num>
  <w:num w:numId="45">
    <w:abstractNumId w:val="39"/>
  </w:num>
  <w:num w:numId="46">
    <w:abstractNumId w:val="44"/>
  </w:num>
  <w:num w:numId="47">
    <w:abstractNumId w:val="26"/>
  </w:num>
  <w:num w:numId="48">
    <w:abstractNumId w:val="19"/>
  </w:num>
  <w:num w:numId="49">
    <w:abstractNumId w:val="31"/>
  </w:num>
  <w:num w:numId="50">
    <w:abstractNumId w:val="49"/>
  </w:num>
  <w:num w:numId="51">
    <w:abstractNumId w:val="36"/>
  </w:num>
  <w:num w:numId="52">
    <w:abstractNumId w:val="29"/>
  </w:num>
  <w:num w:numId="53">
    <w:abstractNumId w:val="43"/>
  </w:num>
  <w:num w:numId="54">
    <w:abstractNumId w:val="9"/>
  </w:num>
  <w:num w:numId="55">
    <w:abstractNumId w:val="4"/>
  </w:num>
  <w:num w:numId="56">
    <w:abstractNumId w:val="37"/>
  </w:num>
  <w:num w:numId="57">
    <w:abstractNumId w:val="5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lang w:val="en-GB" w:eastAsia="en-US"/>
    </w:rPr>
  </w:style>
  <w:style w:type="character" w:customStyle="1" w:styleId="16">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C39FD1-3D7E-478E-A5DB-4D466F04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82</Pages>
  <Words>34599</Words>
  <Characters>197218</Characters>
  <Application>Microsoft Office Word</Application>
  <DocSecurity>0</DocSecurity>
  <Lines>1643</Lines>
  <Paragraphs>462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Zhenyu Zhang</cp:lastModifiedBy>
  <cp:revision>5</cp:revision>
  <cp:lastPrinted>2011-11-09T07:49:00Z</cp:lastPrinted>
  <dcterms:created xsi:type="dcterms:W3CDTF">2023-04-21T09:06:00Z</dcterms:created>
  <dcterms:modified xsi:type="dcterms:W3CDTF">2023-04-21T10:23:00Z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5"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1680483978</vt:lpwstr>
  </property>
  <property fmtid="{D5CDD505-2E9C-101B-9397-08002B2CF9AE}" pid="30"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ies>
</file>