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C62FE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C62FE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C62FE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C62FE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C62FE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C62FE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C62FE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C62FE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C62FE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C62FE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C62FE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C62FE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C62FE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C62FE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C62FE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C62FE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C62FE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C62FE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C62FE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C62FE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C62FE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C62FE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C62FE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C62FE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C62FE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C62FE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C62FE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C62FE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C62FE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5pt;height:60.3pt;mso-width-percent:0;mso-height-percent:0;mso-width-percent:0;mso-height-percent:0" o:ole="">
                  <v:imagedata r:id="rId14" o:title=""/>
                </v:shape>
                <o:OLEObject Type="Embed" ProgID="Equation.3" ShapeID="_x0000_i1025" DrawAspect="Content" ObjectID="_1743614938"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lastRenderedPageBreak/>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lastRenderedPageBreak/>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BD183B"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lastRenderedPageBreak/>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 xml:space="preserve">Following rank and layer splitting cases are </w:t>
            </w:r>
            <w:proofErr w:type="gramStart"/>
            <w:r w:rsidR="00194D34">
              <w:rPr>
                <w:rStyle w:val="afe"/>
                <w:rFonts w:eastAsia="Times New Roman"/>
              </w:rPr>
              <w:t>supported,..</w:t>
            </w:r>
            <w:proofErr w:type="gramEnd"/>
            <w:r w:rsidR="00194D34">
              <w:rPr>
                <w:rStyle w:val="afe"/>
                <w:rFonts w:eastAsia="Times New Roman"/>
              </w:rPr>
              <w:t xml:space="preserve"> ”</w:t>
            </w:r>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60EA5D97">
                <v:shape id="_x0000_i1026" type="#_x0000_t75" alt="" style="width:198.25pt;height:46.3pt;mso-width-percent:0;mso-height-percent:0;mso-width-percent:0;mso-height-percent:0" o:ole="">
                  <v:imagedata r:id="rId16" o:title=""/>
                </v:shape>
                <o:OLEObject Type="Embed" ProgID="Visio.Drawing.15" ShapeID="_x0000_i1026" DrawAspect="Content" ObjectID="_1743614939"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aff2"/>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aff2"/>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lastRenderedPageBreak/>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aff2"/>
              <w:spacing w:line="240" w:lineRule="auto"/>
              <w:contextualSpacing/>
              <w:rPr>
                <w:rFonts w:ascii="New York" w:hAnsi="New York"/>
                <w:bCs/>
                <w:lang w:eastAsia="zh-CN"/>
              </w:rPr>
            </w:pPr>
          </w:p>
          <w:p w14:paraId="086D354A" w14:textId="77777777" w:rsidR="00DE4211" w:rsidRDefault="00DE4211" w:rsidP="00DE421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937B025" w14:textId="77777777" w:rsidR="00DE4211" w:rsidRPr="00DE4211" w:rsidRDefault="00DE4211" w:rsidP="00DE4211">
            <w:pPr>
              <w:pStyle w:val="aff2"/>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bookmarkStart w:id="4" w:name="_GoBack"/>
            <w:bookmarkEnd w:id="4"/>
          </w:p>
          <w:p w14:paraId="7E24D1A0" w14:textId="1093C548" w:rsidR="00804CD3" w:rsidRDefault="00804CD3" w:rsidP="00DE4211">
            <w:pPr>
              <w:spacing w:after="0" w:line="240" w:lineRule="auto"/>
              <w:contextualSpacing/>
              <w:rPr>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BD183B">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lastRenderedPageBreak/>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lastRenderedPageBreak/>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lastRenderedPageBreak/>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lastRenderedPageBreak/>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lastRenderedPageBreak/>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lastRenderedPageBreak/>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xml:space="preserve">”, our view is that there is no need to check associated SE with the MCS. As </w:t>
            </w:r>
            <w:r>
              <w:rPr>
                <w:rFonts w:eastAsiaTheme="minorEastAsia"/>
                <w:lang w:eastAsia="zh-CN"/>
              </w:rPr>
              <w:lastRenderedPageBreak/>
              <w:t>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lastRenderedPageBreak/>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15pt;height:314.65pt;mso-width-percent:0;mso-height-percent:0;mso-width-percent:0;mso-height-percent:0" o:ole="">
                        <v:imagedata r:id="rId19" o:title=""/>
                      </v:shape>
                      <o:OLEObject Type="Embed" ProgID="Visio.Drawing.15" ShapeID="_x0000_i1027" DrawAspect="Content" ObjectID="_1743614940"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lastRenderedPageBreak/>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lastRenderedPageBreak/>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lastRenderedPageBreak/>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lastRenderedPageBreak/>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lastRenderedPageBreak/>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0D7F2149"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w:t>
            </w:r>
            <w:r>
              <w:rPr>
                <w:i/>
                <w:iCs/>
                <w:color w:val="FF0000"/>
                <w:sz w:val="22"/>
                <w:szCs w:val="22"/>
              </w:rPr>
              <w:lastRenderedPageBreak/>
              <w:t>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lastRenderedPageBreak/>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lastRenderedPageBreak/>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lastRenderedPageBreak/>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lastRenderedPageBreak/>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w:t>
            </w:r>
            <w:proofErr w:type="gramStart"/>
            <w:r>
              <w:rPr>
                <w:bCs/>
                <w:lang w:eastAsia="zh-CN"/>
              </w:rPr>
              <w:t>it</w:t>
            </w:r>
            <w:proofErr w:type="gramEnd"/>
            <w:r>
              <w:rPr>
                <w:bCs/>
                <w:lang w:eastAsia="zh-CN"/>
              </w:rPr>
              <w:t xml:space="preserve">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813A58">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lastRenderedPageBreak/>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lastRenderedPageBreak/>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BD183B">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BD183B">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BD183B">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BD183B">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BD183B">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BD183B">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lastRenderedPageBreak/>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BD183B">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BD183B">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lastRenderedPageBreak/>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lastRenderedPageBreak/>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1pt;height:340.45pt;mso-width-percent:0;mso-height-percent:0;mso-width-percent:0;mso-height-percent:0" o:ole="">
                        <v:imagedata r:id="rId19" o:title=""/>
                      </v:shape>
                      <o:OLEObject Type="Embed" ProgID="Visio.Drawing.15" ShapeID="_x0000_i1028" DrawAspect="Content" ObjectID="_1743614941"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lastRenderedPageBreak/>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lastRenderedPageBreak/>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BD183B">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pt;height:93.65pt;mso-width-percent:0;mso-height-percent:0;mso-width-percent:0;mso-height-percent:0" o:ole="">
                        <v:imagedata r:id="rId25" o:title=""/>
                      </v:shape>
                      <o:OLEObject Type="Embed" ProgID="Visio.Drawing.15" ShapeID="_x0000_i1029" DrawAspect="Content" ObjectID="_1743614942"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lastRenderedPageBreak/>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C737F" w14:textId="77777777" w:rsidR="00BD183B" w:rsidRDefault="00BD183B">
      <w:pPr>
        <w:spacing w:after="0" w:line="240" w:lineRule="auto"/>
      </w:pPr>
      <w:r>
        <w:separator/>
      </w:r>
    </w:p>
  </w:endnote>
  <w:endnote w:type="continuationSeparator" w:id="0">
    <w:p w14:paraId="72CB74C2" w14:textId="77777777" w:rsidR="00BD183B" w:rsidRDefault="00BD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E91388" w:rsidRDefault="00E91388">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E91388" w:rsidRDefault="00E9138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2ABD99CD" w:rsidR="00E91388" w:rsidRDefault="00E91388">
    <w:pPr>
      <w:pStyle w:val="af0"/>
      <w:ind w:right="360"/>
    </w:pPr>
    <w:r>
      <w:rPr>
        <w:rStyle w:val="afc"/>
      </w:rPr>
      <w:fldChar w:fldCharType="begin"/>
    </w:r>
    <w:r>
      <w:rPr>
        <w:rStyle w:val="afc"/>
      </w:rPr>
      <w:instrText xml:space="preserve"> PAGE </w:instrText>
    </w:r>
    <w:r>
      <w:rPr>
        <w:rStyle w:val="afc"/>
      </w:rPr>
      <w:fldChar w:fldCharType="separate"/>
    </w:r>
    <w:r>
      <w:rPr>
        <w:rStyle w:val="afc"/>
        <w:noProof/>
      </w:rPr>
      <w:t>52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81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49326" w14:textId="77777777" w:rsidR="00BD183B" w:rsidRDefault="00BD183B">
      <w:pPr>
        <w:spacing w:after="0" w:line="240" w:lineRule="auto"/>
      </w:pPr>
      <w:r>
        <w:separator/>
      </w:r>
    </w:p>
  </w:footnote>
  <w:footnote w:type="continuationSeparator" w:id="0">
    <w:p w14:paraId="1AEDFF80" w14:textId="77777777" w:rsidR="00BD183B" w:rsidRDefault="00BD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E91388" w:rsidRDefault="00E91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0A310BBD-90E8-49D7-B7DF-A548C459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86</Pages>
  <Words>34481</Words>
  <Characters>196545</Characters>
  <Application>Microsoft Office Word</Application>
  <DocSecurity>0</DocSecurity>
  <Lines>1637</Lines>
  <Paragraphs>461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Huawei</cp:lastModifiedBy>
  <cp:revision>4</cp:revision>
  <cp:lastPrinted>2011-11-09T07:49:00Z</cp:lastPrinted>
  <dcterms:created xsi:type="dcterms:W3CDTF">2023-04-21T09:06:00Z</dcterms:created>
  <dcterms:modified xsi:type="dcterms:W3CDTF">2023-04-21T09:30:00Z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5"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1680483978</vt:lpwstr>
  </property>
</Properties>
</file>