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E91388">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E9138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E91388">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E91388">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E91388">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E91388">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E91388">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E91388">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E9138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E91388">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E91388">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E91388">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E91388">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E91388">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E91388">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E91388">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E91388">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E91388">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E91388">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E91388">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E91388">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E91388">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E91388">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E91388">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E91388">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E91388">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E91388">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E9138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E91388">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宋体"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5pt;mso-width-percent:0;mso-height-percent:0;mso-width-percent:0;mso-height-percent:0" o:ole="">
                  <v:imagedata r:id="rId14" o:title=""/>
                </v:shape>
                <o:OLEObject Type="Embed" ProgID="Equation.3" ShapeID="_x0000_i1025" DrawAspect="Content" ObjectID="_1743601977"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E91388"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lastRenderedPageBreak/>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5pt;mso-width-percent:0;mso-height-percent:0;mso-width-percent:0;mso-height-percent:0" o:ole="">
                  <v:imagedata r:id="rId16" o:title=""/>
                </v:shape>
                <o:OLEObject Type="Embed" ProgID="Visio.Drawing.15" ShapeID="_x0000_i1026" DrawAspect="Content" ObjectID="_1743601978"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lastRenderedPageBreak/>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rFonts w:hint="eastAsia"/>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w:t>
            </w:r>
            <w:r w:rsidRPr="00DE4211">
              <w:rPr>
                <w:rFonts w:ascii="Times New Roman" w:hAnsi="Times New Roman"/>
                <w:i/>
                <w:iCs/>
                <w:color w:val="7030A0"/>
                <w:sz w:val="20"/>
                <w:szCs w:val="20"/>
              </w:rPr>
              <w:t>TPMI</w:t>
            </w:r>
            <w:r w:rsidRPr="00DE4211">
              <w:rPr>
                <w:rFonts w:ascii="Times New Roman" w:hAnsi="Times New Roman"/>
                <w:i/>
                <w:iCs/>
                <w:color w:val="7030A0"/>
                <w:sz w:val="20"/>
                <w:szCs w:val="20"/>
              </w:rPr>
              <w:t xml:space="preserve">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w:t>
            </w:r>
            <w:r>
              <w:rPr>
                <w:bCs/>
              </w:rPr>
              <w:t xml:space="preserve"> Support.</w:t>
            </w:r>
          </w:p>
          <w:p w14:paraId="1ADC6170" w14:textId="6B5CBA9C" w:rsidR="00DE4211" w:rsidRPr="00DE4211" w:rsidRDefault="00DE4211" w:rsidP="00DE4211">
            <w:pPr>
              <w:spacing w:line="240" w:lineRule="auto"/>
              <w:contextualSpacing/>
              <w:rPr>
                <w:rFonts w:hint="eastAsia"/>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E91388">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lastRenderedPageBreak/>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lastRenderedPageBreak/>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lastRenderedPageBreak/>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lastRenderedPageBreak/>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lastRenderedPageBreak/>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rFonts w:hint="eastAsia"/>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pt;height:314.5pt;mso-width-percent:0;mso-height-percent:0;mso-width-percent:0;mso-height-percent:0" o:ole="">
                        <v:imagedata r:id="rId19" o:title=""/>
                      </v:shape>
                      <o:OLEObject Type="Embed" ProgID="Visio.Drawing.15" ShapeID="_x0000_i1027" DrawAspect="Content" ObjectID="_1743601979"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lastRenderedPageBreak/>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lastRenderedPageBreak/>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lastRenderedPageBreak/>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lastRenderedPageBreak/>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lastRenderedPageBreak/>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w:t>
      </w:r>
      <w:r>
        <w:rPr>
          <w:sz w:val="22"/>
          <w:szCs w:val="22"/>
        </w:rPr>
        <w:lastRenderedPageBreak/>
        <w:t xml:space="preserve">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w:t>
            </w:r>
            <w:r>
              <w:rPr>
                <w:rFonts w:hint="eastAsia"/>
                <w:lang w:val="en-US" w:eastAsia="zh-CN"/>
              </w:rPr>
              <w:lastRenderedPageBreak/>
              <w:t>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lastRenderedPageBreak/>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lastRenderedPageBreak/>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lastRenderedPageBreak/>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w:t>
            </w:r>
            <w:proofErr w:type="gramStart"/>
            <w:r>
              <w:rPr>
                <w:bCs/>
                <w:lang w:eastAsia="zh-CN"/>
              </w:rPr>
              <w:t>it</w:t>
            </w:r>
            <w:proofErr w:type="gramEnd"/>
            <w:r>
              <w:rPr>
                <w:bCs/>
                <w:lang w:eastAsia="zh-CN"/>
              </w:rPr>
              <w:t xml:space="preserve">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w:t>
            </w:r>
            <w:bookmarkStart w:id="5" w:name="_GoBack"/>
            <w:bookmarkEnd w:id="5"/>
            <w:r>
              <w:rPr>
                <w:bCs/>
                <w:lang w:eastAsia="zh-CN"/>
              </w:rPr>
              <w:t>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sidRPr="00A82FEF">
              <w:rPr>
                <w:bCs/>
                <w:lang w:eastAsia="zh-CN"/>
              </w:rPr>
              <w:t>”</w:t>
            </w:r>
            <w:r>
              <w:rPr>
                <w:bCs/>
                <w:lang w:eastAsia="zh-CN"/>
              </w:rPr>
              <w:t xml:space="preserve"> should be updated as “is always associated with”</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lastRenderedPageBreak/>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宋体"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E91388">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E91388">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E91388">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E91388">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'fullyAndPartialAndNonCoherent' codebook, partially-</w:t>
            </w:r>
            <w:r>
              <w:rPr>
                <w:i/>
                <w:iCs/>
                <w:lang w:val="en-US" w:eastAsia="zh-CN"/>
              </w:rPr>
              <w:lastRenderedPageBreak/>
              <w:t xml:space="preserve">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E91388">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E91388">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lastRenderedPageBreak/>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E91388">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E91388">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lastRenderedPageBreak/>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lastRenderedPageBreak/>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5pt;mso-width-percent:0;mso-height-percent:0;mso-width-percent:0;mso-height-percent:0" o:ole="">
                        <v:imagedata r:id="rId19" o:title=""/>
                      </v:shape>
                      <o:OLEObject Type="Embed" ProgID="Visio.Drawing.15" ShapeID="_x0000_i1028" DrawAspect="Content" ObjectID="_1743601980"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E91388">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pt;height:93.5pt;mso-width-percent:0;mso-height-percent:0;mso-width-percent:0;mso-height-percent:0" o:ole="">
                        <v:imagedata r:id="rId25" o:title=""/>
                      </v:shape>
                      <o:OLEObject Type="Embed" ProgID="Visio.Drawing.15" ShapeID="_x0000_i1029" DrawAspect="Content" ObjectID="_1743601981"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lastRenderedPageBreak/>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955B" w14:textId="77777777" w:rsidR="00855D62" w:rsidRDefault="00855D62">
      <w:pPr>
        <w:spacing w:after="0" w:line="240" w:lineRule="auto"/>
      </w:pPr>
      <w:r>
        <w:separator/>
      </w:r>
    </w:p>
  </w:endnote>
  <w:endnote w:type="continuationSeparator" w:id="0">
    <w:p w14:paraId="1C78F5FB" w14:textId="77777777" w:rsidR="00855D62" w:rsidRDefault="0085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E91388" w:rsidRDefault="00E91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E91388" w:rsidRDefault="00E91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2ABD99CD" w:rsidR="00E91388" w:rsidRDefault="00E9138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B0E5" w14:textId="77777777" w:rsidR="00855D62" w:rsidRDefault="00855D62">
      <w:pPr>
        <w:spacing w:after="0" w:line="240" w:lineRule="auto"/>
      </w:pPr>
      <w:r>
        <w:separator/>
      </w:r>
    </w:p>
  </w:footnote>
  <w:footnote w:type="continuationSeparator" w:id="0">
    <w:p w14:paraId="783F0654" w14:textId="77777777" w:rsidR="00855D62" w:rsidRDefault="0085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E91388" w:rsidRDefault="00E91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533A79D-4468-41D7-99D3-0CE9514B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34395</Words>
  <Characters>196052</Characters>
  <Application>Microsoft Office Word</Application>
  <DocSecurity>0</DocSecurity>
  <Lines>1633</Lines>
  <Paragraphs>459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ZTE-Bo</cp:lastModifiedBy>
  <cp:revision>2</cp:revision>
  <cp:lastPrinted>2011-11-09T07:49:00Z</cp:lastPrinted>
  <dcterms:created xsi:type="dcterms:W3CDTF">2023-04-21T09:06:00Z</dcterms:created>
  <dcterms:modified xsi:type="dcterms:W3CDTF">2023-04-21T09:06:00Z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