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AB0F2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AB0F2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AB0F2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AB0F2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AB0F2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AB0F2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AB0F2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AB0F2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AB0F2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AB0F2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AB0F2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AB0F2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AB0F2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AB0F2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AB0F2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AB0F2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AB0F2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AB0F2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AB0F2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AB0F2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AB0F2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AB0F2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AB0F2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AB0F2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AB0F2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AB0F2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AB0F2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AB0F2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AB0F2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6pt;height:60.35pt;mso-width-percent:0;mso-height-percent:0;mso-width-percent:0;mso-height-percent:0" o:ole="">
                  <v:imagedata r:id="rId14" o:title=""/>
                </v:shape>
                <o:OLEObject Type="Embed" ProgID="Equation.3" ShapeID="_x0000_i1025" DrawAspect="Content" ObjectID="_1743598670"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3F304E"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lastRenderedPageBreak/>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 xml:space="preserve">Following rank and layer splitting cases are </w:t>
            </w:r>
            <w:proofErr w:type="gramStart"/>
            <w:r w:rsidR="00194D34">
              <w:rPr>
                <w:rStyle w:val="afe"/>
                <w:rFonts w:eastAsia="Times New Roman"/>
              </w:rPr>
              <w:t>supported,..</w:t>
            </w:r>
            <w:proofErr w:type="gramEnd"/>
            <w:r w:rsidR="00194D34">
              <w:rPr>
                <w:rStyle w:val="afe"/>
                <w:rFonts w:eastAsia="Times New Roman"/>
              </w:rPr>
              <w:t xml:space="preserve">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60EA5D97">
                <v:shape id="_x0000_i1026" type="#_x0000_t75" alt="" style="width:198.1pt;height:46.6pt;mso-width-percent:0;mso-height-percent:0;mso-width-percent:0;mso-height-percent:0" o:ole="">
                  <v:imagedata r:id="rId16" o:title=""/>
                </v:shape>
                <o:OLEObject Type="Embed" ProgID="Visio.Drawing.15" ShapeID="_x0000_i1026" DrawAspect="Content" ObjectID="_1743598671"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f2"/>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f2"/>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lastRenderedPageBreak/>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rFonts w:hint="eastAsia"/>
                <w:lang w:eastAsia="zh-CN"/>
              </w:rPr>
            </w:pPr>
            <w:r>
              <w:rPr>
                <w:rFonts w:hint="eastAsia"/>
                <w:lang w:eastAsia="zh-CN"/>
              </w:rPr>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w:t>
            </w:r>
            <w:bookmarkStart w:id="4" w:name="_GoBack"/>
            <w:bookmarkEnd w:id="4"/>
            <w:r>
              <w:rPr>
                <w:bCs/>
                <w:lang w:eastAsia="zh-CN"/>
              </w:rPr>
              <w:t>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lastRenderedPageBreak/>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3F304E">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lastRenderedPageBreak/>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lastRenderedPageBreak/>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 xml:space="preserve">The remaining transport block is mapped to </w:t>
            </w:r>
            <w:r>
              <w:rPr>
                <w:rFonts w:eastAsia="Batang"/>
                <w:b/>
                <w:i/>
                <w:lang w:eastAsia="zh-CN"/>
              </w:rPr>
              <w:lastRenderedPageBreak/>
              <w:t>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lastRenderedPageBreak/>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lastRenderedPageBreak/>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lastRenderedPageBreak/>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lastRenderedPageBreak/>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rFonts w:hint="eastAsia"/>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15pt;height:314.65pt;mso-width-percent:0;mso-height-percent:0;mso-width-percent:0;mso-height-percent:0" o:ole="">
                        <v:imagedata r:id="rId19" o:title=""/>
                      </v:shape>
                      <o:OLEObject Type="Embed" ProgID="Visio.Drawing.15" ShapeID="_x0000_i1027" DrawAspect="Content" ObjectID="_1743598672"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lastRenderedPageBreak/>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lastRenderedPageBreak/>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lastRenderedPageBreak/>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lastRenderedPageBreak/>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lastRenderedPageBreak/>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lastRenderedPageBreak/>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lastRenderedPageBreak/>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lastRenderedPageBreak/>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lastRenderedPageBreak/>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lastRenderedPageBreak/>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rFonts w:hint="eastAsia"/>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w:t>
            </w:r>
            <w:proofErr w:type="gramStart"/>
            <w:r>
              <w:rPr>
                <w:bCs/>
                <w:lang w:eastAsia="zh-CN"/>
              </w:rPr>
              <w:t>it</w:t>
            </w:r>
            <w:proofErr w:type="gramEnd"/>
            <w:r>
              <w:rPr>
                <w:bCs/>
                <w:lang w:eastAsia="zh-CN"/>
              </w:rPr>
              <w:t xml:space="preserve">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3F304E">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3F304E">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3F304E">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3F304E">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3F304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3F304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3F304E">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3F304E">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lastRenderedPageBreak/>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88"/>
              <w:gridCol w:w="4645"/>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1pt;height:340.45pt;mso-width-percent:0;mso-height-percent:0;mso-width-percent:0;mso-height-percent:0" o:ole="">
                        <v:imagedata r:id="rId19" o:title=""/>
                      </v:shape>
                      <o:OLEObject Type="Embed" ProgID="Visio.Drawing.15" ShapeID="_x0000_i1028" DrawAspect="Content" ObjectID="_1743598673"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lastRenderedPageBreak/>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lastRenderedPageBreak/>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lastRenderedPageBreak/>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3F304E">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pt;height:93.65pt;mso-width-percent:0;mso-height-percent:0;mso-width-percent:0;mso-height-percent:0" o:ole="">
                        <v:imagedata r:id="rId25" o:title=""/>
                      </v:shape>
                      <o:OLEObject Type="Embed" ProgID="Visio.Drawing.15" ShapeID="_x0000_i1029" DrawAspect="Content" ObjectID="_1743598674"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1D48" w14:textId="77777777" w:rsidR="003F304E" w:rsidRDefault="003F304E">
      <w:pPr>
        <w:spacing w:after="0" w:line="240" w:lineRule="auto"/>
      </w:pPr>
      <w:r>
        <w:separator/>
      </w:r>
    </w:p>
  </w:endnote>
  <w:endnote w:type="continuationSeparator" w:id="0">
    <w:p w14:paraId="779D0863" w14:textId="77777777" w:rsidR="003F304E" w:rsidRDefault="003F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CB44A7" w:rsidRDefault="00CB44A7">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CB44A7" w:rsidRDefault="00CB44A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2ABD99CD" w:rsidR="00CB44A7" w:rsidRDefault="00CB44A7">
    <w:pPr>
      <w:pStyle w:val="af0"/>
      <w:ind w:right="360"/>
    </w:pPr>
    <w:r>
      <w:rPr>
        <w:rStyle w:val="afc"/>
      </w:rPr>
      <w:fldChar w:fldCharType="begin"/>
    </w:r>
    <w:r>
      <w:rPr>
        <w:rStyle w:val="afc"/>
      </w:rPr>
      <w:instrText xml:space="preserve"> PAGE </w:instrText>
    </w:r>
    <w:r>
      <w:rPr>
        <w:rStyle w:val="afc"/>
      </w:rPr>
      <w:fldChar w:fldCharType="separate"/>
    </w:r>
    <w:r w:rsidR="001C7F15">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1C7F15">
      <w:rPr>
        <w:rStyle w:val="afc"/>
        <w:noProof/>
      </w:rPr>
      <w:t>81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139C" w14:textId="77777777" w:rsidR="003F304E" w:rsidRDefault="003F304E">
      <w:pPr>
        <w:spacing w:after="0" w:line="240" w:lineRule="auto"/>
      </w:pPr>
      <w:r>
        <w:separator/>
      </w:r>
    </w:p>
  </w:footnote>
  <w:footnote w:type="continuationSeparator" w:id="0">
    <w:p w14:paraId="18129BE3" w14:textId="77777777" w:rsidR="003F304E" w:rsidRDefault="003F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CB44A7" w:rsidRDefault="00CB44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DBB0CB59-0E92-4209-9CE1-2FDD7D71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85</Pages>
  <Words>34225</Words>
  <Characters>195086</Characters>
  <Application>Microsoft Office Word</Application>
  <DocSecurity>0</DocSecurity>
  <Lines>1625</Lines>
  <Paragraphs>457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5</cp:revision>
  <cp:lastPrinted>2011-11-09T07:49:00Z</cp:lastPrinted>
  <dcterms:created xsi:type="dcterms:W3CDTF">2023-04-21T08:09:00Z</dcterms:created>
  <dcterms:modified xsi:type="dcterms:W3CDTF">2023-04-21T08:11:00Z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