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proofErr w:type="gramStart"/>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w:t>
            </w:r>
            <w:proofErr w:type="gramEnd"/>
            <w:r>
              <w:rPr>
                <w:rStyle w:val="Emphasis"/>
                <w:rFonts w:eastAsia="Times New Roman"/>
                <w:i w:val="0"/>
              </w:rPr>
              <w:t xml:space="preserve">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w:t>
            </w:r>
            <w:proofErr w:type="spellStart"/>
            <w:r>
              <w:rPr>
                <w:rStyle w:val="Emphasis"/>
                <w:rFonts w:hint="eastAsia"/>
                <w:i w:val="0"/>
                <w:lang w:val="en-US" w:eastAsia="zh-CN"/>
              </w:rPr>
              <w:t>gNB</w:t>
            </w:r>
            <w:proofErr w:type="spellEnd"/>
            <w:r>
              <w:rPr>
                <w:rStyle w:val="Emphasis"/>
                <w:rFonts w:hint="eastAsia"/>
                <w:i w:val="0"/>
                <w:lang w:val="en-US" w:eastAsia="zh-CN"/>
              </w:rPr>
              <w:t xml:space="preserve">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5C73BFF3"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2742FB" w:rsidRPr="00F4121A" w:rsidRDefault="002742FB" w:rsidP="002742FB">
            <w:pPr>
              <w:spacing w:before="0" w:after="0" w:line="240" w:lineRule="auto"/>
              <w:contextualSpacing/>
              <w:rPr>
                <w:rFonts w:eastAsiaTheme="minorHAnsi"/>
                <w:b/>
                <w:bCs/>
                <w:i/>
                <w:iCs/>
                <w:color w:val="000000"/>
                <w14:ligatures w14:val="standardContextual"/>
              </w:rPr>
            </w:pP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lastRenderedPageBreak/>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04256F">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04256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04256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04256F">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04256F">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04256F">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04256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04256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04256F">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04256F">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04256F">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04256F">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04256F">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04256F">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04256F">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04256F">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04256F">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04256F">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04256F">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04256F">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04256F">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04256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04256F">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lastRenderedPageBreak/>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宋体"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lastRenderedPageBreak/>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w:t>
            </w:r>
            <w:r>
              <w:rPr>
                <w:rFonts w:hint="eastAsia"/>
                <w:lang w:eastAsia="zh-CN"/>
              </w:rPr>
              <w:lastRenderedPageBreak/>
              <w:t xml:space="preserve">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232395BC"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740866"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lastRenderedPageBreak/>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lastRenderedPageBreak/>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lastRenderedPageBreak/>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lastRenderedPageBreak/>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226B813D"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3013876"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lastRenderedPageBreak/>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12446098"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lastRenderedPageBreak/>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lastRenderedPageBreak/>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lastRenderedPageBreak/>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 xml:space="preserve">slightly prefer version A. </w:t>
            </w:r>
            <w:proofErr w:type="gramStart"/>
            <w:r w:rsidR="005C693D">
              <w:rPr>
                <w:lang w:eastAsia="zh-CN"/>
              </w:rPr>
              <w:t>Also</w:t>
            </w:r>
            <w:proofErr w:type="gramEnd"/>
            <w:r w:rsidR="005C693D">
              <w:rPr>
                <w:lang w:eastAsia="zh-CN"/>
              </w:rPr>
              <w:t xml:space="preserve">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bookmarkStart w:id="8" w:name="_GoBack"/>
            <w:bookmarkEnd w:id="8"/>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41286CE9"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740866"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740866"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w:t>
            </w:r>
            <w:proofErr w:type="gramStart"/>
            <w:r w:rsidRPr="00D416CB">
              <w:rPr>
                <w:i/>
                <w:iCs/>
                <w:color w:val="000000"/>
                <w:lang w:val="en-US" w:eastAsia="zh-CN"/>
              </w:rPr>
              <w:t>non</w:t>
            </w:r>
            <w:proofErr w:type="spellEnd"/>
            <w:r w:rsidRPr="00D416CB">
              <w:rPr>
                <w:i/>
                <w:iCs/>
                <w:color w:val="000000"/>
                <w:lang w:val="en-US" w:eastAsia="zh-CN"/>
              </w:rPr>
              <w:t xml:space="preserve"> coherent</w:t>
            </w:r>
            <w:proofErr w:type="gramEnd"/>
            <w:r w:rsidRPr="00D416CB">
              <w:rPr>
                <w:i/>
                <w:iCs/>
                <w:color w:val="000000"/>
                <w:lang w:val="en-US" w:eastAsia="zh-CN"/>
              </w:rPr>
              <w:t xml:space="preserve">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740866"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740866"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proofErr w:type="gramStart"/>
            <w:r w:rsidRPr="001935B8">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740866"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740866"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w:t>
            </w:r>
            <w:proofErr w:type="gramStart"/>
            <w:r w:rsidRPr="00180C90">
              <w:rPr>
                <w:rFonts w:ascii="Times New Roman" w:hAnsi="Times New Roman"/>
                <w:i/>
                <w:iCs/>
                <w:color w:val="000000"/>
                <w:sz w:val="20"/>
                <w:szCs w:val="20"/>
                <w:lang w:eastAsia="zh-CN"/>
              </w:rPr>
              <w:t>it</w:t>
            </w:r>
            <w:proofErr w:type="gramEnd"/>
            <w:r w:rsidRPr="00180C90">
              <w:rPr>
                <w:rFonts w:ascii="Times New Roman" w:hAnsi="Times New Roman"/>
                <w:i/>
                <w:iCs/>
                <w:color w:val="000000"/>
                <w:sz w:val="20"/>
                <w:szCs w:val="20"/>
                <w:lang w:eastAsia="zh-CN"/>
              </w:rPr>
              <w:t xml:space="preserve">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w:t>
            </w:r>
            <w:proofErr w:type="gramStart"/>
            <w:r w:rsidRPr="00973F86">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740866"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w:t>
            </w:r>
            <w:proofErr w:type="gramStart"/>
            <w:r w:rsidRPr="00265852">
              <w:t>1 layer</w:t>
            </w:r>
            <w:proofErr w:type="gramEnd"/>
            <w:r w:rsidRPr="00265852">
              <w:t xml:space="preserve"> transmission. </w:t>
            </w:r>
          </w:p>
          <w:p w14:paraId="55B80812" w14:textId="1460D8DA" w:rsidR="00265852" w:rsidRPr="00265852" w:rsidRDefault="00740866"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pt;height:342.5pt;mso-width-percent:0;mso-height-percent:0;mso-width-percent:0;mso-height-percent:0" o:ole="">
                        <v:imagedata r:id="rId15" o:title=""/>
                      </v:shape>
                      <o:OLEObject Type="Embed" ProgID="Visio.Drawing.15" ShapeID="_x0000_i1026" DrawAspect="Content" ObjectID="_1743013877"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740866"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Ng&gt;=1 antenna </w:t>
            </w:r>
            <w:proofErr w:type="gramStart"/>
            <w:r w:rsidRPr="00265852">
              <w:rPr>
                <w:rFonts w:ascii="Times New Roman" w:hAnsi="Times New Roman"/>
                <w:szCs w:val="20"/>
              </w:rPr>
              <w:t>groups</w:t>
            </w:r>
            <w:proofErr w:type="gramEnd"/>
            <w:r w:rsidRPr="00265852">
              <w:rPr>
                <w:rFonts w:ascii="Times New Roman" w:hAnsi="Times New Roman"/>
                <w:szCs w:val="20"/>
              </w:rPr>
              <w:t xml:space="preserve">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pt;height:93pt;mso-width-percent:0;mso-height-percent:0;mso-width-percent:0;mso-height-percent:0" o:ole="">
                        <v:imagedata r:id="rId21" o:title=""/>
                      </v:shape>
                      <o:OLEObject Type="Embed" ProgID="Visio.Drawing.15" ShapeID="_x0000_i1027" DrawAspect="Content" ObjectID="_1743013878"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2164" w14:textId="77777777" w:rsidR="00E17711" w:rsidRDefault="00E17711">
      <w:pPr>
        <w:spacing w:after="0" w:line="240" w:lineRule="auto"/>
      </w:pPr>
      <w:r>
        <w:separator/>
      </w:r>
    </w:p>
  </w:endnote>
  <w:endnote w:type="continuationSeparator" w:id="0">
    <w:p w14:paraId="0A4E416E" w14:textId="77777777" w:rsidR="00E17711" w:rsidRDefault="00E1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740866" w:rsidRDefault="0074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740866" w:rsidRDefault="0074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3569E1AE" w:rsidR="00740866" w:rsidRDefault="007408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7149" w14:textId="77777777" w:rsidR="00E17711" w:rsidRDefault="00E17711">
      <w:pPr>
        <w:spacing w:after="0" w:line="240" w:lineRule="auto"/>
      </w:pPr>
      <w:r>
        <w:separator/>
      </w:r>
    </w:p>
  </w:footnote>
  <w:footnote w:type="continuationSeparator" w:id="0">
    <w:p w14:paraId="712DA887" w14:textId="77777777" w:rsidR="00E17711" w:rsidRDefault="00E1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46</Pages>
  <Words>19729</Words>
  <Characters>112460</Characters>
  <Application>Microsoft Office Word</Application>
  <DocSecurity>0</DocSecurity>
  <Lines>937</Lines>
  <Paragraphs>263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ZTE-Bo</cp:lastModifiedBy>
  <cp:revision>7</cp:revision>
  <cp:lastPrinted>2011-11-09T07:49:00Z</cp:lastPrinted>
  <dcterms:created xsi:type="dcterms:W3CDTF">2023-04-14T13:28:00Z</dcterms:created>
  <dcterms:modified xsi:type="dcterms:W3CDTF">2023-04-14T13:45:00Z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