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2742FB" w14:paraId="6AFBB988" w14:textId="77777777" w:rsidTr="00B00C34">
        <w:tc>
          <w:tcPr>
            <w:tcW w:w="2070" w:type="dxa"/>
          </w:tcPr>
          <w:p w14:paraId="27854909" w14:textId="445DCB33" w:rsidR="002742FB" w:rsidRPr="006A2857" w:rsidRDefault="002742FB" w:rsidP="002742FB">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2742FB" w:rsidRPr="006A2857" w:rsidRDefault="002742FB" w:rsidP="002742FB">
            <w:pPr>
              <w:spacing w:before="0" w:after="0" w:line="240" w:lineRule="auto"/>
              <w:contextualSpacing/>
              <w:rPr>
                <w:rFonts w:eastAsiaTheme="minorHAnsi"/>
                <w:color w:val="000000"/>
                <w:lang w:eastAsia="zh-CN"/>
                <w14:ligatures w14:val="standardContextual"/>
              </w:rPr>
            </w:pP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 xml:space="preserve">When Ng=4, </w:t>
            </w:r>
            <w:proofErr w:type="gramStart"/>
            <w:r w:rsidRPr="003D7C2A">
              <w:rPr>
                <w:rStyle w:val="Emphasis"/>
                <w:rFonts w:eastAsia="Times New Roman"/>
                <w:i w:val="0"/>
              </w:rPr>
              <w:t>down-select</w:t>
            </w:r>
            <w:proofErr w:type="gramEnd"/>
            <w:r w:rsidRPr="003D7C2A">
              <w:rPr>
                <w:rStyle w:val="Emphasis"/>
                <w:rFonts w:eastAsia="Times New Roman"/>
                <w:i w:val="0"/>
              </w:rPr>
              <w:t xml:space="preserve">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631FAA">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631FA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631FA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631FAA">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631FAA">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631FAA">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631FA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631FA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631FAA">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631FAA">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631FAA">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631FAA">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631FAA">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631FAA">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631FAA">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631FAA">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631FAA">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631FAA">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631FAA">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631FAA">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631FAA">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631FAA">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631FAA">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sidRPr="00A52537">
        <w:rPr>
          <w:rStyle w:val="Emphasis"/>
          <w:rFonts w:eastAsia="Times New Roman"/>
          <w:b/>
          <w:bCs/>
          <w:iCs w:val="0"/>
          <w:strike/>
          <w:sz w:val="22"/>
          <w:szCs w:val="22"/>
          <w:highlight w:val="darkGray"/>
        </w:rPr>
        <w:t>Down-select</w:t>
      </w:r>
      <w:proofErr w:type="gramEnd"/>
      <w:r w:rsidRPr="00A52537">
        <w:rPr>
          <w:rStyle w:val="Emphasis"/>
          <w:rFonts w:eastAsia="Times New Roman"/>
          <w:b/>
          <w:bCs/>
          <w:iCs w:val="0"/>
          <w:strike/>
          <w:sz w:val="22"/>
          <w:szCs w:val="22"/>
          <w:highlight w:val="darkGray"/>
        </w:rPr>
        <w:t xml:space="preserve">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6B1DEFCD"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 xml:space="preserve">Option 1 – A single </w:t>
      </w:r>
      <w:r w:rsidR="00B80749" w:rsidRPr="00B80749">
        <w:rPr>
          <w:rFonts w:ascii="Times New Roman" w:hAnsi="Times New Roman"/>
          <w:b/>
          <w:bCs/>
          <w:i/>
          <w:iCs/>
          <w:color w:val="FF0000"/>
        </w:rPr>
        <w:t>4TX</w:t>
      </w:r>
      <w:r w:rsidR="00B80749">
        <w:rPr>
          <w:rFonts w:ascii="Times New Roman" w:hAnsi="Times New Roman"/>
          <w:b/>
          <w:bCs/>
          <w:i/>
          <w:iCs/>
        </w:rPr>
        <w:t xml:space="preserve"> </w:t>
      </w:r>
      <w:r>
        <w:rPr>
          <w:rFonts w:ascii="Times New Roman" w:hAnsi="Times New Roman"/>
          <w:b/>
          <w:bCs/>
          <w:i/>
          <w:iCs/>
        </w:rPr>
        <w:t xml:space="preserve">TPMI is indicated and applied on both antenna </w:t>
      </w:r>
      <w:proofErr w:type="gramStart"/>
      <w:r>
        <w:rPr>
          <w:rFonts w:ascii="Times New Roman" w:hAnsi="Times New Roman"/>
          <w:b/>
          <w:bCs/>
          <w:i/>
          <w:iCs/>
        </w:rPr>
        <w:t>groups</w:t>
      </w:r>
      <w:proofErr w:type="gramEnd"/>
    </w:p>
    <w:p w14:paraId="7C361598" w14:textId="36E630BD"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 xml:space="preserve">Option 2 – A single </w:t>
      </w:r>
      <w:r w:rsidR="00B80749" w:rsidRPr="00B80749">
        <w:rPr>
          <w:rFonts w:ascii="Times New Roman" w:hAnsi="Times New Roman"/>
          <w:b/>
          <w:bCs/>
          <w:i/>
          <w:iCs/>
          <w:color w:val="FF0000"/>
        </w:rPr>
        <w:t>4TX</w:t>
      </w:r>
      <w:r w:rsidR="00B80749">
        <w:rPr>
          <w:rFonts w:ascii="Times New Roman" w:hAnsi="Times New Roman"/>
          <w:b/>
          <w:bCs/>
          <w:i/>
          <w:iCs/>
        </w:rPr>
        <w:t xml:space="preserve"> </w:t>
      </w:r>
      <w:r>
        <w:rPr>
          <w:rFonts w:ascii="Times New Roman" w:hAnsi="Times New Roman"/>
          <w:b/>
          <w:bCs/>
          <w:i/>
          <w:iCs/>
        </w:rPr>
        <w:t xml:space="preserve">TPMI is indicated, from which a second precoder is derived for the second antenna </w:t>
      </w:r>
      <w:proofErr w:type="gramStart"/>
      <w:r>
        <w:rPr>
          <w:rFonts w:ascii="Times New Roman" w:hAnsi="Times New Roman"/>
          <w:b/>
          <w:bCs/>
          <w:i/>
          <w:iCs/>
        </w:rPr>
        <w:t>group</w:t>
      </w:r>
      <w:proofErr w:type="gramEnd"/>
    </w:p>
    <w:p w14:paraId="41E75025" w14:textId="054C98A6"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 xml:space="preserve">Option 3 - Two </w:t>
      </w:r>
      <w:r w:rsidR="00B80749" w:rsidRPr="00B80749">
        <w:rPr>
          <w:rFonts w:ascii="Times New Roman" w:hAnsi="Times New Roman"/>
          <w:b/>
          <w:bCs/>
          <w:i/>
          <w:iCs/>
          <w:color w:val="FF0000"/>
        </w:rPr>
        <w:t>4TX</w:t>
      </w:r>
      <w:r w:rsidR="00B80749">
        <w:rPr>
          <w:rFonts w:ascii="Times New Roman" w:hAnsi="Times New Roman"/>
          <w:b/>
          <w:bCs/>
          <w:i/>
          <w:iCs/>
        </w:rPr>
        <w:t xml:space="preserve"> </w:t>
      </w:r>
      <w:r>
        <w:rPr>
          <w:rFonts w:ascii="Times New Roman" w:hAnsi="Times New Roman"/>
          <w:b/>
          <w:bCs/>
          <w:i/>
          <w:iCs/>
        </w:rPr>
        <w:t>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F6419C">
      <w:pPr>
        <w:pStyle w:val="ListParagraph"/>
        <w:numPr>
          <w:ilvl w:val="0"/>
          <w:numId w:val="46"/>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lastRenderedPageBreak/>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1ADAD64A" w:rsidR="00AC3017" w:rsidRDefault="00AC3017" w:rsidP="00AC3017">
      <w:pPr>
        <w:spacing w:after="0" w:line="240" w:lineRule="auto"/>
        <w:contextualSpacing/>
        <w:rPr>
          <w:b/>
          <w:bCs/>
          <w:i/>
          <w:iCs/>
        </w:rPr>
      </w:pPr>
      <w:r w:rsidRPr="00AC3017">
        <w:rPr>
          <w:b/>
          <w:bCs/>
          <w:i/>
          <w:iCs/>
        </w:rPr>
        <w:t>Note</w:t>
      </w:r>
      <w:r w:rsidR="0079763A">
        <w:rPr>
          <w:b/>
          <w:bCs/>
          <w:i/>
          <w:iCs/>
        </w:rPr>
        <w:t>1</w:t>
      </w:r>
      <w:r w:rsidRPr="00AC3017">
        <w:rPr>
          <w:b/>
          <w:bCs/>
          <w:i/>
          <w:iCs/>
        </w:rPr>
        <w:t>: Above is not relevant to how precoders are indicated.</w:t>
      </w:r>
    </w:p>
    <w:p w14:paraId="58B7EF1F" w14:textId="05C6F506" w:rsidR="0079763A" w:rsidRPr="0079763A" w:rsidRDefault="0079763A" w:rsidP="0079763A">
      <w:pPr>
        <w:spacing w:after="0" w:line="240" w:lineRule="auto"/>
        <w:contextualSpacing/>
        <w:rPr>
          <w:b/>
          <w:bCs/>
          <w:i/>
          <w:iCs/>
          <w:color w:val="FF0000"/>
        </w:rPr>
      </w:pPr>
      <w:r w:rsidRPr="0079763A">
        <w:rPr>
          <w:b/>
          <w:bCs/>
          <w:i/>
          <w:iCs/>
          <w:color w:val="FF0000"/>
        </w:rPr>
        <w:t>Note</w:t>
      </w:r>
      <w:r>
        <w:rPr>
          <w:b/>
          <w:bCs/>
          <w:i/>
          <w:iCs/>
          <w:color w:val="FF0000"/>
        </w:rPr>
        <w:t>2</w:t>
      </w:r>
      <w:r w:rsidRPr="0079763A">
        <w:rPr>
          <w:b/>
          <w:bCs/>
          <w:i/>
          <w:iCs/>
          <w:color w:val="FF0000"/>
        </w:rPr>
        <w:t xml:space="preserve">: </w:t>
      </w:r>
      <w:r>
        <w:rPr>
          <w:b/>
          <w:bCs/>
          <w:i/>
          <w:iCs/>
          <w:color w:val="FF0000"/>
        </w:rPr>
        <w:t xml:space="preserve">Other combinations of interest </w:t>
      </w:r>
      <w:r w:rsidR="00BD6E6F">
        <w:rPr>
          <w:b/>
          <w:bCs/>
          <w:i/>
          <w:iCs/>
          <w:color w:val="FF0000"/>
        </w:rPr>
        <w:t>are not excluded</w:t>
      </w:r>
      <w:r w:rsidRPr="0079763A">
        <w:rPr>
          <w:b/>
          <w:bCs/>
          <w:i/>
          <w:iCs/>
          <w:color w:val="FF0000"/>
        </w:rPr>
        <w:t>.</w:t>
      </w:r>
    </w:p>
    <w:p w14:paraId="41EDBEA7" w14:textId="77777777" w:rsidR="0079763A" w:rsidRPr="00AC3017" w:rsidRDefault="0079763A" w:rsidP="00AC3017">
      <w:pPr>
        <w:spacing w:after="0" w:line="240" w:lineRule="auto"/>
        <w:contextualSpacing/>
        <w:rPr>
          <w:b/>
          <w:bCs/>
          <w:i/>
          <w:iCs/>
        </w:rPr>
      </w:pP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lastRenderedPageBreak/>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C669AA">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C669AA">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C669AA">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C669AA">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C669AA">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C669AA">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C669AA">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C669AA">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C669AA">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C669AA">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C669AA">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C669AA">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C669AA">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C669AA">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2742FB" w14:paraId="1D7FF7EA" w14:textId="77777777" w:rsidTr="008B4FAA">
        <w:tc>
          <w:tcPr>
            <w:tcW w:w="2070" w:type="dxa"/>
          </w:tcPr>
          <w:p w14:paraId="03541D41" w14:textId="3F82638A" w:rsidR="002742FB" w:rsidRPr="00B80749" w:rsidRDefault="00B80749" w:rsidP="002742FB">
            <w:pPr>
              <w:spacing w:before="0" w:after="0" w:line="240" w:lineRule="auto"/>
              <w:contextualSpacing/>
              <w:rPr>
                <w:rFonts w:eastAsiaTheme="minorEastAsia"/>
                <w:color w:val="000000"/>
                <w:lang w:eastAsia="zh-CN"/>
                <w14:ligatures w14:val="standardContextual"/>
              </w:rPr>
            </w:pPr>
            <w:r w:rsidRPr="00B80749">
              <w:rPr>
                <w:rFonts w:eastAsiaTheme="minorEastAsia"/>
                <w:color w:val="000000"/>
                <w:lang w:eastAsia="zh-CN"/>
                <w14:ligatures w14:val="standardContextual"/>
              </w:rPr>
              <w:lastRenderedPageBreak/>
              <w:t>FL</w:t>
            </w:r>
          </w:p>
        </w:tc>
        <w:tc>
          <w:tcPr>
            <w:tcW w:w="8100" w:type="dxa"/>
          </w:tcPr>
          <w:p w14:paraId="290EB5E0" w14:textId="77777777" w:rsidR="002742FB" w:rsidRDefault="00B80749" w:rsidP="00B80749">
            <w:pPr>
              <w:spacing w:before="0" w:after="0" w:line="240" w:lineRule="auto"/>
              <w:contextualSpacing/>
              <w:rPr>
                <w:rFonts w:eastAsiaTheme="minorHAnsi"/>
                <w:color w:val="FF0000"/>
                <w14:ligatures w14:val="standardContextual"/>
              </w:rPr>
            </w:pPr>
            <w:r w:rsidRPr="00631FAA">
              <w:rPr>
                <w:rFonts w:eastAsiaTheme="minorHAnsi"/>
                <w:color w:val="00B0F0"/>
                <w14:ligatures w14:val="standardContextual"/>
              </w:rPr>
              <w:t xml:space="preserve">@NTT, OPPO, CATT: </w:t>
            </w:r>
            <w:r>
              <w:rPr>
                <w:rFonts w:eastAsiaTheme="minorEastAsia"/>
                <w:bCs/>
                <w:iCs/>
                <w:color w:val="000000"/>
                <w:lang w:eastAsia="zh-CN"/>
                <w14:ligatures w14:val="standardContextual"/>
              </w:rPr>
              <w:t xml:space="preserve">Thanks for your comments. </w:t>
            </w:r>
            <w:r>
              <w:rPr>
                <w:rFonts w:eastAsiaTheme="minorHAnsi"/>
                <w:color w:val="000000"/>
                <w14:ligatures w14:val="standardContextual"/>
              </w:rPr>
              <w:t xml:space="preserve">Proposal 3.1 clarified by adding the </w:t>
            </w:r>
            <w:proofErr w:type="gramStart"/>
            <w:r w:rsidRPr="00B80749">
              <w:rPr>
                <w:rFonts w:eastAsiaTheme="minorHAnsi"/>
                <w:color w:val="FF0000"/>
                <w14:ligatures w14:val="standardContextual"/>
              </w:rPr>
              <w:t>4TX</w:t>
            </w:r>
            <w:proofErr w:type="gramEnd"/>
          </w:p>
          <w:p w14:paraId="4CF2E675" w14:textId="653E9346" w:rsidR="0079763A" w:rsidRPr="00B80749" w:rsidRDefault="0079763A" w:rsidP="00B80749">
            <w:pPr>
              <w:spacing w:before="0" w:after="0" w:line="240" w:lineRule="auto"/>
              <w:contextualSpacing/>
              <w:rPr>
                <w:rFonts w:eastAsiaTheme="minorHAnsi"/>
                <w:color w:val="000000"/>
                <w14:ligatures w14:val="standardContextual"/>
              </w:rPr>
            </w:pPr>
            <w:r w:rsidRPr="00631FAA">
              <w:rPr>
                <w:rFonts w:eastAsiaTheme="minorHAnsi"/>
                <w:color w:val="00B0F0"/>
                <w14:ligatures w14:val="standardContextual"/>
              </w:rPr>
              <w:t xml:space="preserve">@NTT: </w:t>
            </w:r>
            <w:r>
              <w:rPr>
                <w:rFonts w:eastAsiaTheme="minorEastAsia"/>
                <w:bCs/>
                <w:iCs/>
                <w:color w:val="000000"/>
                <w:lang w:eastAsia="zh-CN"/>
                <w14:ligatures w14:val="standardContextual"/>
              </w:rPr>
              <w:t>Thanks for your comments for Proposal 3.4. Please add in your other preferred combinations for discussion.</w:t>
            </w: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 xml:space="preserve">To support UCI multiplexing on PUSCH for transmission with rank&gt;4 by an 8TX UE, UCI is always multiplexed only on one of the CWs, </w:t>
            </w:r>
            <w:proofErr w:type="gramStart"/>
            <w:r w:rsidRPr="00B62662">
              <w:t>down-select</w:t>
            </w:r>
            <w:proofErr w:type="gramEnd"/>
            <w:r w:rsidRPr="00B62662">
              <w:t xml:space="preserve">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 xml:space="preserve">To configure dual CW PUSCH operation by an 8TX UE, </w:t>
      </w:r>
      <w:proofErr w:type="gramStart"/>
      <w:r w:rsidRPr="00A520C7">
        <w:rPr>
          <w:rFonts w:eastAsia="Batang"/>
          <w:b/>
          <w:bCs/>
          <w:i/>
          <w:iCs/>
          <w:strike/>
          <w:sz w:val="22"/>
          <w:szCs w:val="22"/>
          <w:highlight w:val="darkGray"/>
          <w:lang w:eastAsia="x-none"/>
        </w:rPr>
        <w:t>down-select</w:t>
      </w:r>
      <w:proofErr w:type="gramEnd"/>
      <w:r w:rsidRPr="00A520C7">
        <w:rPr>
          <w:rFonts w:eastAsia="Batang"/>
          <w:b/>
          <w:bCs/>
          <w:i/>
          <w:iCs/>
          <w:strike/>
          <w:sz w:val="22"/>
          <w:szCs w:val="22"/>
          <w:highlight w:val="darkGray"/>
          <w:lang w:eastAsia="x-none"/>
        </w:rPr>
        <w:t xml:space="preserve">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lastRenderedPageBreak/>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ListParagraph"/>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ListParagraph"/>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714112" w:rsidRPr="00E9059D" w14:paraId="737066C9" w14:textId="77777777" w:rsidTr="008B4FAA">
        <w:tc>
          <w:tcPr>
            <w:tcW w:w="2070" w:type="dxa"/>
          </w:tcPr>
          <w:p w14:paraId="651872B8" w14:textId="3B5B0824" w:rsidR="00714112" w:rsidRPr="00E9059D" w:rsidRDefault="00B80749"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FL</w:t>
            </w:r>
          </w:p>
        </w:tc>
        <w:tc>
          <w:tcPr>
            <w:tcW w:w="8100" w:type="dxa"/>
          </w:tcPr>
          <w:p w14:paraId="75F5D81A" w14:textId="7B014F01" w:rsidR="00714112" w:rsidRPr="00B744F8" w:rsidRDefault="00B80749" w:rsidP="00B80749">
            <w:pPr>
              <w:spacing w:before="0" w:after="0" w:line="240" w:lineRule="auto"/>
              <w:contextualSpacing/>
              <w:rPr>
                <w:rFonts w:eastAsiaTheme="minorEastAsia"/>
                <w:bCs/>
                <w:iCs/>
                <w:color w:val="000000"/>
                <w:lang w:eastAsia="zh-CN"/>
                <w14:ligatures w14:val="standardContextual"/>
              </w:rPr>
            </w:pPr>
            <w:r w:rsidRPr="00631FAA">
              <w:rPr>
                <w:rFonts w:eastAsiaTheme="minorEastAsia"/>
                <w:bCs/>
                <w:iCs/>
                <w:color w:val="00B0F0"/>
                <w:lang w:eastAsia="zh-CN"/>
                <w14:ligatures w14:val="standardContextual"/>
              </w:rPr>
              <w:t xml:space="preserve">@ Google: </w:t>
            </w:r>
            <w:r>
              <w:rPr>
                <w:rFonts w:eastAsiaTheme="minorEastAsia"/>
                <w:bCs/>
                <w:iCs/>
                <w:color w:val="000000"/>
                <w:lang w:eastAsia="zh-CN"/>
                <w14:ligatures w14:val="standardContextual"/>
              </w:rPr>
              <w:t>Thanks for your comments. Since, the proposal reads “</w:t>
            </w:r>
            <w:r w:rsidRPr="00B80749">
              <w:rPr>
                <w:b/>
                <w:bCs/>
                <w:i/>
                <w:iCs/>
              </w:rPr>
              <w:t>one of the scheduled CWs</w:t>
            </w:r>
            <w:r>
              <w:rPr>
                <w:rFonts w:eastAsiaTheme="minorEastAsia"/>
                <w:bCs/>
                <w:iCs/>
                <w:color w:val="000000"/>
                <w:lang w:eastAsia="zh-CN"/>
                <w14:ligatures w14:val="standardContextual"/>
              </w:rPr>
              <w:t>”, it is expected that gNB has not used a codepoint for a reserved MCS.</w:t>
            </w: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2970009"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ListParagraph"/>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56C9C942"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31FAA" w:rsidRPr="00631FAA">
        <w:rPr>
          <w:rFonts w:ascii="Times New Roman" w:eastAsia="Batang" w:hAnsi="Times New Roman"/>
          <w:b/>
          <w:bCs/>
          <w:i/>
          <w:iCs/>
          <w:color w:val="FF0000"/>
          <w:lang w:eastAsia="x-none"/>
        </w:rPr>
        <w:t xml:space="preserve"> </w:t>
      </w:r>
      <w:r w:rsidR="00631FAA"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C669AA">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C669AA">
            <w:pPr>
              <w:spacing w:after="0" w:line="240" w:lineRule="auto"/>
              <w:contextualSpacing/>
              <w:rPr>
                <w:lang w:eastAsia="zh-CN"/>
              </w:rPr>
            </w:pPr>
          </w:p>
          <w:p w14:paraId="53B25538" w14:textId="77777777" w:rsidR="000D5946" w:rsidRDefault="000D5946" w:rsidP="00C669AA">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C669AA">
            <w:pPr>
              <w:spacing w:before="0" w:after="0" w:line="240" w:lineRule="auto"/>
              <w:contextualSpacing/>
              <w:rPr>
                <w:lang w:eastAsia="zh-CN"/>
              </w:rPr>
            </w:pPr>
          </w:p>
          <w:p w14:paraId="670C79FB" w14:textId="77777777" w:rsidR="000D5946" w:rsidRDefault="000D5946" w:rsidP="00C669AA">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0D5946" w14:paraId="229BB36D" w14:textId="77777777" w:rsidTr="008B4FAA">
        <w:tc>
          <w:tcPr>
            <w:tcW w:w="2070" w:type="dxa"/>
          </w:tcPr>
          <w:p w14:paraId="31277D3A" w14:textId="0BE375BB"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0D5946" w:rsidRPr="00F4121A" w:rsidRDefault="000D5946" w:rsidP="00714112">
            <w:pPr>
              <w:spacing w:before="0" w:after="0" w:line="240" w:lineRule="auto"/>
              <w:ind w:left="360"/>
              <w:contextualSpacing/>
              <w:rPr>
                <w:rFonts w:eastAsiaTheme="minorHAnsi"/>
                <w:b/>
                <w:bCs/>
                <w:i/>
                <w:iCs/>
                <w:color w:val="000000"/>
                <w14:ligatures w14:val="standardContextual"/>
              </w:rPr>
            </w:pPr>
          </w:p>
        </w:tc>
      </w:tr>
      <w:tr w:rsidR="000D5946" w:rsidRPr="006E3439" w14:paraId="671039A7" w14:textId="77777777" w:rsidTr="008B4FAA">
        <w:tc>
          <w:tcPr>
            <w:tcW w:w="2070" w:type="dxa"/>
          </w:tcPr>
          <w:p w14:paraId="4A3F347D" w14:textId="12446098"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lastRenderedPageBreak/>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lastRenderedPageBreak/>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714112" w14:paraId="26F2018F" w14:textId="77777777" w:rsidTr="008B4FAA">
        <w:tc>
          <w:tcPr>
            <w:tcW w:w="2070" w:type="dxa"/>
          </w:tcPr>
          <w:p w14:paraId="3D4343F8" w14:textId="70F71B2C" w:rsidR="00714112" w:rsidRPr="00640110" w:rsidRDefault="00640110" w:rsidP="00714112">
            <w:pPr>
              <w:spacing w:before="0" w:after="0" w:line="240" w:lineRule="auto"/>
              <w:contextualSpacing/>
              <w:rPr>
                <w:rFonts w:eastAsiaTheme="minorHAnsi"/>
                <w:color w:val="000000"/>
                <w14:ligatures w14:val="standardContextual"/>
              </w:rPr>
            </w:pPr>
            <w:r w:rsidRPr="00640110">
              <w:rPr>
                <w:rFonts w:eastAsiaTheme="minorHAnsi"/>
                <w:color w:val="000000"/>
                <w14:ligatures w14:val="standardContextual"/>
              </w:rPr>
              <w:t>FL</w:t>
            </w:r>
          </w:p>
        </w:tc>
        <w:tc>
          <w:tcPr>
            <w:tcW w:w="8100" w:type="dxa"/>
          </w:tcPr>
          <w:p w14:paraId="5893535D" w14:textId="4F25633F" w:rsidR="00714112" w:rsidRPr="00640110" w:rsidRDefault="00640110" w:rsidP="00714112">
            <w:pPr>
              <w:spacing w:before="0" w:after="0" w:line="240" w:lineRule="auto"/>
              <w:contextualSpacing/>
              <w:rPr>
                <w:rFonts w:eastAsiaTheme="minorHAnsi"/>
                <w:color w:val="000000"/>
                <w14:ligatures w14:val="standardContextual"/>
              </w:rPr>
            </w:pPr>
            <w:r w:rsidRPr="00201477">
              <w:rPr>
                <w:rFonts w:eastAsiaTheme="minorHAnsi"/>
                <w:color w:val="00B0F0"/>
                <w14:ligatures w14:val="standardContextual"/>
              </w:rPr>
              <w:t>@Google:</w:t>
            </w:r>
            <w:r w:rsidRPr="00201477">
              <w:rPr>
                <w:rFonts w:eastAsiaTheme="minorEastAsia"/>
                <w:color w:val="00B0F0"/>
                <w:lang w:eastAsia="zh-CN"/>
                <w14:ligatures w14:val="standardContextual"/>
              </w:rPr>
              <w:t xml:space="preserve"> </w:t>
            </w:r>
            <w:r w:rsidRPr="00640110">
              <w:rPr>
                <w:rFonts w:eastAsiaTheme="minorEastAsia"/>
                <w:color w:val="000000"/>
                <w:lang w:eastAsia="zh-CN"/>
                <w14:ligatures w14:val="standardContextual"/>
              </w:rPr>
              <w:t>Thanks for your comments.</w:t>
            </w:r>
            <w:r>
              <w:rPr>
                <w:rFonts w:eastAsiaTheme="minorEastAsia"/>
                <w:color w:val="000000"/>
                <w:lang w:eastAsia="zh-CN"/>
                <w14:ligatures w14:val="standardContextual"/>
              </w:rPr>
              <w:t xml:space="preserve"> I agree with your suggestion, however let’s agree with the general principle first. Then, we discuss and clarified the implications for Ng=2, </w:t>
            </w:r>
            <w:r w:rsidR="00134374">
              <w:rPr>
                <w:rFonts w:eastAsiaTheme="minorEastAsia"/>
                <w:color w:val="000000"/>
                <w:lang w:eastAsia="zh-CN"/>
                <w14:ligatures w14:val="standardContextual"/>
              </w:rPr>
              <w:t>4 at the next step</w:t>
            </w:r>
            <w:r>
              <w:rPr>
                <w:rFonts w:eastAsiaTheme="minorEastAsia"/>
                <w:color w:val="000000"/>
                <w:lang w:eastAsia="zh-CN"/>
                <w14:ligatures w14:val="standardContextual"/>
              </w:rPr>
              <w:t>.</w:t>
            </w: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support to reuse Rel-15 NR DL enabling/disabling scheme </w:t>
            </w:r>
          </w:p>
          <w:p w14:paraId="68F1092A" w14:textId="4652F0AB"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1-group: one TPMI indicates one 8Tx precoder which needs new defined UL 8Tx codebook for rank 1-8 </w:t>
            </w:r>
          </w:p>
          <w:p w14:paraId="1F05878D" w14:textId="397DE6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ListParagraph"/>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lastRenderedPageBreak/>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ListParagraph"/>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Precoding design is based on Rel-15 UL 2TX codebook, </w:t>
            </w:r>
          </w:p>
          <w:p w14:paraId="2D142A40" w14:textId="1598DEAE" w:rsidR="00AB0A5C" w:rsidRPr="00973F86"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Rank=2,3,4: i1,1={0,1,2,3}, i1,2={0}, i1,3={0}, i2={0,1} </w:t>
            </w:r>
          </w:p>
          <w:p w14:paraId="1C678CC2" w14:textId="51D61989"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'fullyAndPartialAndNonCoherent' codebook, partially-</w:t>
            </w:r>
            <w:r w:rsidRPr="005A2851">
              <w:rPr>
                <w:i/>
                <w:iCs/>
                <w:lang w:val="en-US" w:eastAsia="zh-CN"/>
              </w:rPr>
              <w:lastRenderedPageBreak/>
              <w:t xml:space="preserve">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ListParagraph"/>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 xml:space="preserve">UE ignores the field for the second CW and only transmit the first CW when the number </w:t>
            </w:r>
            <w:r w:rsidRPr="00973F86">
              <w:rPr>
                <w:rFonts w:eastAsia="Times New Roman"/>
                <w:lang w:val="en-US"/>
              </w:rPr>
              <w:lastRenderedPageBreak/>
              <w:t>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Alt1: </w:t>
            </w:r>
          </w:p>
          <w:p w14:paraId="27113119" w14:textId="77777777" w:rsidR="003004E7" w:rsidRPr="00973F86"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lastRenderedPageBreak/>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75pt;mso-width-percent:0;mso-height-percent:0;mso-width-percent:0;mso-height-percent:0" o:ole="">
                        <v:imagedata r:id="rId15" o:title=""/>
                      </v:shape>
                      <o:OLEObject Type="Embed" ProgID="Visio.Drawing.15" ShapeID="_x0000_i1026" DrawAspect="Content" ObjectID="_1742970010"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ListParagraph"/>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ListParagraph"/>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BodyText"/>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ListParagraph"/>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BodyText"/>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BodyText"/>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pt;mso-width-percent:0;mso-height-percent:0;mso-width-percent:0;mso-height-percent:0" o:ole="">
                        <v:imagedata r:id="rId21" o:title=""/>
                      </v:shape>
                      <o:OLEObject Type="Embed" ProgID="Visio.Drawing.15" ShapeID="_x0000_i1027" DrawAspect="Content" ObjectID="_1742970011"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4C62" w14:textId="77777777" w:rsidR="00FF1AB2" w:rsidRDefault="00FF1AB2">
      <w:pPr>
        <w:spacing w:after="0" w:line="240" w:lineRule="auto"/>
      </w:pPr>
      <w:r>
        <w:separator/>
      </w:r>
    </w:p>
  </w:endnote>
  <w:endnote w:type="continuationSeparator" w:id="0">
    <w:p w14:paraId="21234968" w14:textId="77777777" w:rsidR="00FF1AB2" w:rsidRDefault="00FF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97ECE" w:rsidRDefault="00F97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97ECE" w:rsidRDefault="00F97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F97ECE" w:rsidRDefault="00F97ECE">
    <w:pPr>
      <w:pStyle w:val="Footer"/>
      <w:ind w:right="360"/>
    </w:pPr>
    <w:r>
      <w:rPr>
        <w:rStyle w:val="PageNumber"/>
      </w:rPr>
      <w:fldChar w:fldCharType="begin"/>
    </w:r>
    <w:r>
      <w:rPr>
        <w:rStyle w:val="PageNumber"/>
      </w:rPr>
      <w:instrText xml:space="preserve"> PAGE </w:instrText>
    </w:r>
    <w:r>
      <w:rPr>
        <w:rStyle w:val="PageNumber"/>
      </w:rPr>
      <w:fldChar w:fldCharType="separate"/>
    </w:r>
    <w:r w:rsidR="000D5946">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5946">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3BD1" w14:textId="77777777" w:rsidR="00FF1AB2" w:rsidRDefault="00FF1AB2">
      <w:pPr>
        <w:spacing w:after="0" w:line="240" w:lineRule="auto"/>
      </w:pPr>
      <w:r>
        <w:separator/>
      </w:r>
    </w:p>
  </w:footnote>
  <w:footnote w:type="continuationSeparator" w:id="0">
    <w:p w14:paraId="34BF5BE4" w14:textId="77777777" w:rsidR="00FF1AB2" w:rsidRDefault="00FF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392676">
    <w:abstractNumId w:val="19"/>
  </w:num>
  <w:num w:numId="2" w16cid:durableId="900141371">
    <w:abstractNumId w:val="44"/>
  </w:num>
  <w:num w:numId="3" w16cid:durableId="17544298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213272">
    <w:abstractNumId w:val="1"/>
  </w:num>
  <w:num w:numId="5" w16cid:durableId="1393843219">
    <w:abstractNumId w:val="36"/>
  </w:num>
  <w:num w:numId="6" w16cid:durableId="1455758795">
    <w:abstractNumId w:val="26"/>
    <w:lvlOverride w:ilvl="0">
      <w:startOverride w:val="1"/>
    </w:lvlOverride>
  </w:num>
  <w:num w:numId="7" w16cid:durableId="1300769608">
    <w:abstractNumId w:val="41"/>
  </w:num>
  <w:num w:numId="8" w16cid:durableId="1671562279">
    <w:abstractNumId w:val="13"/>
  </w:num>
  <w:num w:numId="9" w16cid:durableId="1791632991">
    <w:abstractNumId w:val="14"/>
  </w:num>
  <w:num w:numId="10" w16cid:durableId="117336825">
    <w:abstractNumId w:val="40"/>
  </w:num>
  <w:num w:numId="11" w16cid:durableId="61418635">
    <w:abstractNumId w:val="20"/>
  </w:num>
  <w:num w:numId="12" w16cid:durableId="1235894989">
    <w:abstractNumId w:val="4"/>
  </w:num>
  <w:num w:numId="13" w16cid:durableId="587883598">
    <w:abstractNumId w:val="16"/>
  </w:num>
  <w:num w:numId="14" w16cid:durableId="1621759589">
    <w:abstractNumId w:val="24"/>
  </w:num>
  <w:num w:numId="15" w16cid:durableId="16077442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510127">
    <w:abstractNumId w:val="21"/>
  </w:num>
  <w:num w:numId="17" w16cid:durableId="904754527">
    <w:abstractNumId w:val="38"/>
  </w:num>
  <w:num w:numId="18" w16cid:durableId="235021521">
    <w:abstractNumId w:val="10"/>
  </w:num>
  <w:num w:numId="19" w16cid:durableId="970133080">
    <w:abstractNumId w:val="32"/>
  </w:num>
  <w:num w:numId="20" w16cid:durableId="607273765">
    <w:abstractNumId w:val="29"/>
  </w:num>
  <w:num w:numId="21" w16cid:durableId="266237323">
    <w:abstractNumId w:val="5"/>
  </w:num>
  <w:num w:numId="22" w16cid:durableId="723135788">
    <w:abstractNumId w:val="3"/>
  </w:num>
  <w:num w:numId="23" w16cid:durableId="229776528">
    <w:abstractNumId w:val="8"/>
  </w:num>
  <w:num w:numId="24" w16cid:durableId="1792937362">
    <w:abstractNumId w:val="9"/>
  </w:num>
  <w:num w:numId="25" w16cid:durableId="1391687086">
    <w:abstractNumId w:val="42"/>
  </w:num>
  <w:num w:numId="26" w16cid:durableId="2024018096">
    <w:abstractNumId w:val="30"/>
  </w:num>
  <w:num w:numId="27" w16cid:durableId="1092049657">
    <w:abstractNumId w:val="18"/>
  </w:num>
  <w:num w:numId="28" w16cid:durableId="441457816">
    <w:abstractNumId w:val="6"/>
  </w:num>
  <w:num w:numId="29" w16cid:durableId="1504319049">
    <w:abstractNumId w:val="35"/>
  </w:num>
  <w:num w:numId="30" w16cid:durableId="1735157926">
    <w:abstractNumId w:val="12"/>
  </w:num>
  <w:num w:numId="31" w16cid:durableId="156768118">
    <w:abstractNumId w:val="7"/>
  </w:num>
  <w:num w:numId="32" w16cid:durableId="490679607">
    <w:abstractNumId w:val="31"/>
  </w:num>
  <w:num w:numId="33" w16cid:durableId="1228883019">
    <w:abstractNumId w:val="39"/>
  </w:num>
  <w:num w:numId="34" w16cid:durableId="720904997">
    <w:abstractNumId w:val="34"/>
  </w:num>
  <w:num w:numId="35" w16cid:durableId="2080397155">
    <w:abstractNumId w:val="22"/>
  </w:num>
  <w:num w:numId="36" w16cid:durableId="1516529408">
    <w:abstractNumId w:val="11"/>
  </w:num>
  <w:num w:numId="37" w16cid:durableId="821777393">
    <w:abstractNumId w:val="15"/>
  </w:num>
  <w:num w:numId="38" w16cid:durableId="569384594">
    <w:abstractNumId w:val="23"/>
  </w:num>
  <w:num w:numId="39" w16cid:durableId="266232061">
    <w:abstractNumId w:val="2"/>
  </w:num>
  <w:num w:numId="40" w16cid:durableId="15844895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462724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3924446">
    <w:abstractNumId w:val="0"/>
  </w:num>
  <w:num w:numId="43" w16cid:durableId="1444421144">
    <w:abstractNumId w:val="37"/>
  </w:num>
  <w:num w:numId="44" w16cid:durableId="1061633899">
    <w:abstractNumId w:val="38"/>
  </w:num>
  <w:num w:numId="45" w16cid:durableId="1377270669">
    <w:abstractNumId w:val="33"/>
  </w:num>
  <w:num w:numId="46" w16cid:durableId="861094110">
    <w:abstractNumId w:val="25"/>
  </w:num>
  <w:num w:numId="47" w16cid:durableId="275791643">
    <w:abstractNumId w:val="5"/>
  </w:num>
  <w:num w:numId="48" w16cid:durableId="1124538455">
    <w:abstractNumId w:val="8"/>
  </w:num>
  <w:num w:numId="49" w16cid:durableId="1233657477">
    <w:abstractNumId w:val="38"/>
  </w:num>
  <w:num w:numId="50" w16cid:durableId="1224758420">
    <w:abstractNumId w:val="5"/>
  </w:num>
  <w:num w:numId="51" w16cid:durableId="32466753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374"/>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477"/>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3A9"/>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1FAA"/>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1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63A"/>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49"/>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6E6F"/>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69"/>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B2"/>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A46ABB9E-DA39-47D9-A83C-BF5E725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45</Pages>
  <Words>18858</Words>
  <Characters>107497</Characters>
  <Application>Microsoft Office Word</Application>
  <DocSecurity>0</DocSecurity>
  <Lines>895</Lines>
  <Paragraphs>252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11</cp:revision>
  <cp:lastPrinted>2011-11-09T07:49:00Z</cp:lastPrinted>
  <dcterms:created xsi:type="dcterms:W3CDTF">2023-04-14T12:53:00Z</dcterms:created>
  <dcterms:modified xsi:type="dcterms:W3CDTF">2023-04-14T13:33:00Z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