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 xml:space="preserve">For fully coherent uplink precoding by an 8TX UE, based on NR Rel-15 single panel DL Type I codebook (CodebookMode=1),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r w:rsidRPr="00C33AB1">
        <w:rPr>
          <w:rFonts w:ascii="Cambria Math" w:hAnsi="Cambria Math" w:cs="Cambria Math"/>
          <w:color w:val="0070C0"/>
          <w:sz w:val="22"/>
          <w:szCs w:val="22"/>
        </w:rPr>
        <w:t>O</w:t>
      </w:r>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 xml:space="preserve">For fully coherent uplink precoding by an 8TX UE, based on NR Rel-15 single panel DL Type I codebook (CodebookMode=1),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(O1,O2)=(2,2)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a optional feature</w:t>
            </w:r>
            <w:r>
              <w:rPr>
                <w:rStyle w:val="Emphasis"/>
                <w:rFonts w:hint="eastAsia"/>
                <w:i w:val="0"/>
                <w:lang w:val="en-US" w:eastAsia="zh-CN"/>
              </w:rPr>
              <w:t xml:space="preserve"> can be supported based on gNB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5C73BFF3" w:rsidR="002742FB" w:rsidRPr="00F4121A" w:rsidRDefault="002742FB" w:rsidP="002742FB">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2742FB" w:rsidRPr="00F4121A" w:rsidRDefault="002742FB" w:rsidP="002742FB">
            <w:pPr>
              <w:spacing w:before="0" w:after="0" w:line="240" w:lineRule="auto"/>
              <w:contextualSpacing/>
              <w:rPr>
                <w:rFonts w:eastAsiaTheme="minorHAnsi"/>
                <w:b/>
                <w:bCs/>
                <w:i/>
                <w:iCs/>
                <w:color w:val="000000"/>
                <w14:ligatures w14:val="standardContextual"/>
              </w:rPr>
            </w:pP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lastRenderedPageBreak/>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964D53">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964D53">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964D53">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964D53">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964D53">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964D53">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964D53">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964D53">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964D53">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964D53">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964D53">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964D53">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964D53">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964D53">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964D53">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964D53">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964D53">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964D53">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964D53">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964D53">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964D53">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964D53">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964D53">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964D53">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964D53">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964D53">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964D53">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964D53">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964D53">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lastRenderedPageBreak/>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23820812"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964D53">
              <w:rPr>
                <w:kern w:val="2"/>
                <w:lang w:eastAsia="zh-CN"/>
                <w14:ligatures w14:val="standardContextual"/>
              </w:rPr>
              <w:t>,0,0</w:t>
            </w:r>
            <w:r>
              <w:rPr>
                <w:kern w:val="2"/>
                <w:lang w:eastAsia="zh-CN"/>
                <w14:ligatures w14:val="standardContextual"/>
              </w:rPr>
              <w:t>), (0,1</w:t>
            </w:r>
            <w:r w:rsidR="00964D53">
              <w:rPr>
                <w:kern w:val="2"/>
                <w:lang w:eastAsia="zh-CN"/>
                <w14:ligatures w14:val="standardContextual"/>
              </w:rPr>
              <w:t>,0,0</w:t>
            </w:r>
            <w:r>
              <w:rPr>
                <w:kern w:val="2"/>
                <w:lang w:eastAsia="zh-CN"/>
                <w14:ligatures w14:val="standardContextual"/>
              </w:rPr>
              <w:t>)</w:t>
            </w:r>
            <w:r w:rsidR="00964D53">
              <w:rPr>
                <w:kern w:val="2"/>
                <w:lang w:eastAsia="zh-CN"/>
                <w14:ligatures w14:val="standardContextual"/>
              </w:rPr>
              <w:t>, (0,0,1,0),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for rank = 3, 8Tx precoders generated with full-coherent 4Tx precoder + partial-coherent 4Tx precoder slightly outperforms 8Tx precoders generated with two full-</w:t>
            </w:r>
            <w:r>
              <w:rPr>
                <w:rFonts w:hint="eastAsia"/>
                <w:lang w:val="en-US" w:eastAsia="zh-CN"/>
              </w:rPr>
              <w:lastRenderedPageBreak/>
              <w:t xml:space="preserve">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lastRenderedPageBreak/>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232395BC"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lastRenderedPageBreak/>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lastRenderedPageBreak/>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A second mcsAndTBS parameters is configured in rrc-ConfiguredUplinkGrant.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lastRenderedPageBreak/>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lastRenderedPageBreak/>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8B4FAA">
        <w:tc>
          <w:tcPr>
            <w:tcW w:w="2070" w:type="dxa"/>
          </w:tcPr>
          <w:p w14:paraId="3A242B46" w14:textId="226B813D"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9pt;height:316.9pt;mso-width-percent:0;mso-height-percent:0;mso-width-percent:0;mso-height-percent:0" o:ole="">
                        <v:imagedata r:id="rId15" o:title=""/>
                      </v:shape>
                      <o:OLEObject Type="Embed" ProgID="Visio.Drawing.15" ShapeID="_x0000_i1025" DrawAspect="Content" ObjectID="_1742996581"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lastRenderedPageBreak/>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lastRenderedPageBreak/>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12446098"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r>
      <w:tr w:rsidR="000D5946" w14:paraId="09DF392B" w14:textId="77777777" w:rsidTr="008B4FAA">
        <w:tc>
          <w:tcPr>
            <w:tcW w:w="2070" w:type="dxa"/>
          </w:tcPr>
          <w:p w14:paraId="7480A696" w14:textId="3159866F"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0D5946" w:rsidRPr="00F4121A" w:rsidRDefault="000D5946" w:rsidP="00714112">
            <w:pPr>
              <w:spacing w:before="0" w:after="0" w:line="240" w:lineRule="auto"/>
              <w:contextualSpacing/>
              <w:rPr>
                <w:rFonts w:eastAsiaTheme="minorHAnsi"/>
                <w:b/>
                <w:bCs/>
                <w:i/>
                <w:iCs/>
                <w:color w:val="000000"/>
                <w14:ligatures w14:val="standardContextual"/>
              </w:rPr>
            </w:pPr>
          </w:p>
        </w:tc>
      </w:tr>
      <w:tr w:rsidR="000D5946" w14:paraId="483A0D6E" w14:textId="77777777" w:rsidTr="008B4FAA">
        <w:tc>
          <w:tcPr>
            <w:tcW w:w="2070" w:type="dxa"/>
          </w:tcPr>
          <w:p w14:paraId="53A0E51C" w14:textId="277792C6" w:rsidR="000D5946" w:rsidRPr="008A04A9" w:rsidRDefault="000D5946"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0D5946" w:rsidRPr="008A04A9" w:rsidRDefault="000D5946" w:rsidP="00714112">
            <w:pPr>
              <w:spacing w:before="0" w:after="0" w:line="240" w:lineRule="auto"/>
              <w:contextualSpacing/>
              <w:rPr>
                <w:rFonts w:eastAsiaTheme="minorHAnsi"/>
                <w:color w:val="000000"/>
                <w14:ligatures w14:val="standardContextual"/>
              </w:rPr>
            </w:pP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lastRenderedPageBreak/>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lastRenderedPageBreak/>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=8 and lmax=8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lastRenderedPageBreak/>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lastRenderedPageBreak/>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41286CE9"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lastRenderedPageBreak/>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2.9pt;height:342.65pt;mso-width-percent:0;mso-height-percent:0;mso-width-percent:0;mso-height-percent:0" o:ole="">
                        <v:imagedata r:id="rId15" o:title=""/>
                      </v:shape>
                      <o:OLEObject Type="Embed" ProgID="Visio.Drawing.15" ShapeID="_x0000_i1026" DrawAspect="Content" ObjectID="_1742996582"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Emphasis"/>
                      <w:i w:val="0"/>
                      <w:iCs w:val="0"/>
                    </w:rPr>
                    <w:t>d</w:t>
                  </w:r>
                  <w:r w:rsidRPr="00265852">
                    <w:t>H ,</w:t>
                  </w:r>
                  <w:r w:rsidRPr="00265852">
                    <w:rPr>
                      <w:rStyle w:val="apple-converted-space"/>
                    </w:rPr>
                    <w:t> </w:t>
                  </w:r>
                  <w:r w:rsidRPr="00265852">
                    <w:rPr>
                      <w:rStyle w:val="Emphasis"/>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8pt;height:93.2pt;mso-width-percent:0;mso-height-percent:0;mso-width-percent:0;mso-height-percent:0" o:ole="">
                        <v:imagedata r:id="rId21" o:title=""/>
                      </v:shape>
                      <o:OLEObject Type="Embed" ProgID="Visio.Drawing.15" ShapeID="_x0000_i1027" DrawAspect="Content" ObjectID="_1742996583"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FDA6" w14:textId="77777777" w:rsidR="001949C7" w:rsidRDefault="001949C7">
      <w:pPr>
        <w:spacing w:after="0" w:line="240" w:lineRule="auto"/>
      </w:pPr>
      <w:r>
        <w:separator/>
      </w:r>
    </w:p>
  </w:endnote>
  <w:endnote w:type="continuationSeparator" w:id="0">
    <w:p w14:paraId="7A2C49B1" w14:textId="77777777" w:rsidR="001949C7" w:rsidRDefault="0019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740866" w:rsidRDefault="00740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740866" w:rsidRDefault="00740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740866" w:rsidRDefault="0074086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CDB1" w14:textId="77777777" w:rsidR="001949C7" w:rsidRDefault="001949C7">
      <w:pPr>
        <w:spacing w:after="0" w:line="240" w:lineRule="auto"/>
      </w:pPr>
      <w:r>
        <w:separator/>
      </w:r>
    </w:p>
  </w:footnote>
  <w:footnote w:type="continuationSeparator" w:id="0">
    <w:p w14:paraId="637AC634" w14:textId="77777777" w:rsidR="001949C7" w:rsidRDefault="0019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740866" w:rsidRDefault="007408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0"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3"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642691">
    <w:abstractNumId w:val="16"/>
  </w:num>
  <w:num w:numId="2" w16cid:durableId="911893816">
    <w:abstractNumId w:val="40"/>
  </w:num>
  <w:num w:numId="3" w16cid:durableId="2047558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551331">
    <w:abstractNumId w:val="1"/>
  </w:num>
  <w:num w:numId="5" w16cid:durableId="23485704">
    <w:abstractNumId w:val="31"/>
  </w:num>
  <w:num w:numId="6" w16cid:durableId="248346724">
    <w:abstractNumId w:val="23"/>
    <w:lvlOverride w:ilvl="0">
      <w:startOverride w:val="1"/>
    </w:lvlOverride>
  </w:num>
  <w:num w:numId="7" w16cid:durableId="1505168417">
    <w:abstractNumId w:val="37"/>
  </w:num>
  <w:num w:numId="8" w16cid:durableId="1152411703">
    <w:abstractNumId w:val="12"/>
  </w:num>
  <w:num w:numId="9" w16cid:durableId="1025906135">
    <w:abstractNumId w:val="13"/>
  </w:num>
  <w:num w:numId="10" w16cid:durableId="970987132">
    <w:abstractNumId w:val="36"/>
  </w:num>
  <w:num w:numId="11" w16cid:durableId="61566890">
    <w:abstractNumId w:val="17"/>
  </w:num>
  <w:num w:numId="12" w16cid:durableId="620838991">
    <w:abstractNumId w:val="4"/>
  </w:num>
  <w:num w:numId="13" w16cid:durableId="1476919337">
    <w:abstractNumId w:val="15"/>
  </w:num>
  <w:num w:numId="14" w16cid:durableId="848527183">
    <w:abstractNumId w:val="21"/>
  </w:num>
  <w:num w:numId="15" w16cid:durableId="178896603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4408397">
    <w:abstractNumId w:val="18"/>
  </w:num>
  <w:num w:numId="17" w16cid:durableId="1282953916">
    <w:abstractNumId w:val="34"/>
  </w:num>
  <w:num w:numId="18" w16cid:durableId="1506284445">
    <w:abstractNumId w:val="9"/>
  </w:num>
  <w:num w:numId="19" w16cid:durableId="1951354027">
    <w:abstractNumId w:val="28"/>
  </w:num>
  <w:num w:numId="20" w16cid:durableId="703751438">
    <w:abstractNumId w:val="26"/>
  </w:num>
  <w:num w:numId="21" w16cid:durableId="537939847">
    <w:abstractNumId w:val="5"/>
  </w:num>
  <w:num w:numId="22" w16cid:durableId="2024237661">
    <w:abstractNumId w:val="3"/>
  </w:num>
  <w:num w:numId="23" w16cid:durableId="1845167729">
    <w:abstractNumId w:val="7"/>
  </w:num>
  <w:num w:numId="24" w16cid:durableId="607007027">
    <w:abstractNumId w:val="8"/>
  </w:num>
  <w:num w:numId="25" w16cid:durableId="2095467249">
    <w:abstractNumId w:val="11"/>
  </w:num>
  <w:num w:numId="26" w16cid:durableId="840240555">
    <w:abstractNumId w:val="6"/>
  </w:num>
  <w:num w:numId="27" w16cid:durableId="1717662395">
    <w:abstractNumId w:val="27"/>
  </w:num>
  <w:num w:numId="28" w16cid:durableId="822239886">
    <w:abstractNumId w:val="35"/>
  </w:num>
  <w:num w:numId="29" w16cid:durableId="377095911">
    <w:abstractNumId w:val="30"/>
  </w:num>
  <w:num w:numId="30" w16cid:durableId="958146774">
    <w:abstractNumId w:val="19"/>
  </w:num>
  <w:num w:numId="31" w16cid:durableId="1164511151">
    <w:abstractNumId w:val="10"/>
  </w:num>
  <w:num w:numId="32" w16cid:durableId="764227132">
    <w:abstractNumId w:val="14"/>
  </w:num>
  <w:num w:numId="33" w16cid:durableId="1378359269">
    <w:abstractNumId w:val="20"/>
  </w:num>
  <w:num w:numId="34" w16cid:durableId="271477854">
    <w:abstractNumId w:val="2"/>
  </w:num>
  <w:num w:numId="35" w16cid:durableId="116150808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6246658">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8373021">
    <w:abstractNumId w:val="0"/>
  </w:num>
  <w:num w:numId="38" w16cid:durableId="689257228">
    <w:abstractNumId w:val="33"/>
  </w:num>
  <w:num w:numId="39" w16cid:durableId="20326489">
    <w:abstractNumId w:val="34"/>
  </w:num>
  <w:num w:numId="40" w16cid:durableId="230194251">
    <w:abstractNumId w:val="22"/>
  </w:num>
  <w:num w:numId="41" w16cid:durableId="1759520795">
    <w:abstractNumId w:val="5"/>
  </w:num>
  <w:num w:numId="42" w16cid:durableId="1654985017">
    <w:abstractNumId w:val="7"/>
  </w:num>
  <w:num w:numId="43" w16cid:durableId="1524515385">
    <w:abstractNumId w:val="34"/>
  </w:num>
  <w:num w:numId="44" w16cid:durableId="757991446">
    <w:abstractNumId w:val="5"/>
  </w:num>
  <w:num w:numId="45" w16cid:durableId="1543060123">
    <w:abstractNumId w:val="29"/>
  </w:num>
  <w:num w:numId="46" w16cid:durableId="212884438">
    <w:abstractNumId w:val="38"/>
  </w:num>
  <w:num w:numId="47" w16cid:durableId="266238823">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9C7"/>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53"/>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4B1D0F-A7EA-485C-A687-4D0BD68C1A8C}">
  <ds:schemaRefs>
    <ds:schemaRef ds:uri="http://schemas.openxmlformats.org/officeDocument/2006/bibliography"/>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46</Pages>
  <Words>19734</Words>
  <Characters>112484</Characters>
  <Application>Microsoft Office Word</Application>
  <DocSecurity>0</DocSecurity>
  <Lines>937</Lines>
  <Paragraphs>263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8</cp:revision>
  <cp:lastPrinted>2011-11-09T07:49:00Z</cp:lastPrinted>
  <dcterms:created xsi:type="dcterms:W3CDTF">2023-04-14T13:28:00Z</dcterms:created>
  <dcterms:modified xsi:type="dcterms:W3CDTF">2023-04-14T20:56:00Z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