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afd"/>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afd"/>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afd"/>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afd"/>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pPr>
              <w:pStyle w:val="afd"/>
              <w:numPr>
                <w:ilvl w:val="0"/>
                <w:numId w:val="23"/>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01119E">
            <w:pPr>
              <w:pStyle w:val="afd"/>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01119E">
            <w:pPr>
              <w:pStyle w:val="afd"/>
              <w:numPr>
                <w:ilvl w:val="0"/>
                <w:numId w:val="70"/>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576A5886"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bl>
    <w:p w14:paraId="6CB60D84" w14:textId="77777777" w:rsidR="00597F50" w:rsidRDefault="00597F50"/>
    <w:p w14:paraId="1F318175" w14:textId="77777777" w:rsidR="00597F50" w:rsidRDefault="00FB02A1">
      <w:pPr>
        <w:pStyle w:val="a3"/>
        <w:spacing w:after="0" w:line="240" w:lineRule="auto"/>
        <w:jc w:val="center"/>
      </w:pPr>
      <w:r>
        <w:t>Table 1B Type II CJT: summary of observation from SLS</w:t>
      </w:r>
    </w:p>
    <w:tbl>
      <w:tblPr>
        <w:tblStyle w:val="a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A047051" w14:textId="77777777" w:rsidR="00597F50" w:rsidRDefault="00597F50">
            <w:pPr>
              <w:rPr>
                <w:iCs/>
                <w:sz w:val="16"/>
                <w:szCs w:val="16"/>
              </w:rPr>
            </w:pPr>
            <w:bookmarkStart w:id="4" w:name="_Ref118709560"/>
          </w:p>
          <w:p w14:paraId="4755C671" w14:textId="77777777" w:rsidR="00597F50" w:rsidRDefault="00FB02A1">
            <w:pPr>
              <w:rPr>
                <w:iCs/>
                <w:sz w:val="16"/>
                <w:szCs w:val="16"/>
              </w:rPr>
            </w:pPr>
            <w:r>
              <w:rPr>
                <w:iCs/>
                <w:sz w:val="16"/>
                <w:szCs w:val="16"/>
              </w:rPr>
              <w:t>Combining the payload and the SE gain, Alt1 outperforms Alt 3.</w:t>
            </w:r>
            <w:bookmarkEnd w:id="4"/>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a3"/>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w:t>
            </w:r>
            <w:bookmarkStart w:id="5" w:name="_GoBack"/>
            <w:bookmarkEnd w:id="5"/>
            <w:r>
              <w:rPr>
                <w:rFonts w:ascii="Times" w:eastAsiaTheme="minorEastAsia" w:hAnsi="Times" w:cs="Times"/>
                <w:sz w:val="18"/>
                <w:szCs w:val="18"/>
                <w:lang w:val="en-GB" w:eastAsia="zh-CN"/>
              </w:rPr>
              <w:t xml:space="preserve">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rPr>
              <w:lastRenderedPageBreak/>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bl>
    <w:p w14:paraId="7E441F67" w14:textId="77777777" w:rsidR="00597F50" w:rsidRDefault="00597F50">
      <w:pPr>
        <w:rPr>
          <w:lang w:val="en-GB"/>
        </w:rPr>
      </w:pPr>
    </w:p>
    <w:p w14:paraId="1675AA9B" w14:textId="77777777" w:rsidR="00597F50" w:rsidRDefault="00FB02A1">
      <w:pPr>
        <w:pStyle w:val="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a3"/>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pPr>
              <w:pStyle w:val="afd"/>
              <w:widowControl w:val="0"/>
              <w:numPr>
                <w:ilvl w:val="0"/>
                <w:numId w:val="34"/>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pPr>
              <w:pStyle w:val="afd"/>
              <w:widowControl w:val="0"/>
              <w:numPr>
                <w:ilvl w:val="0"/>
                <w:numId w:val="34"/>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753A32">
            <w:pPr>
              <w:pStyle w:val="afd"/>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753A32">
            <w:pPr>
              <w:pStyle w:val="afd"/>
              <w:numPr>
                <w:ilvl w:val="0"/>
                <w:numId w:val="70"/>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77777777" w:rsidR="00597F50" w:rsidRDefault="00597F50">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794FB954" w:rsidR="00753A32" w:rsidRDefault="00753A32">
            <w:pPr>
              <w:widowControl w:val="0"/>
              <w:snapToGrid w:val="0"/>
              <w:jc w:val="both"/>
              <w:rPr>
                <w:b/>
                <w:sz w:val="18"/>
                <w:szCs w:val="18"/>
                <w:lang w:val="en-GB"/>
              </w:rPr>
            </w:pPr>
            <w:r>
              <w:rPr>
                <w:b/>
                <w:sz w:val="18"/>
                <w:szCs w:val="18"/>
                <w:lang w:val="en-GB"/>
              </w:rPr>
              <w:t>Alt1 (DDBI in G0):</w:t>
            </w:r>
          </w:p>
          <w:p w14:paraId="2F8489C9" w14:textId="0AA6A583" w:rsidR="00753A32" w:rsidRDefault="00753A32">
            <w:pPr>
              <w:widowControl w:val="0"/>
              <w:snapToGrid w:val="0"/>
              <w:jc w:val="both"/>
              <w:rPr>
                <w:b/>
                <w:sz w:val="18"/>
                <w:szCs w:val="18"/>
                <w:lang w:val="en-GB"/>
              </w:rPr>
            </w:pPr>
          </w:p>
          <w:p w14:paraId="36283CA0" w14:textId="277F19A7" w:rsidR="00753A32" w:rsidRDefault="00753A32">
            <w:pPr>
              <w:widowControl w:val="0"/>
              <w:snapToGrid w:val="0"/>
              <w:jc w:val="both"/>
              <w:rPr>
                <w:b/>
                <w:sz w:val="18"/>
                <w:szCs w:val="18"/>
                <w:lang w:val="en-GB"/>
              </w:rPr>
            </w:pPr>
            <w:r>
              <w:rPr>
                <w:b/>
                <w:sz w:val="18"/>
                <w:szCs w:val="18"/>
                <w:lang w:val="en-GB"/>
              </w:rPr>
              <w:t>Alt2 (DDBI in G1):</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bl>
    <w:p w14:paraId="47917AEF" w14:textId="77777777" w:rsidR="00597F50" w:rsidRDefault="00597F50"/>
    <w:p w14:paraId="332605BB" w14:textId="77777777" w:rsidR="00597F50" w:rsidRDefault="00FB02A1">
      <w:pPr>
        <w:pStyle w:val="a3"/>
        <w:spacing w:after="0" w:line="240" w:lineRule="auto"/>
        <w:jc w:val="center"/>
      </w:pPr>
      <w:r>
        <w:t>Table 3B Type II Doppler: summary of observation from SLS</w:t>
      </w:r>
    </w:p>
    <w:tbl>
      <w:tblPr>
        <w:tblStyle w:val="a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a3"/>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bl>
    <w:p w14:paraId="240EA407" w14:textId="77777777" w:rsidR="00597F50" w:rsidRDefault="00597F50">
      <w:pPr>
        <w:rPr>
          <w:lang w:eastAsia="zh-CN"/>
        </w:rPr>
      </w:pPr>
    </w:p>
    <w:p w14:paraId="60B761A7" w14:textId="77777777" w:rsidR="00597F50" w:rsidRDefault="00FB02A1">
      <w:pPr>
        <w:pStyle w:val="3"/>
        <w:numPr>
          <w:ilvl w:val="1"/>
          <w:numId w:val="14"/>
        </w:numPr>
      </w:pPr>
      <w:r>
        <w:lastRenderedPageBreak/>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a3"/>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pPr>
              <w:pStyle w:val="afd"/>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27523C9E" w14:textId="77777777" w:rsidR="00F12494" w:rsidRDefault="00F12494">
            <w:pPr>
              <w:pStyle w:val="afd"/>
              <w:numPr>
                <w:ilvl w:val="1"/>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8EC33FF" w14:textId="77777777" w:rsidR="00F12494" w:rsidRDefault="00F12494">
            <w:pPr>
              <w:pStyle w:val="afd"/>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pPr>
              <w:pStyle w:val="afd"/>
              <w:numPr>
                <w:ilvl w:val="0"/>
                <w:numId w:val="44"/>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pPr>
              <w:pStyle w:val="afd"/>
              <w:numPr>
                <w:ilvl w:val="0"/>
                <w:numId w:val="44"/>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45AEAC88" w:rsidR="00EF7286" w:rsidRPr="006E7B10" w:rsidRDefault="00EF7286" w:rsidP="006E7B10">
            <w:pPr>
              <w:pStyle w:val="afd"/>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all the resource sets share a same QCL-Type-A/C and, if applicable, Type-D source </w:t>
            </w:r>
          </w:p>
          <w:p w14:paraId="38D3DEB2" w14:textId="3D38B078" w:rsidR="006E7B10" w:rsidRPr="006E7B10" w:rsidRDefault="006E7B10" w:rsidP="006E7B10">
            <w:pPr>
              <w:pStyle w:val="afd"/>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 1)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F12494">
            <w:pPr>
              <w:pStyle w:val="afd"/>
              <w:widowControl w:val="0"/>
              <w:numPr>
                <w:ilvl w:val="0"/>
                <w:numId w:val="45"/>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F12494">
            <w:pPr>
              <w:pStyle w:val="afd"/>
              <w:widowControl w:val="0"/>
              <w:numPr>
                <w:ilvl w:val="0"/>
                <w:numId w:val="45"/>
              </w:numPr>
              <w:snapToGrid w:val="0"/>
              <w:spacing w:after="0" w:line="240" w:lineRule="auto"/>
              <w:jc w:val="both"/>
              <w:rPr>
                <w:color w:val="3333FF"/>
                <w:sz w:val="16"/>
                <w:szCs w:val="20"/>
                <w:lang w:val="en-GB"/>
              </w:rPr>
            </w:pPr>
            <w:r w:rsidRPr="006E7B10">
              <w:rPr>
                <w:bCs/>
                <w:color w:val="3333FF"/>
                <w:sz w:val="16"/>
                <w:szCs w:val="20"/>
                <w:lang w:eastAsia="zh-CN"/>
              </w:rPr>
              <w:t>Either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F12494">
            <w:pPr>
              <w:pStyle w:val="afd"/>
              <w:widowControl w:val="0"/>
              <w:numPr>
                <w:ilvl w:val="0"/>
                <w:numId w:val="45"/>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t>Proposal 2.A.3:</w:t>
            </w:r>
          </w:p>
          <w:p w14:paraId="29E9CE68" w14:textId="09A02ABA" w:rsidR="006E7B10" w:rsidRPr="006E7B10" w:rsidRDefault="006E7B10" w:rsidP="006E7B10">
            <w:pPr>
              <w:pStyle w:val="afd"/>
              <w:numPr>
                <w:ilvl w:val="0"/>
                <w:numId w:val="51"/>
              </w:numPr>
              <w:snapToGrid w:val="0"/>
              <w:spacing w:after="0" w:line="240" w:lineRule="auto"/>
              <w:rPr>
                <w:b/>
                <w:sz w:val="18"/>
                <w:szCs w:val="18"/>
                <w:lang w:val="en-GB"/>
              </w:rPr>
            </w:pPr>
            <w:r>
              <w:rPr>
                <w:b/>
                <w:sz w:val="18"/>
                <w:szCs w:val="18"/>
                <w:lang w:val="en-GB"/>
              </w:rPr>
              <w:t xml:space="preserve">Support/fine: </w:t>
            </w:r>
          </w:p>
          <w:p w14:paraId="74D6F020" w14:textId="1812F265" w:rsidR="00F12494" w:rsidRPr="006E7B10" w:rsidRDefault="006E7B10" w:rsidP="006E7B10">
            <w:pPr>
              <w:pStyle w:val="afd"/>
              <w:numPr>
                <w:ilvl w:val="0"/>
                <w:numId w:val="51"/>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pPr>
              <w:pStyle w:val="afd"/>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pPr>
              <w:pStyle w:val="afd"/>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pPr>
              <w:pStyle w:val="afd"/>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08D2905D" w14:textId="0B8B4210" w:rsidR="00F12494" w:rsidRPr="00F12494" w:rsidRDefault="00F12494" w:rsidP="00F12494">
            <w:pPr>
              <w:pStyle w:val="afd"/>
              <w:numPr>
                <w:ilvl w:val="0"/>
                <w:numId w:val="52"/>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BF37F6">
            <w:pPr>
              <w:pStyle w:val="afd"/>
              <w:numPr>
                <w:ilvl w:val="0"/>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E32699" w:rsidP="00BF37F6">
            <w:pPr>
              <w:pStyle w:val="afd"/>
              <w:numPr>
                <w:ilvl w:val="1"/>
                <w:numId w:val="52"/>
              </w:numPr>
              <w:snapToGrid w:val="0"/>
              <w:spacing w:after="0" w:line="240" w:lineRule="auto"/>
              <w:rPr>
                <w:rFonts w:ascii="Times" w:eastAsia="Malgun Gothic" w:hAnsi="Times"/>
                <w:color w:val="FF0000"/>
                <w:sz w:val="20"/>
                <w:szCs w:val="20"/>
                <w:lang w:val="en-GB"/>
              </w:rPr>
            </w:pP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m:t>
              </m:r>
              <m:r>
                <w:rPr>
                  <w:rFonts w:ascii="Cambria Math" w:hAnsi="Cambria Math"/>
                  <w:color w:val="FF0000"/>
                  <w:sz w:val="20"/>
                  <w:szCs w:val="22"/>
                </w:rPr>
                <m:t>D</m:t>
              </m:r>
              <m:r>
                <w:rPr>
                  <w:rFonts w:ascii="Cambria Math" w:hAnsi="Cambria Math"/>
                  <w:color w:val="FF0000"/>
                  <w:sz w:val="20"/>
                  <w:szCs w:val="22"/>
                </w:rPr>
                <m:t>)∈</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m:t>
                      </m:r>
                      <m:r>
                        <w:rPr>
                          <w:rFonts w:ascii="Cambria Math" w:hAnsi="Cambria Math"/>
                          <w:color w:val="FF0000"/>
                          <w:sz w:val="20"/>
                          <w:szCs w:val="22"/>
                        </w:rPr>
                        <m:t>(</m:t>
                      </m:r>
                      <m:r>
                        <w:rPr>
                          <w:rFonts w:ascii="Cambria Math" w:hAnsi="Cambria Math"/>
                          <w:color w:val="FF0000"/>
                          <w:sz w:val="20"/>
                          <w:szCs w:val="22"/>
                        </w:rPr>
                        <m:t>N</m:t>
                      </m:r>
                      <m:r>
                        <w:rPr>
                          <w:rFonts w:ascii="Cambria Math" w:hAnsi="Cambria Math"/>
                          <w:color w:val="FF0000"/>
                          <w:sz w:val="20"/>
                          <w:szCs w:val="22"/>
                        </w:rPr>
                        <m:t>-</m:t>
                      </m:r>
                      <m:r>
                        <w:rPr>
                          <w:rFonts w:ascii="Cambria Math" w:hAnsi="Cambria Math"/>
                          <w:color w:val="FF0000"/>
                          <w:sz w:val="20"/>
                          <w:szCs w:val="22"/>
                        </w:rPr>
                        <m:t>q</m:t>
                      </m:r>
                      <m:r>
                        <w:rPr>
                          <w:rFonts w:ascii="Cambria Math" w:hAnsi="Cambria Math"/>
                          <w:color w:val="FF0000"/>
                          <w:sz w:val="20"/>
                          <w:szCs w:val="22"/>
                        </w:rPr>
                        <m:t>)∙</m:t>
                      </m:r>
                      <m:r>
                        <w:rPr>
                          <w:rFonts w:ascii="Cambria Math" w:hAnsi="Cambria Math"/>
                          <w:color w:val="FF0000"/>
                          <w:sz w:val="20"/>
                          <w:szCs w:val="22"/>
                        </w:rPr>
                        <m:t>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m:t>
                  </m:r>
                  <m:r>
                    <w:rPr>
                      <w:rFonts w:ascii="Cambria Math" w:hAnsi="Cambria Math"/>
                      <w:color w:val="FF0000"/>
                      <w:sz w:val="20"/>
                      <w:szCs w:val="22"/>
                    </w:rPr>
                    <m:t>π</m:t>
                  </m:r>
                  <m:r>
                    <w:rPr>
                      <w:rFonts w:ascii="Cambria Math" w:hAnsi="Cambria Math"/>
                      <w:color w:val="FF0000"/>
                      <w:sz w:val="20"/>
                      <w:szCs w:val="22"/>
                    </w:rPr>
                    <m:t xml:space="preserve">,   </m:t>
                  </m:r>
                  <m:r>
                    <w:rPr>
                      <w:rFonts w:ascii="Cambria Math" w:eastAsiaTheme="minorEastAsia" w:hAnsi="Cambria Math"/>
                      <w:color w:val="FF0000"/>
                      <w:sz w:val="20"/>
                      <w:szCs w:val="22"/>
                    </w:rPr>
                    <m:t>q</m:t>
                  </m:r>
                  <m:r>
                    <w:rPr>
                      <w:rFonts w:ascii="Cambria Math" w:eastAsiaTheme="minorEastAsia" w:hAnsi="Cambria Math"/>
                      <w:color w:val="FF0000"/>
                      <w:sz w:val="20"/>
                      <w:szCs w:val="22"/>
                    </w:rPr>
                    <m:t xml:space="preserve">=0,1,2,…,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m:t>
                  </m:r>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BF37F6">
            <w:pPr>
              <w:pStyle w:val="afd"/>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BF37F6">
            <w:pPr>
              <w:pStyle w:val="afd"/>
              <w:numPr>
                <w:ilvl w:val="1"/>
                <w:numId w:val="52"/>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BF37F6">
            <w:pPr>
              <w:pStyle w:val="afd"/>
              <w:numPr>
                <w:ilvl w:val="0"/>
                <w:numId w:val="66"/>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aff"/>
                <w:rFonts w:eastAsia="微软雅黑"/>
                <w:color w:val="FF0000"/>
                <w:sz w:val="20"/>
                <w:szCs w:val="22"/>
              </w:rPr>
              <w:t>p</w:t>
            </w:r>
            <w:r w:rsidRPr="00BF37F6">
              <w:rPr>
                <w:rStyle w:val="aff"/>
                <w:rFonts w:eastAsia="微软雅黑"/>
                <w:i w:val="0"/>
                <w:color w:val="FF0000"/>
                <w:sz w:val="20"/>
                <w:szCs w:val="22"/>
              </w:rPr>
              <w:t>(.)</w:t>
            </w:r>
            <w:r w:rsidRPr="00BF37F6">
              <w:rPr>
                <w:rStyle w:val="aff"/>
                <w:rFonts w:eastAsia="微软雅黑"/>
                <w:color w:val="FF0000"/>
                <w:sz w:val="20"/>
                <w:szCs w:val="22"/>
              </w:rPr>
              <w:t xml:space="preserve"> </w:t>
            </w:r>
            <w:r w:rsidRPr="00BF37F6">
              <w:rPr>
                <w:rFonts w:eastAsia="微软雅黑"/>
                <w:color w:val="FF0000"/>
                <w:sz w:val="20"/>
                <w:szCs w:val="22"/>
              </w:rPr>
              <w:lastRenderedPageBreak/>
              <w:t>denotes amplitude quantization values used for Rel-16 e-</w:t>
            </w:r>
            <w:proofErr w:type="spellStart"/>
            <w:r w:rsidRPr="00BF37F6">
              <w:rPr>
                <w:rFonts w:eastAsia="微软雅黑"/>
                <w:color w:val="FF0000"/>
                <w:sz w:val="20"/>
                <w:szCs w:val="22"/>
              </w:rPr>
              <w:t>TypeII</w:t>
            </w:r>
            <w:proofErr w:type="spellEnd"/>
            <w:r w:rsidRPr="00BF37F6">
              <w:rPr>
                <w:rFonts w:eastAsia="微软雅黑"/>
                <w:color w:val="FF0000"/>
                <w:sz w:val="20"/>
                <w:szCs w:val="22"/>
              </w:rPr>
              <w:t xml:space="preserve"> codebook</w:t>
            </w:r>
            <w:r w:rsidRPr="00BF37F6">
              <w:rPr>
                <w:color w:val="FF0000"/>
                <w:sz w:val="20"/>
                <w:szCs w:val="22"/>
              </w:rPr>
              <w:t xml:space="preserve">): </w:t>
            </w:r>
          </w:p>
          <w:p w14:paraId="2664BE9B" w14:textId="77777777" w:rsidR="00BF37F6" w:rsidRPr="00BF37F6" w:rsidRDefault="00BF37F6" w:rsidP="00BF37F6">
            <w:pPr>
              <w:pStyle w:val="afd"/>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77777777" w:rsidR="00BF37F6" w:rsidRPr="00BF37F6" w:rsidRDefault="00BF37F6" w:rsidP="00BF37F6">
            <w:pPr>
              <w:pStyle w:val="afd"/>
              <w:numPr>
                <w:ilvl w:val="1"/>
                <w:numId w:val="66"/>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等线"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6A1B3F40" w:rsidR="00597F50" w:rsidRDefault="00597F50">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lastRenderedPageBreak/>
              <w:t>Proposal 3.B.3:</w:t>
            </w:r>
          </w:p>
          <w:p w14:paraId="74F44E46" w14:textId="77777777" w:rsidR="00597F50" w:rsidRDefault="00FB02A1">
            <w:pPr>
              <w:pStyle w:val="afd"/>
              <w:numPr>
                <w:ilvl w:val="0"/>
                <w:numId w:val="51"/>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5B6BC47F" w14:textId="77777777" w:rsidR="00597F50" w:rsidRDefault="00FB02A1">
            <w:pPr>
              <w:pStyle w:val="afd"/>
              <w:numPr>
                <w:ilvl w:val="0"/>
                <w:numId w:val="51"/>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a3"/>
        <w:spacing w:after="0" w:line="240" w:lineRule="auto"/>
        <w:jc w:val="center"/>
      </w:pPr>
      <w:r>
        <w:t>Table 5B TDCP: summary of observation from simulation</w:t>
      </w:r>
    </w:p>
    <w:tbl>
      <w:tblPr>
        <w:tblStyle w:val="a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a3"/>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9C555F">
            <w:pPr>
              <w:pStyle w:val="afd"/>
              <w:widowControl w:val="0"/>
              <w:numPr>
                <w:ilvl w:val="0"/>
                <w:numId w:val="73"/>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xml:space="preserve">, they can be treated similar as CSI-RS, but only single-port and </w:t>
            </w:r>
            <w:proofErr w:type="spellStart"/>
            <w:r w:rsidR="00046B5D">
              <w:rPr>
                <w:rFonts w:ascii="Times" w:eastAsia="Malgun Gothic" w:hAnsi="Times"/>
                <w:sz w:val="20"/>
                <w:szCs w:val="16"/>
                <w:lang w:val="en-GB"/>
              </w:rPr>
              <w:t>freq</w:t>
            </w:r>
            <w:proofErr w:type="spellEnd"/>
            <w:r w:rsidR="00046B5D">
              <w:rPr>
                <w:rFonts w:ascii="Times" w:eastAsia="Malgun Gothic" w:hAnsi="Times"/>
                <w:sz w:val="20"/>
                <w:szCs w:val="16"/>
                <w:lang w:val="en-GB"/>
              </w:rPr>
              <w:t>-density 3</w:t>
            </w:r>
            <w:r>
              <w:rPr>
                <w:rFonts w:ascii="Times" w:eastAsia="Malgun Gothic" w:hAnsi="Times"/>
                <w:sz w:val="20"/>
                <w:szCs w:val="16"/>
                <w:lang w:val="en-GB"/>
              </w:rPr>
              <w:t>) – thus their QCL</w:t>
            </w:r>
            <w:r w:rsidR="00046B5D">
              <w:rPr>
                <w:rFonts w:ascii="Times" w:eastAsia="Malgun Gothic" w:hAnsi="Times"/>
                <w:sz w:val="20"/>
                <w:szCs w:val="16"/>
                <w:lang w:val="en-GB"/>
              </w:rPr>
              <w:t>-</w:t>
            </w:r>
            <w:proofErr w:type="spellStart"/>
            <w:r w:rsidR="00046B5D">
              <w:rPr>
                <w:rFonts w:ascii="Times" w:eastAsia="Malgun Gothic" w:hAnsi="Times"/>
                <w:sz w:val="20"/>
                <w:szCs w:val="16"/>
                <w:lang w:val="en-GB"/>
              </w:rPr>
              <w:t>TypeA</w:t>
            </w:r>
            <w:proofErr w:type="spellEnd"/>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9C555F">
            <w:pPr>
              <w:pStyle w:val="afd"/>
              <w:widowControl w:val="0"/>
              <w:numPr>
                <w:ilvl w:val="0"/>
                <w:numId w:val="7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a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9C555F">
                  <w:pPr>
                    <w:pStyle w:val="afd"/>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046B5D">
                  <w:pPr>
                    <w:pStyle w:val="afd"/>
                    <w:numPr>
                      <w:ilvl w:val="1"/>
                      <w:numId w:val="72"/>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046B5D">
                  <w:pPr>
                    <w:pStyle w:val="afd"/>
                    <w:numPr>
                      <w:ilvl w:val="0"/>
                      <w:numId w:val="72"/>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D8605B">
                  <w:pPr>
                    <w:pStyle w:val="afd"/>
                    <w:numPr>
                      <w:ilvl w:val="1"/>
                      <w:numId w:val="72"/>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77777777" w:rsidR="00981270" w:rsidRDefault="00981270">
            <w:pPr>
              <w:widowControl w:val="0"/>
              <w:rPr>
                <w:rFonts w:eastAsiaTheme="minorEastAsia"/>
                <w:sz w:val="20"/>
                <w:szCs w:val="16"/>
                <w:lang w:eastAsia="zh-CN"/>
              </w:rPr>
            </w:pPr>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a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7C80AE1F" w14:textId="2CCB3BAD" w:rsidR="00633F0C" w:rsidRPr="00633F0C" w:rsidRDefault="00633F0C">
            <w:pPr>
              <w:widowControl w:val="0"/>
              <w:rPr>
                <w:rFonts w:eastAsiaTheme="minorEastAsia"/>
                <w:sz w:val="20"/>
                <w:szCs w:val="16"/>
                <w:lang w:eastAsia="zh-CN"/>
              </w:rPr>
            </w:pPr>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3E4E0C">
            <w:pPr>
              <w:pStyle w:val="afd"/>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3E4E0C">
            <w:pPr>
              <w:pStyle w:val="afd"/>
              <w:numPr>
                <w:ilvl w:val="0"/>
                <w:numId w:val="72"/>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3E4E0C">
            <w:pPr>
              <w:pStyle w:val="afd"/>
              <w:numPr>
                <w:ilvl w:val="0"/>
                <w:numId w:val="72"/>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5D216C16" w14:textId="2E5BDC2B" w:rsidR="003E4E0C" w:rsidRDefault="003E4E0C" w:rsidP="003E4E0C">
            <w:pPr>
              <w:widowControl w:val="0"/>
              <w:rPr>
                <w:b/>
                <w:sz w:val="18"/>
                <w:szCs w:val="18"/>
                <w:lang w:eastAsia="en-US"/>
              </w:rPr>
            </w:pPr>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A74E" w14:textId="77777777" w:rsidR="00E32699" w:rsidRDefault="00E32699" w:rsidP="00021AE0">
      <w:r>
        <w:separator/>
      </w:r>
    </w:p>
  </w:endnote>
  <w:endnote w:type="continuationSeparator" w:id="0">
    <w:p w14:paraId="0909BB2F" w14:textId="77777777" w:rsidR="00E32699" w:rsidRDefault="00E32699"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705D" w14:textId="77777777" w:rsidR="00E32699" w:rsidRDefault="00E32699" w:rsidP="00021AE0">
      <w:r>
        <w:separator/>
      </w:r>
    </w:p>
  </w:footnote>
  <w:footnote w:type="continuationSeparator" w:id="0">
    <w:p w14:paraId="34F9DA8D" w14:textId="77777777" w:rsidR="00E32699" w:rsidRDefault="00E32699"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multilevel"/>
    <w:tmpl w:val="032D7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multilevel"/>
    <w:tmpl w:val="070D2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A6E65"/>
    <w:multiLevelType w:val="multilevel"/>
    <w:tmpl w:val="086A6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A726BA"/>
    <w:multiLevelType w:val="multilevel"/>
    <w:tmpl w:val="08A72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F0F1A"/>
    <w:multiLevelType w:val="multilevel"/>
    <w:tmpl w:val="096F0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8092F"/>
    <w:multiLevelType w:val="hybridMultilevel"/>
    <w:tmpl w:val="25C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160F7"/>
    <w:multiLevelType w:val="multilevel"/>
    <w:tmpl w:val="0BF16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35741"/>
    <w:multiLevelType w:val="multilevel"/>
    <w:tmpl w:val="0C135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09B3AC4"/>
    <w:multiLevelType w:val="multilevel"/>
    <w:tmpl w:val="109B3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5" w15:restartNumberingAfterBreak="0">
    <w:nsid w:val="16073659"/>
    <w:multiLevelType w:val="multilevel"/>
    <w:tmpl w:val="16073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172A5EC2"/>
    <w:lvl w:ilvl="0">
      <w:start w:val="1"/>
      <w:numFmt w:val="bullet"/>
      <w:lvlText w:val=""/>
      <w:lvlJc w:val="left"/>
      <w:pPr>
        <w:tabs>
          <w:tab w:val="left" w:pos="0"/>
        </w:tabs>
        <w:ind w:left="840" w:hanging="420"/>
      </w:pPr>
      <w:rPr>
        <w:rFonts w:ascii="Symbol" w:hAnsi="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172B6E9F"/>
    <w:multiLevelType w:val="multilevel"/>
    <w:tmpl w:val="172B6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B7428"/>
    <w:multiLevelType w:val="multilevel"/>
    <w:tmpl w:val="18BB7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multilevel"/>
    <w:tmpl w:val="1DE87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3D3C8D"/>
    <w:multiLevelType w:val="hybridMultilevel"/>
    <w:tmpl w:val="4CD2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multilevel"/>
    <w:tmpl w:val="29624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F07E7F"/>
    <w:multiLevelType w:val="multilevel"/>
    <w:tmpl w:val="2AF07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A3052D"/>
    <w:multiLevelType w:val="multilevel"/>
    <w:tmpl w:val="2DA30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35F6847"/>
    <w:multiLevelType w:val="multilevel"/>
    <w:tmpl w:val="435F6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66F6551"/>
    <w:multiLevelType w:val="multilevel"/>
    <w:tmpl w:val="466F65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8966B44"/>
    <w:multiLevelType w:val="multilevel"/>
    <w:tmpl w:val="48966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BE0E17"/>
    <w:multiLevelType w:val="multilevel"/>
    <w:tmpl w:val="4ABE0E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AE168D6"/>
    <w:multiLevelType w:val="multilevel"/>
    <w:tmpl w:val="4AE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F30E2E"/>
    <w:multiLevelType w:val="multilevel"/>
    <w:tmpl w:val="4AF30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1F2660"/>
    <w:multiLevelType w:val="multilevel"/>
    <w:tmpl w:val="4B1F2660"/>
    <w:lvl w:ilvl="0">
      <w:start w:val="2"/>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DF3DB5"/>
    <w:multiLevelType w:val="multilevel"/>
    <w:tmpl w:val="50DF3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A064EC0"/>
    <w:multiLevelType w:val="multilevel"/>
    <w:tmpl w:val="5A064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327CF6"/>
    <w:multiLevelType w:val="multilevel"/>
    <w:tmpl w:val="5E327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AA0A3F"/>
    <w:multiLevelType w:val="multilevel"/>
    <w:tmpl w:val="61AA0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0" w15:restartNumberingAfterBreak="0">
    <w:nsid w:val="65786A54"/>
    <w:multiLevelType w:val="multilevel"/>
    <w:tmpl w:val="65786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2" w15:restartNumberingAfterBreak="0">
    <w:nsid w:val="68CC1677"/>
    <w:multiLevelType w:val="multilevel"/>
    <w:tmpl w:val="68CC1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9C281F"/>
    <w:multiLevelType w:val="multilevel"/>
    <w:tmpl w:val="6A9C28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5" w15:restartNumberingAfterBreak="0">
    <w:nsid w:val="6CBB0B9D"/>
    <w:multiLevelType w:val="multilevel"/>
    <w:tmpl w:val="6CBB0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7"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26224F"/>
    <w:multiLevelType w:val="multilevel"/>
    <w:tmpl w:val="6D2622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E6B40B7"/>
    <w:multiLevelType w:val="multilevel"/>
    <w:tmpl w:val="6E6B40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1"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0E20CA"/>
    <w:multiLevelType w:val="multilevel"/>
    <w:tmpl w:val="730E2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5" w15:restartNumberingAfterBreak="0">
    <w:nsid w:val="753E2E43"/>
    <w:multiLevelType w:val="multilevel"/>
    <w:tmpl w:val="753E2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494389"/>
    <w:multiLevelType w:val="multilevel"/>
    <w:tmpl w:val="754943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5685F0F"/>
    <w:multiLevelType w:val="hybridMultilevel"/>
    <w:tmpl w:val="280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1A1163"/>
    <w:multiLevelType w:val="multilevel"/>
    <w:tmpl w:val="7A1A116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B106274"/>
    <w:multiLevelType w:val="multilevel"/>
    <w:tmpl w:val="7B106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1" w15:restartNumberingAfterBreak="0">
    <w:nsid w:val="7D340D46"/>
    <w:multiLevelType w:val="multilevel"/>
    <w:tmpl w:val="7D340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1"/>
  </w:num>
  <w:num w:numId="3">
    <w:abstractNumId w:val="33"/>
  </w:num>
  <w:num w:numId="4">
    <w:abstractNumId w:val="48"/>
  </w:num>
  <w:num w:numId="5">
    <w:abstractNumId w:val="70"/>
  </w:num>
  <w:num w:numId="6">
    <w:abstractNumId w:val="31"/>
  </w:num>
  <w:num w:numId="7">
    <w:abstractNumId w:val="34"/>
  </w:num>
  <w:num w:numId="8">
    <w:abstractNumId w:val="43"/>
  </w:num>
  <w:num w:numId="9">
    <w:abstractNumId w:val="64"/>
  </w:num>
  <w:num w:numId="10">
    <w:abstractNumId w:val="60"/>
  </w:num>
  <w:num w:numId="11">
    <w:abstractNumId w:val="49"/>
  </w:num>
  <w:num w:numId="12">
    <w:abstractNumId w:val="56"/>
  </w:num>
  <w:num w:numId="13">
    <w:abstractNumId w:val="14"/>
  </w:num>
  <w:num w:numId="14">
    <w:abstractNumId w:val="54"/>
  </w:num>
  <w:num w:numId="15">
    <w:abstractNumId w:val="11"/>
  </w:num>
  <w:num w:numId="16">
    <w:abstractNumId w:val="3"/>
  </w:num>
  <w:num w:numId="17">
    <w:abstractNumId w:val="16"/>
  </w:num>
  <w:num w:numId="18">
    <w:abstractNumId w:val="32"/>
  </w:num>
  <w:num w:numId="19">
    <w:abstractNumId w:val="17"/>
  </w:num>
  <w:num w:numId="20">
    <w:abstractNumId w:val="1"/>
  </w:num>
  <w:num w:numId="21">
    <w:abstractNumId w:val="2"/>
  </w:num>
  <w:num w:numId="22">
    <w:abstractNumId w:val="62"/>
  </w:num>
  <w:num w:numId="23">
    <w:abstractNumId w:val="41"/>
  </w:num>
  <w:num w:numId="24">
    <w:abstractNumId w:val="47"/>
  </w:num>
  <w:num w:numId="25">
    <w:abstractNumId w:val="68"/>
  </w:num>
  <w:num w:numId="26">
    <w:abstractNumId w:val="55"/>
  </w:num>
  <w:num w:numId="27">
    <w:abstractNumId w:val="4"/>
  </w:num>
  <w:num w:numId="28">
    <w:abstractNumId w:val="39"/>
  </w:num>
  <w:num w:numId="29">
    <w:abstractNumId w:val="66"/>
  </w:num>
  <w:num w:numId="30">
    <w:abstractNumId w:val="35"/>
  </w:num>
  <w:num w:numId="31">
    <w:abstractNumId w:val="59"/>
  </w:num>
  <w:num w:numId="32">
    <w:abstractNumId w:val="25"/>
  </w:num>
  <w:num w:numId="33">
    <w:abstractNumId w:val="5"/>
  </w:num>
  <w:num w:numId="34">
    <w:abstractNumId w:val="61"/>
  </w:num>
  <w:num w:numId="35">
    <w:abstractNumId w:val="71"/>
  </w:num>
  <w:num w:numId="36">
    <w:abstractNumId w:val="18"/>
  </w:num>
  <w:num w:numId="37">
    <w:abstractNumId w:val="21"/>
  </w:num>
  <w:num w:numId="38">
    <w:abstractNumId w:val="0"/>
  </w:num>
  <w:num w:numId="39">
    <w:abstractNumId w:val="20"/>
  </w:num>
  <w:num w:numId="40">
    <w:abstractNumId w:val="36"/>
  </w:num>
  <w:num w:numId="41">
    <w:abstractNumId w:val="65"/>
  </w:num>
  <w:num w:numId="42">
    <w:abstractNumId w:val="45"/>
  </w:num>
  <w:num w:numId="43">
    <w:abstractNumId w:val="42"/>
  </w:num>
  <w:num w:numId="44">
    <w:abstractNumId w:val="63"/>
  </w:num>
  <w:num w:numId="45">
    <w:abstractNumId w:val="27"/>
  </w:num>
  <w:num w:numId="46">
    <w:abstractNumId w:val="26"/>
  </w:num>
  <w:num w:numId="47">
    <w:abstractNumId w:val="52"/>
  </w:num>
  <w:num w:numId="48">
    <w:abstractNumId w:val="8"/>
  </w:num>
  <w:num w:numId="49">
    <w:abstractNumId w:val="50"/>
  </w:num>
  <w:num w:numId="50">
    <w:abstractNumId w:val="28"/>
  </w:num>
  <w:num w:numId="51">
    <w:abstractNumId w:val="44"/>
  </w:num>
  <w:num w:numId="52">
    <w:abstractNumId w:val="24"/>
  </w:num>
  <w:num w:numId="53">
    <w:abstractNumId w:val="53"/>
  </w:num>
  <w:num w:numId="54">
    <w:abstractNumId w:val="37"/>
  </w:num>
  <w:num w:numId="55">
    <w:abstractNumId w:val="7"/>
  </w:num>
  <w:num w:numId="56">
    <w:abstractNumId w:val="58"/>
  </w:num>
  <w:num w:numId="57">
    <w:abstractNumId w:val="13"/>
  </w:num>
  <w:num w:numId="58">
    <w:abstractNumId w:val="29"/>
  </w:num>
  <w:num w:numId="59">
    <w:abstractNumId w:val="46"/>
  </w:num>
  <w:num w:numId="60">
    <w:abstractNumId w:val="38"/>
  </w:num>
  <w:num w:numId="61">
    <w:abstractNumId w:val="10"/>
  </w:num>
  <w:num w:numId="62">
    <w:abstractNumId w:val="15"/>
  </w:num>
  <w:num w:numId="63">
    <w:abstractNumId w:val="69"/>
  </w:num>
  <w:num w:numId="64">
    <w:abstractNumId w:val="40"/>
  </w:num>
  <w:num w:numId="65">
    <w:abstractNumId w:val="52"/>
  </w:num>
  <w:num w:numId="66">
    <w:abstractNumId w:val="19"/>
  </w:num>
  <w:num w:numId="67">
    <w:abstractNumId w:val="22"/>
  </w:num>
  <w:num w:numId="68">
    <w:abstractNumId w:val="6"/>
  </w:num>
  <w:num w:numId="69">
    <w:abstractNumId w:val="67"/>
  </w:num>
  <w:num w:numId="70">
    <w:abstractNumId w:val="57"/>
  </w:num>
  <w:num w:numId="71">
    <w:abstractNumId w:val="23"/>
  </w:num>
  <w:num w:numId="72">
    <w:abstractNumId w:val="30"/>
  </w:num>
  <w:num w:numId="73">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45F"/>
    <w:rsid w:val="00372A0B"/>
    <w:rsid w:val="00372B3F"/>
    <w:rsid w:val="003741E4"/>
    <w:rsid w:val="00374546"/>
    <w:rsid w:val="00374B30"/>
    <w:rsid w:val="0037565B"/>
    <w:rsid w:val="003760F3"/>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230"/>
    <w:rsid w:val="00C054FA"/>
    <w:rsid w:val="00C056A5"/>
    <w:rsid w:val="00C05938"/>
    <w:rsid w:val="00C05A26"/>
    <w:rsid w:val="00C05A5C"/>
    <w:rsid w:val="00C05DC4"/>
    <w:rsid w:val="00C061D4"/>
    <w:rsid w:val="00C066B7"/>
    <w:rsid w:val="00C06EBB"/>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uiPriority w:val="35"/>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rPr>
      <w:color w:val="0563C1"/>
      <w:u w:val="single"/>
    </w:rPr>
  </w:style>
  <w:style w:type="character" w:styleId="af0">
    <w:name w:val="annotation reference"/>
    <w:basedOn w:val="a0"/>
    <w:qFormat/>
    <w:rPr>
      <w:sz w:val="16"/>
      <w:szCs w:val="16"/>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10">
    <w:name w:val="批注文字 字符1"/>
    <w:link w:val="a5"/>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a"/>
    <w:link w:val="15"/>
    <w:uiPriority w:val="34"/>
    <w:qFormat/>
    <w:pPr>
      <w:spacing w:after="160" w:line="254" w:lineRule="auto"/>
      <w:ind w:left="720"/>
    </w:pPr>
    <w:rPr>
      <w:rFonts w:eastAsia="宋体"/>
      <w:lang w:eastAsia="en-US"/>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6"/>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5"/>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15">
    <w:name w:val="列表段落 字符1"/>
    <w:aliases w:val="목록 단락 字符,列出段落 字符1,-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0">
    <w:name w:val="题注 字符2"/>
    <w:link w:val="a3"/>
    <w:uiPriority w:val="35"/>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character" w:styleId="aff">
    <w:name w:val="Emphasis"/>
    <w:basedOn w:val="a0"/>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4E878C85-4A94-4653-847B-EF38D6B1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Hao Wu</cp:lastModifiedBy>
  <cp:revision>159</cp:revision>
  <cp:lastPrinted>2021-10-06T09:28:00Z</cp:lastPrinted>
  <dcterms:created xsi:type="dcterms:W3CDTF">2023-04-21T18:59:00Z</dcterms:created>
  <dcterms:modified xsi:type="dcterms:W3CDTF">2023-04-23T08:20:00Z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