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游明朝"/>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NEC</w:t>
            </w:r>
          </w:p>
        </w:tc>
        <w:tc>
          <w:tcPr>
            <w:tcW w:w="2977"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 Sasaki</w:t>
            </w:r>
          </w:p>
        </w:tc>
        <w:tc>
          <w:tcPr>
            <w:tcW w:w="4139"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Qualcomm</w:t>
            </w:r>
          </w:p>
        </w:tc>
        <w:tc>
          <w:tcPr>
            <w:tcW w:w="2977" w:type="dxa"/>
          </w:tcPr>
          <w:p>
            <w:pPr>
              <w:spacing w:after="0"/>
              <w:jc w:val="center"/>
              <w:rPr>
                <w:rFonts w:eastAsia="游明朝"/>
                <w:lang w:val="en-US" w:eastAsia="ja-JP"/>
              </w:rPr>
            </w:pPr>
            <w:r>
              <w:rPr>
                <w:rFonts w:eastAsia="游明朝"/>
                <w:lang w:val="en-US" w:eastAsia="ja-JP"/>
              </w:rPr>
              <w:t>Jing Lei</w:t>
            </w:r>
          </w:p>
        </w:tc>
        <w:tc>
          <w:tcPr>
            <w:tcW w:w="4139" w:type="dxa"/>
          </w:tcPr>
          <w:p>
            <w:pPr>
              <w:spacing w:after="0"/>
              <w:jc w:val="center"/>
              <w:rPr>
                <w:rFonts w:eastAsia="游明朝"/>
                <w:lang w:val="en-US" w:eastAsia="ja-JP"/>
              </w:rPr>
            </w:pPr>
            <w:r>
              <w:rPr>
                <w:rFonts w:eastAsia="游明朝"/>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hint="eastAsia" w:eastAsia="游明朝"/>
                <w:lang w:eastAsia="ja-JP"/>
              </w:rPr>
              <w:t>N</w:t>
            </w:r>
            <w:r>
              <w:rPr>
                <w:rFonts w:eastAsia="游明朝"/>
                <w:lang w:eastAsia="ja-JP"/>
              </w:rPr>
              <w:t>TT DOCOMO</w:t>
            </w:r>
          </w:p>
        </w:tc>
        <w:tc>
          <w:tcPr>
            <w:tcW w:w="2977" w:type="dxa"/>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139" w:type="dxa"/>
          </w:tcPr>
          <w:p>
            <w:pPr>
              <w:spacing w:after="0"/>
              <w:jc w:val="center"/>
              <w:rPr>
                <w:rFonts w:eastAsia="游明朝"/>
                <w:lang w:val="en-US" w:eastAsia="ja-JP"/>
              </w:rPr>
            </w:pPr>
            <w:r>
              <w:rPr>
                <w:rFonts w:eastAsia="游明朝"/>
                <w:lang w:val="en-US" w:eastAsia="ja-JP"/>
              </w:rPr>
              <w:t>mayuko.okano.ca@nttdocomo.com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H</w:t>
            </w:r>
          </w:p>
        </w:tc>
        <w:tc>
          <w:tcPr>
            <w:tcW w:w="6780" w:type="dxa"/>
          </w:tcPr>
          <w:p>
            <w:pPr>
              <w:jc w:val="left"/>
              <w:rPr>
                <w:rFonts w:eastAsia="游明朝"/>
                <w:lang w:val="en-US" w:eastAsia="ja-JP"/>
              </w:rPr>
            </w:pPr>
            <w:r>
              <w:rPr>
                <w:rFonts w:eastAsia="Malgun Gothic"/>
                <w:lang w:val="en-US" w:eastAsia="ko-KR"/>
              </w:rPr>
              <w:t>Share other company’s view that CD-SSB based validation is used.</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N</w:t>
            </w:r>
            <w:r>
              <w:rPr>
                <w:rFonts w:eastAsia="游明朝"/>
                <w:lang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jc w:val="left"/>
              <w:rPr>
                <w:rFonts w:hint="eastAsia"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hint="eastAsia"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hint="eastAsia"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hint="eastAsia" w:ascii="Times New Roman" w:hAnsi="Times New Roman" w:eastAsia="宋体" w:cs="Times New Roman"/>
                <w:lang w:val="en-US" w:eastAsia="zh-CN" w:bidi="ar-SA"/>
              </w:rPr>
            </w:pPr>
            <w:r>
              <w:rPr>
                <w:rFonts w:hint="eastAsia" w:eastAsiaTheme="minorEastAsia"/>
                <w:lang w:val="en-US" w:eastAsia="zh-CN"/>
              </w:rPr>
              <w:t xml:space="preserve">Therefore, gNB configuration for NCD-SSB, which is anyway needed, is a method to avoid this issue. We are fine with </w:t>
            </w:r>
            <w:r>
              <w:rPr>
                <w:rFonts w:ascii="Times New Roman" w:hAnsi="Times New Roman" w:cs="Times New Roman"/>
                <w:sz w:val="20"/>
                <w:szCs w:val="20"/>
                <w:lang w:val="en-US"/>
              </w:rPr>
              <w:t>either way</w:t>
            </w:r>
            <w:r>
              <w:rPr>
                <w:rFonts w:hint="eastAsia" w:eastAsia="宋体" w:cs="Times New Roman"/>
                <w:sz w:val="20"/>
                <w:szCs w:val="20"/>
                <w:lang w:val="en-US" w:eastAsia="zh-CN"/>
              </w:rPr>
              <w:t>.</w:t>
            </w:r>
          </w:p>
        </w:tc>
      </w:tr>
    </w:tbl>
    <w:p>
      <w:pPr>
        <w:rPr>
          <w:szCs w:val="22"/>
        </w:rPr>
      </w:pPr>
    </w:p>
    <w:p>
      <w:pPr>
        <w:pStyle w:val="4"/>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游明朝"/>
                <w:lang w:val="en-US" w:eastAsia="ja-JP"/>
              </w:rPr>
            </w:pPr>
            <w:r>
              <w:rPr>
                <w:rFonts w:eastAsia="游明朝"/>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tcPr>
          <w:p>
            <w:pPr>
              <w:jc w:val="left"/>
              <w:rPr>
                <w:rFonts w:hint="default" w:eastAsia="宋体"/>
                <w:lang w:val="en-US" w:eastAsia="zh-CN"/>
              </w:rPr>
            </w:pPr>
            <w:r>
              <w:rPr>
                <w:rFonts w:hint="eastAsia" w:eastAsia="宋体"/>
                <w:lang w:val="en-US" w:eastAsia="zh-CN"/>
              </w:rPr>
              <w:t>Either way is fine with us.</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jc w:val="left"/>
              <w:rPr>
                <w:rFonts w:hint="eastAsia" w:ascii="Times New Roman" w:hAnsi="Times New Roman" w:cs="Times New Roman" w:eastAsiaTheme="minorEastAsia"/>
                <w:lang w:val="en-US" w:eastAsia="zh-CN" w:bidi="ar-SA"/>
              </w:rPr>
            </w:pPr>
          </w:p>
        </w:tc>
      </w:tr>
    </w:tbl>
    <w:p>
      <w:pPr>
        <w:rPr>
          <w:szCs w:val="22"/>
          <w:lang w:val="en-US"/>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13"/>
        </w:numPr>
        <w:jc w:val="left"/>
        <w:rPr>
          <w:sz w:val="20"/>
          <w:szCs w:val="22"/>
          <w:lang w:val="en-US"/>
        </w:rPr>
      </w:pPr>
      <w:r>
        <w:rPr>
          <w:sz w:val="20"/>
          <w:szCs w:val="22"/>
          <w:lang w:val="en-US"/>
        </w:rPr>
        <w:t>Proposal 2: Make a similar conclusion for PUCCH repetition as for PRACH and MsgA PUSCH:</w:t>
      </w:r>
    </w:p>
    <w:p>
      <w:pPr>
        <w:pStyle w:val="5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3"/>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3"/>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3"/>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hint="eastAsia" w:eastAsia="游明朝"/>
                <w:lang w:val="en-US" w:eastAsia="ja-JP"/>
              </w:rPr>
              <w:t>F</w:t>
            </w:r>
            <w:r>
              <w:rPr>
                <w:rFonts w:eastAsia="游明朝"/>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left"/>
              <w:rPr>
                <w:rFonts w:hint="eastAsia" w:eastAsia="游明朝"/>
                <w:lang w:val="en-US" w:eastAsia="ja-JP"/>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4"/>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4"/>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15"/>
              </w:numPr>
              <w:rPr>
                <w:szCs w:val="18"/>
                <w:lang w:val="en-GB"/>
              </w:rPr>
            </w:pPr>
            <w:r>
              <w:rPr>
                <w:szCs w:val="18"/>
                <w:lang w:val="en-GB"/>
              </w:rPr>
              <w:t>Option 1: CG/RA-SDT can only be performed if the initial DL BWP includes the CD-SSB</w:t>
            </w:r>
          </w:p>
          <w:p>
            <w:pPr>
              <w:pStyle w:val="309"/>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r>
              <w:rPr>
                <w:rFonts w:eastAsia="游明朝"/>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pPr>
        <w:rPr>
          <w:b/>
          <w:bCs/>
          <w:lang w:val="en-US"/>
        </w:rPr>
      </w:pPr>
      <w:r>
        <w:rPr>
          <w:b/>
          <w:bCs/>
          <w:lang w:val="en-US"/>
        </w:rPr>
        <w:t>Can the following TP for 38.213 clause 17.1 be accepted?</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pPr>
        <w:rPr>
          <w:b/>
          <w:bCs/>
        </w:rPr>
      </w:pPr>
      <w:r>
        <w:rPr>
          <w:b/>
          <w:bCs/>
        </w:rPr>
        <w:t xml:space="preserve">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hint="eastAsia"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hint="default" w:eastAsiaTheme="minorEastAsia"/>
                      <w:vertAlign w:val="baseline"/>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hint="default" w:ascii="Times New Roman" w:hAnsi="Times New Roman" w:cs="Times New Roman" w:eastAsiaTheme="minorEastAsia"/>
                <w:lang w:val="en-US" w:eastAsia="zh-CN" w:bidi="ar-SA"/>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tabs>
                <w:tab w:val="left" w:pos="551"/>
              </w:tabs>
              <w:jc w:val="left"/>
              <w:rPr>
                <w:rFonts w:hint="default"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hint="default"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hint="eastAsia"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hint="default"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p>
            <w:pPr>
              <w:tabs>
                <w:tab w:val="left" w:pos="551"/>
              </w:tabs>
              <w:jc w:val="left"/>
              <w:rPr>
                <w:rFonts w:hint="default" w:ascii="Times New Roman" w:hAnsi="Times New Roman" w:cs="Times New Roman" w:eastAsiaTheme="minorEastAsia"/>
                <w:lang w:val="en-US" w:eastAsia="zh-CN" w:bidi="ar-SA"/>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hint="eastAsia" w:eastAsia="游明朝"/>
                <w:lang w:val="en-US" w:eastAsia="ja-JP"/>
              </w:rPr>
            </w:pPr>
            <w:r>
              <w:rPr>
                <w:rFonts w:hint="eastAsia" w:eastAsia="游明朝"/>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Theme="minorEastAsia"/>
                <w:lang w:val="en-US" w:eastAsia="zh-CN"/>
              </w:rPr>
              <w:t xml:space="preserve">If new timing on NCD-SSB reception is defined, the spec change may be expected. However, the PRACH validation issue is also discussed in </w:t>
            </w:r>
            <w:r>
              <w:rPr>
                <w:b/>
                <w:sz w:val="20"/>
                <w:szCs w:val="14"/>
                <w:highlight w:val="yellow"/>
              </w:rPr>
              <w:t>Question 1-2a</w:t>
            </w:r>
            <w:r>
              <w:rPr>
                <w:rFonts w:hint="eastAsia" w:eastAsia="宋体"/>
                <w:b/>
                <w:sz w:val="20"/>
                <w:szCs w:val="14"/>
                <w:highlight w:val="yellow"/>
                <w:lang w:val="en-US" w:eastAsia="zh-CN"/>
              </w:rPr>
              <w:t xml:space="preserve">. </w:t>
            </w:r>
            <w:r>
              <w:rPr>
                <w:rFonts w:hint="eastAsia" w:eastAsia="宋体"/>
                <w:b w:val="0"/>
                <w:bCs/>
                <w:sz w:val="20"/>
                <w:szCs w:val="14"/>
                <w:highlight w:val="none"/>
                <w:lang w:val="en-US" w:eastAsia="zh-CN"/>
              </w:rPr>
              <w:t>RA-Based SDT can follow the same conclusion and no need to define the new timing relationship.</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lang w:val="en-US" w:eastAsia="ko-KR"/>
              </w:rPr>
            </w:pPr>
            <w:r>
              <w:rPr>
                <w:lang w:val="en-US" w:eastAsia="ko-KR"/>
              </w:rPr>
              <w:t>Issue 5.1: RA-SDT without subsequent transmission in BWP without CD-SSB</w:t>
            </w:r>
          </w:p>
          <w:p>
            <w:pPr>
              <w:numPr>
                <w:ilvl w:val="0"/>
                <w:numId w:val="14"/>
              </w:numPr>
              <w:spacing w:after="0" w:line="240" w:lineRule="auto"/>
              <w:jc w:val="left"/>
              <w:rPr>
                <w:lang w:val="en-US" w:eastAsia="ko-KR"/>
              </w:rPr>
            </w:pPr>
            <w:r>
              <w:rPr>
                <w:lang w:val="en-US" w:eastAsia="ko-KR"/>
              </w:rPr>
              <w:t>Issue 5.2: RA-SDT with subsequent transmission in BWP without CD-SSB</w:t>
            </w:r>
          </w:p>
          <w:p>
            <w:pPr>
              <w:numPr>
                <w:ilvl w:val="0"/>
                <w:numId w:val="14"/>
              </w:numPr>
              <w:spacing w:after="0" w:line="240" w:lineRule="auto"/>
              <w:jc w:val="left"/>
              <w:rPr>
                <w:lang w:val="en-US" w:eastAsia="ko-KR"/>
              </w:rPr>
            </w:pPr>
            <w:r>
              <w:rPr>
                <w:lang w:val="en-US" w:eastAsia="ko-KR"/>
              </w:rPr>
              <w:t>Issue 5.3: CG-SDT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4"/>
              </w:numPr>
              <w:spacing w:after="0" w:line="240" w:lineRule="auto"/>
              <w:jc w:val="left"/>
              <w:rPr>
                <w:lang w:val="en-US" w:eastAsia="ko-KR"/>
              </w:rPr>
            </w:pPr>
            <w:r>
              <w:rPr>
                <w:lang w:val="en-US" w:eastAsia="ko-KR"/>
              </w:rPr>
              <w:t>CG-SDT in a RedCap-specific separate initial BWP without any 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r>
              <w:rPr>
                <w:rFonts w:eastAsia="游明朝"/>
                <w:lang w:val="en-US" w:eastAsia="ja-JP"/>
              </w:rPr>
              <w:t xml:space="preserve"> or L</w:t>
            </w:r>
          </w:p>
        </w:tc>
        <w:tc>
          <w:tcPr>
            <w:tcW w:w="6780" w:type="dxa"/>
          </w:tcPr>
          <w:p>
            <w:pPr>
              <w:spacing w:after="0" w:line="240" w:lineRule="auto"/>
              <w:jc w:val="left"/>
              <w:rPr>
                <w:rFonts w:eastAsia="游明朝"/>
                <w:lang w:val="en-US" w:eastAsia="ja-JP"/>
              </w:rPr>
            </w:pPr>
            <w:r>
              <w:rPr>
                <w:rFonts w:hint="eastAsia" w:eastAsia="游明朝"/>
                <w:lang w:val="en-US" w:eastAsia="ja-JP"/>
              </w:rPr>
              <w:t>O</w:t>
            </w:r>
            <w:r>
              <w:rPr>
                <w:rFonts w:eastAsia="游明朝"/>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spacing w:after="0" w:line="240" w:lineRule="auto"/>
              <w:jc w:val="left"/>
              <w:rPr>
                <w:rFonts w:eastAsia="游明朝"/>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hint="eastAsia" w:eastAsia="游明朝"/>
                <w:lang w:val="en-US" w:eastAsia="ja-JP"/>
              </w:rPr>
            </w:pPr>
            <w:r>
              <w:rPr>
                <w:rFonts w:hint="eastAsia" w:eastAsia="游明朝"/>
                <w:lang w:val="en-US" w:eastAsia="ja-JP"/>
              </w:rPr>
              <w:t>N</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We already have the conclusion</w:t>
            </w:r>
          </w:p>
          <w:p>
            <w:pPr>
              <w:rPr>
                <w:rFonts w:ascii="Times New Roman" w:hAnsi="Times New Roman"/>
                <w:szCs w:val="20"/>
                <w:lang w:val="en-US" w:eastAsia="ko-KR"/>
              </w:rPr>
            </w:pPr>
            <w:r>
              <w:rPr>
                <w:lang w:val="en-US" w:eastAsia="zh-CN"/>
              </w:rPr>
              <w:t>Conclusion:</w:t>
            </w:r>
            <w:r>
              <w:rPr>
                <w:color w:val="FF0000"/>
              </w:rPr>
              <w:t xml:space="preserve"> (no spec impact)</w:t>
            </w:r>
          </w:p>
          <w:p>
            <w:pPr>
              <w:numPr>
                <w:ilvl w:val="0"/>
                <w:numId w:val="14"/>
              </w:numPr>
              <w:rPr>
                <w:rFonts w:ascii="Times New Roman" w:hAnsi="Times New Roman"/>
                <w:szCs w:val="20"/>
                <w:lang w:val="en-US" w:eastAsia="ko-KR"/>
              </w:rPr>
            </w:pPr>
            <w:r>
              <w:rPr>
                <w:rFonts w:ascii="Times New Roman" w:hAnsi="Times New Roman"/>
                <w:szCs w:val="20"/>
                <w:lang w:val="en-US" w:eastAsia="ko-KR"/>
              </w:rPr>
              <w:t>No issue is identified for RedCap UEs supporting RA-SDT to support initial (non-subsequent) RA-SDT transmission in a RedCap-specific separate initial BWP without CD-SSB.</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No need for spec change.</w:t>
            </w: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pStyle w:val="4"/>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1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tabs>
                <w:tab w:val="left" w:pos="551"/>
              </w:tabs>
              <w:jc w:val="left"/>
              <w:rPr>
                <w:rFonts w:hint="default" w:eastAsia="宋体"/>
                <w:b/>
                <w:bCs/>
                <w:sz w:val="20"/>
                <w:szCs w:val="22"/>
                <w:lang w:val="en-US" w:eastAsia="zh-CN"/>
              </w:rPr>
            </w:pPr>
            <w:r>
              <w:rPr>
                <w:rFonts w:hint="eastAsia" w:eastAsia="宋体"/>
                <w:b/>
                <w:bCs/>
                <w:sz w:val="20"/>
                <w:szCs w:val="22"/>
                <w:lang w:val="en-US" w:eastAsia="zh-CN"/>
              </w:rPr>
              <w:t>Seems current spec can cover option2.</w:t>
            </w:r>
          </w:p>
          <w:p>
            <w:pPr>
              <w:tabs>
                <w:tab w:val="left" w:pos="551"/>
              </w:tabs>
              <w:jc w:val="left"/>
              <w:rPr>
                <w:rFonts w:hint="default" w:eastAsia="宋体"/>
                <w:b/>
                <w:bCs/>
                <w:sz w:val="20"/>
                <w:szCs w:val="22"/>
                <w:lang w:val="en-US" w:eastAsia="zh-CN"/>
              </w:rPr>
            </w:pPr>
            <w:r>
              <w:rPr>
                <w:b/>
                <w:bCs/>
                <w:sz w:val="20"/>
                <w:szCs w:val="22"/>
                <w:lang w:val="en-US"/>
              </w:rPr>
              <w:t>SSB and CG-SDT PO</w:t>
            </w:r>
            <w:r>
              <w:rPr>
                <w:rFonts w:hint="eastAsia" w:eastAsia="宋体"/>
                <w:b/>
                <w:bCs/>
                <w:sz w:val="20"/>
                <w:szCs w:val="22"/>
                <w:lang w:val="en-US" w:eastAsia="zh-CN"/>
              </w:rPr>
              <w:t xml:space="preserve">, </w:t>
            </w:r>
            <w:r>
              <w:rPr>
                <w:b/>
                <w:bCs/>
                <w:sz w:val="20"/>
                <w:szCs w:val="22"/>
                <w:lang w:val="en-US"/>
              </w:rPr>
              <w:t>CSS/USS and CG-SDT PO</w:t>
            </w:r>
            <w:r>
              <w:rPr>
                <w:rFonts w:hint="eastAsia" w:eastAsia="宋体"/>
                <w:b/>
                <w:bCs/>
                <w:sz w:val="20"/>
                <w:szCs w:val="22"/>
                <w:lang w:val="en-US" w:eastAsia="zh-CN"/>
              </w:rPr>
              <w:t xml:space="preserve">, </w:t>
            </w:r>
            <w:r>
              <w:rPr>
                <w:b/>
                <w:bCs/>
                <w:sz w:val="20"/>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b w:val="0"/>
                            <w:i w:val="0"/>
                          </w: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w:rPr>
                            <w:b w:val="0"/>
                            <w:i w:val="0"/>
                          </w: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b w:val="0"/>
                            <w:i w:val="0"/>
                            <w:lang w:val="en-US"/>
                          </w:rPr>
                          <m:t>R</m:t>
                        </m:r>
                        <m:r>
                          <m:rPr>
                            <m:nor/>
                            <m:sty m:val="p"/>
                          </m:rPr>
                          <w:rPr>
                            <w:b w:val="0"/>
                            <w:i w:val="0"/>
                          </w:rPr>
                          <m:t>x-</m:t>
                        </m:r>
                        <m:r>
                          <m:rPr>
                            <m:nor/>
                            <m:sty m:val="p"/>
                          </m:rPr>
                          <w:rPr>
                            <w:b w:val="0"/>
                            <w:i w:val="0"/>
                            <w:lang w:val="en-US"/>
                          </w:rPr>
                          <m:t>T</m:t>
                        </m:r>
                        <m:r>
                          <m:rPr>
                            <m:nor/>
                            <m:sty m:val="p"/>
                          </m:rPr>
                          <w:rPr>
                            <w:b w:val="0"/>
                            <w:i w:val="0"/>
                          </w: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w:rPr>
                            <w:b w:val="0"/>
                            <w:i w:val="0"/>
                          </w: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b w:val="0"/>
                            <w:i w:val="0"/>
                          </w: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w:rPr>
                            <w:b w:val="0"/>
                            <w:i w:val="0"/>
                          </w:rPr>
                          <m:t>c</m:t>
                        </m:r>
                        <m:ctrlPr>
                          <w:rPr>
                            <w:rFonts w:ascii="Cambria Math" w:hAnsi="Cambria Math"/>
                          </w:rPr>
                        </m:ctrlPr>
                      </m:sub>
                    </m:sSub>
                  </m:oMath>
                  <w:r>
                    <w:rPr>
                      <w:lang w:val="en-US"/>
                    </w:rPr>
                    <w:t xml:space="preserve"> prior to a first symbol of the next earliest SS/PBCH block</w:t>
                  </w:r>
                </w:p>
                <w:p>
                  <w:pPr>
                    <w:pStyle w:val="248"/>
                    <w:rPr>
                      <w:b/>
                      <w:bCs/>
                      <w:sz w:val="20"/>
                      <w:szCs w:val="22"/>
                      <w:vertAlign w:val="baseline"/>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b w:val="0"/>
                            <w:i w:val="0"/>
                            <w:lang w:val="en-US"/>
                          </w:rPr>
                          <m:t>R</m:t>
                        </m:r>
                        <m:r>
                          <m:rPr>
                            <m:nor/>
                            <m:sty m:val="p"/>
                          </m:rPr>
                          <w:rPr>
                            <w:b w:val="0"/>
                            <w:i w:val="0"/>
                          </w:rPr>
                          <m:t>x-</m:t>
                        </m:r>
                        <m:r>
                          <m:rPr>
                            <m:nor/>
                            <m:sty m:val="p"/>
                          </m:rPr>
                          <w:rPr>
                            <w:b w:val="0"/>
                            <w:i w:val="0"/>
                            <w:lang w:val="en-US"/>
                          </w:rPr>
                          <m:t>T</m:t>
                        </m:r>
                        <m:r>
                          <m:rPr>
                            <m:nor/>
                            <m:sty m:val="p"/>
                          </m:rPr>
                          <w:rPr>
                            <w:b w:val="0"/>
                            <w:i w:val="0"/>
                          </w: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w:rPr>
                            <w:b w:val="0"/>
                            <w:i w:val="0"/>
                          </w: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 w:val="20"/>
                <w:szCs w:val="22"/>
                <w:lang w:val="en-US"/>
              </w:rPr>
            </w:pPr>
          </w:p>
          <w:p>
            <w:pPr>
              <w:tabs>
                <w:tab w:val="left" w:pos="551"/>
              </w:tabs>
              <w:jc w:val="left"/>
              <w:rPr>
                <w:b/>
                <w:bCs/>
                <w:sz w:val="20"/>
                <w:szCs w:val="22"/>
                <w:lang w:val="en-US"/>
              </w:rPr>
            </w:pPr>
            <w:r>
              <w:rPr>
                <w:b/>
                <w:bCs/>
                <w:sz w:val="20"/>
                <w:szCs w:val="22"/>
                <w:lang w:val="en-US"/>
              </w:rPr>
              <w:t xml:space="preserve">Dynamic PDSCH </w:t>
            </w:r>
            <w:r>
              <w:rPr>
                <w:rFonts w:hint="eastAsia" w:eastAsia="宋体"/>
                <w:b/>
                <w:bCs/>
                <w:sz w:val="20"/>
                <w:szCs w:val="22"/>
                <w:lang w:val="en-US" w:eastAsia="zh-CN"/>
              </w:rPr>
              <w:t>and</w:t>
            </w:r>
            <w:r>
              <w:rPr>
                <w:b/>
                <w:bCs/>
                <w:sz w:val="20"/>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 w:val="20"/>
                      <w:szCs w:val="22"/>
                      <w:vertAlign w:val="baseline"/>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 w:val="20"/>
                <w:szCs w:val="22"/>
                <w:lang w:val="en-US" w:eastAsia="zh-CN"/>
              </w:rPr>
            </w:pPr>
          </w:p>
          <w:p>
            <w:pPr>
              <w:tabs>
                <w:tab w:val="left" w:pos="551"/>
              </w:tabs>
              <w:jc w:val="left"/>
              <w:rPr>
                <w:rFonts w:hint="default"/>
                <w:b w:val="0"/>
                <w:bCs w:val="0"/>
                <w:sz w:val="20"/>
                <w:szCs w:val="22"/>
                <w:lang w:val="en-US" w:eastAsia="zh-CN"/>
              </w:rPr>
            </w:pPr>
            <w:r>
              <w:rPr>
                <w:rFonts w:hint="eastAsia"/>
                <w:b w:val="0"/>
                <w:bCs w:val="0"/>
                <w:sz w:val="20"/>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pPr>
              <w:tabs>
                <w:tab w:val="left" w:pos="551"/>
              </w:tabs>
              <w:jc w:val="left"/>
              <w:rPr>
                <w:rFonts w:ascii="Times New Roman" w:hAnsi="Times New Roman" w:eastAsia="Batang" w:cs="Times New Roman"/>
                <w:b/>
                <w:bCs/>
                <w:sz w:val="20"/>
                <w:szCs w:val="22"/>
                <w:lang w:val="en-US" w:eastAsia="zh-CN" w:bidi="ar-SA"/>
              </w:rPr>
            </w:pPr>
          </w:p>
        </w:tc>
      </w:tr>
    </w:tbl>
    <w:p>
      <w:pPr>
        <w:rPr>
          <w:szCs w:val="22"/>
          <w:lang w:val="en-US"/>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游明朝"/>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pStyle w:val="4"/>
        <w:numPr>
          <w:ilvl w:val="0"/>
          <w:numId w:val="0"/>
        </w:numPr>
        <w:spacing w:after="120" w:afterAutospacing="0"/>
        <w:ind w:left="720" w:hanging="720"/>
        <w:rPr>
          <w:b/>
          <w:bCs/>
          <w:sz w:val="20"/>
        </w:rPr>
      </w:pPr>
      <w:r>
        <w:rPr>
          <w:b/>
          <w:bCs/>
          <w:sz w:val="20"/>
          <w:highlight w:val="cyan"/>
        </w:rPr>
        <w:t>FL2 Medium Priority Question 6-2a</w:t>
      </w:r>
      <w:r>
        <w:rPr>
          <w:b/>
          <w:bCs/>
          <w:sz w:val="20"/>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40"/>
          <w:b/>
          <w:bCs/>
          <w:lang w:val="en-US"/>
        </w:rPr>
        <w:t>10</w:t>
      </w:r>
      <w:r>
        <w:rPr>
          <w:rStyle w:val="40"/>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tabs>
                <w:tab w:val="left" w:pos="551"/>
              </w:tabs>
              <w:jc w:val="left"/>
              <w:rPr>
                <w:rFonts w:hint="default" w:ascii="Times New Roman" w:hAnsi="Times New Roman" w:eastAsia="宋体" w:cs="Times New Roman"/>
                <w:lang w:val="en-US" w:eastAsia="zh-CN" w:bidi="ar-SA"/>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L</w:t>
            </w:r>
          </w:p>
        </w:tc>
        <w:tc>
          <w:tcPr>
            <w:tcW w:w="6780" w:type="dxa"/>
          </w:tcPr>
          <w:p>
            <w:pPr>
              <w:jc w:val="left"/>
              <w:rPr>
                <w:rFonts w:eastAsiaTheme="minorEastAsia"/>
                <w:lang w:val="en-US" w:eastAsia="zh-CN"/>
              </w:rPr>
            </w:pPr>
            <w:r>
              <w:rPr>
                <w:rFonts w:eastAsia="游明朝"/>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L</w:t>
            </w:r>
          </w:p>
        </w:tc>
        <w:tc>
          <w:tcPr>
            <w:tcW w:w="6780" w:type="dxa"/>
          </w:tcPr>
          <w:p>
            <w:pPr>
              <w:jc w:val="left"/>
              <w:rPr>
                <w:rFonts w:eastAsia="游明朝"/>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pStyle w:val="4"/>
        <w:numPr>
          <w:ilvl w:val="0"/>
          <w:numId w:val="0"/>
        </w:numPr>
        <w:spacing w:after="120" w:afterAutospacing="0"/>
        <w:ind w:left="720" w:hanging="720"/>
        <w:rPr>
          <w:b/>
          <w:bCs/>
          <w:sz w:val="20"/>
        </w:rPr>
      </w:pPr>
      <w:r>
        <w:rPr>
          <w:b/>
          <w:bCs/>
          <w:sz w:val="20"/>
          <w:highlight w:val="lightGray"/>
        </w:rPr>
        <w:t>FL2 Low Priority Question 7-2a</w:t>
      </w:r>
      <w:r>
        <w:rPr>
          <w:b/>
          <w:bCs/>
          <w:sz w:val="20"/>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19"/>
        </w:numPr>
        <w:jc w:val="left"/>
        <w:rPr>
          <w:b/>
          <w:bCs/>
          <w:sz w:val="20"/>
          <w:szCs w:val="22"/>
          <w:lang w:val="en-US"/>
        </w:rPr>
      </w:pPr>
      <w:r>
        <w:rPr>
          <w:b/>
          <w:bCs/>
          <w:sz w:val="20"/>
          <w:szCs w:val="22"/>
          <w:lang w:val="en-US"/>
        </w:rPr>
        <w:t>Option 1: gNB implementation</w:t>
      </w:r>
    </w:p>
    <w:p>
      <w:pPr>
        <w:pStyle w:val="50"/>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19"/>
        </w:numPr>
        <w:jc w:val="left"/>
        <w:rPr>
          <w:b/>
          <w:bCs/>
          <w:sz w:val="20"/>
          <w:szCs w:val="22"/>
          <w:lang w:val="en-US"/>
        </w:rPr>
      </w:pPr>
      <w:r>
        <w:rPr>
          <w:b/>
          <w:bCs/>
          <w:sz w:val="20"/>
          <w:szCs w:val="22"/>
          <w:lang w:val="en-US"/>
        </w:rPr>
        <w:t>Option 2: Spec corrections</w:t>
      </w:r>
    </w:p>
    <w:p>
      <w:pPr>
        <w:pStyle w:val="50"/>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1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游明朝"/>
                <w:lang w:val="en-US" w:eastAsia="ja-JP"/>
              </w:rPr>
            </w:pPr>
            <w:r>
              <w:rPr>
                <w:rFonts w:hint="eastAsia" w:eastAsia="游明朝"/>
                <w:lang w:val="en-US" w:eastAsia="ja-JP"/>
              </w:rPr>
              <w:t>A</w:t>
            </w:r>
            <w:r>
              <w:rPr>
                <w:rFonts w:eastAsia="游明朝"/>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bookmarkStart w:id="6" w:name="_GoBack" w:colFirst="0" w:colLast="2"/>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 2</w:t>
            </w:r>
          </w:p>
        </w:tc>
        <w:tc>
          <w:tcPr>
            <w:tcW w:w="6780" w:type="dxa"/>
            <w:vAlign w:val="top"/>
          </w:tcPr>
          <w:p>
            <w:pPr>
              <w:tabs>
                <w:tab w:val="left" w:pos="551"/>
              </w:tabs>
              <w:jc w:val="left"/>
              <w:rPr>
                <w:rFonts w:hint="eastAsia"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hint="default"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hint="default"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hint="default"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hint="eastAsia"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bookmarkEnd w:id="6"/>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ＭＳ 明朝">
    <w:altName w:val="Yu Gothic UI"/>
    <w:panose1 w:val="02020609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
  </w:num>
  <w:num w:numId="4">
    <w:abstractNumId w:val="0"/>
  </w:num>
  <w:num w:numId="5">
    <w:abstractNumId w:val="13"/>
  </w:num>
  <w:num w:numId="6">
    <w:abstractNumId w:val="14"/>
    <w:lvlOverride w:ilvl="0">
      <w:startOverride w:val="1"/>
    </w:lvlOverride>
  </w:num>
  <w:num w:numId="7">
    <w:abstractNumId w:val="15"/>
  </w:num>
  <w:num w:numId="8">
    <w:abstractNumId w:val="17"/>
  </w:num>
  <w:num w:numId="9">
    <w:abstractNumId w:val="11"/>
  </w:num>
  <w:num w:numId="10">
    <w:abstractNumId w:val="18"/>
  </w:num>
  <w:num w:numId="11">
    <w:abstractNumId w:val="16"/>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ヘッダー (文字)"/>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3"/>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書式なし (文字)"/>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ＭＳ 明朝"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ＭＳ 明朝" w:cs="Arial"/>
      <w:szCs w:val="24"/>
      <w:lang w:val="sv-SE" w:eastAsia="sv-SE"/>
    </w:rPr>
  </w:style>
  <w:style w:type="character" w:customStyle="1" w:styleId="308">
    <w:name w:val="Comments Char"/>
    <w:link w:val="309"/>
    <w:qFormat/>
    <w:locked/>
    <w:uiPriority w:val="0"/>
    <w:rPr>
      <w:rFonts w:ascii="Arial" w:hAnsi="Arial" w:eastAsia="ＭＳ 明朝" w:cs="Arial"/>
      <w:i/>
      <w:sz w:val="18"/>
      <w:szCs w:val="24"/>
    </w:rPr>
  </w:style>
  <w:style w:type="paragraph" w:customStyle="1" w:styleId="309">
    <w:name w:val="Comments"/>
    <w:basedOn w:val="1"/>
    <w:link w:val="308"/>
    <w:qFormat/>
    <w:uiPriority w:val="0"/>
    <w:pPr>
      <w:spacing w:before="40" w:after="0" w:line="240" w:lineRule="auto"/>
    </w:pPr>
    <w:rPr>
      <w:rFonts w:ascii="Arial" w:hAnsi="Arial" w:eastAsia="ＭＳ 明朝"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ＭＳ 明朝"/>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uiPriority w:val="0"/>
  </w:style>
  <w:style w:type="character" w:customStyle="1" w:styleId="360">
    <w:name w:val="未处理的提及10"/>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40589-4897-42E7-A499-0FE6344DCE2F}">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78E52210-ECF3-402A-ACBD-9EFCD1E57865}">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18</Pages>
  <Words>6335</Words>
  <Characters>33563</Characters>
  <Lines>334</Lines>
  <Paragraphs>94</Paragraphs>
  <TotalTime>0</TotalTime>
  <ScaleCrop>false</ScaleCrop>
  <LinksUpToDate>false</LinksUpToDate>
  <CharactersWithSpaces>39051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2023-04-19T02:31:00Z</dcterms:created>
  <dc:creator>Johan Bergman</dc:creator>
  <cp:lastModifiedBy>Hu Youjun</cp:lastModifiedBy>
  <dcterms:modified xsi:type="dcterms:W3CDTF">2023-04-19T08:05:06Z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9A3CC1DEC19348C88913161404594018_13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