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24406" w14:textId="77777777" w:rsidR="00AF7586" w:rsidRDefault="00487A2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C0250F7"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FE8C6C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新細明體"/>
                <w:lang w:val="en-US" w:eastAsia="ja-JP"/>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2E175C"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77777777" w:rsidR="007B5B87" w:rsidRDefault="007B5B87">
            <w:pPr>
              <w:spacing w:after="0"/>
              <w:jc w:val="center"/>
              <w:rPr>
                <w:rFonts w:eastAsiaTheme="minorEastAsia"/>
                <w:lang w:val="en-US" w:eastAsia="zh-CN"/>
              </w:rPr>
            </w:pPr>
            <w:r>
              <w:rPr>
                <w:rFonts w:eastAsiaTheme="minorEastAsia"/>
                <w:lang w:val="en-US" w:eastAsia="zh-CN"/>
              </w:rPr>
              <w:t>cw.tsai@mediatek.com</w:t>
            </w:r>
          </w:p>
        </w:tc>
      </w:tr>
    </w:tbl>
    <w:p w14:paraId="130C336D" w14:textId="77777777" w:rsidR="00AF7586" w:rsidRPr="002E175C" w:rsidRDefault="00AF7586">
      <w:pPr>
        <w:rPr>
          <w:lang w:val="sv-SE"/>
        </w:rPr>
      </w:pPr>
    </w:p>
    <w:p w14:paraId="561DA6ED" w14:textId="77777777" w:rsidR="00AF7586" w:rsidRDefault="00487A22">
      <w:pPr>
        <w:pStyle w:val="Heading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1D1EBF">
            <w:pPr>
              <w:jc w:val="left"/>
              <w:rPr>
                <w:rStyle w:val="Hyperlink"/>
                <w:color w:val="0000FF"/>
              </w:rPr>
            </w:pPr>
            <w:hyperlink r:id="rId23" w:history="1">
              <w:r w:rsidR="00487A22">
                <w:rPr>
                  <w:rStyle w:val="Hyperlink"/>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1D1EBF">
            <w:pPr>
              <w:jc w:val="left"/>
            </w:pPr>
            <w:hyperlink r:id="rId24" w:history="1">
              <w:r w:rsidR="00487A22">
                <w:rPr>
                  <w:rStyle w:val="Hyperlink"/>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1D1EBF">
            <w:pPr>
              <w:jc w:val="left"/>
            </w:pPr>
            <w:hyperlink r:id="rId25" w:history="1">
              <w:r w:rsidR="00487A22">
                <w:rPr>
                  <w:rStyle w:val="Hyperlink"/>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1D1EBF">
            <w:pPr>
              <w:jc w:val="left"/>
            </w:pPr>
            <w:hyperlink r:id="rId26" w:history="1">
              <w:r w:rsidR="00487A22">
                <w:rPr>
                  <w:rStyle w:val="Hyperlink"/>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 xml:space="preserve">ZTE, </w:t>
            </w:r>
            <w:proofErr w:type="spellStart"/>
            <w:r>
              <w:t>Sanechips</w:t>
            </w:r>
            <w:proofErr w:type="spellEnd"/>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1D1EBF">
            <w:pPr>
              <w:jc w:val="left"/>
            </w:pPr>
            <w:hyperlink r:id="rId27" w:history="1">
              <w:r w:rsidR="00487A22">
                <w:rPr>
                  <w:rStyle w:val="Hyperlink"/>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1D1EBF">
            <w:pPr>
              <w:jc w:val="left"/>
            </w:pPr>
            <w:hyperlink r:id="rId28" w:history="1">
              <w:r w:rsidR="00487A22">
                <w:rPr>
                  <w:rStyle w:val="Hyperlink"/>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1D1EBF">
            <w:pPr>
              <w:jc w:val="left"/>
            </w:pPr>
            <w:hyperlink r:id="rId29" w:history="1">
              <w:r w:rsidR="00487A22">
                <w:rPr>
                  <w:rStyle w:val="Hyperlink"/>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1D1EBF">
            <w:pPr>
              <w:jc w:val="left"/>
            </w:pPr>
            <w:hyperlink r:id="rId30" w:history="1">
              <w:r w:rsidR="00487A22">
                <w:rPr>
                  <w:rStyle w:val="Hyperlink"/>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1D1EBF">
            <w:pPr>
              <w:jc w:val="left"/>
            </w:pPr>
            <w:hyperlink r:id="rId31" w:history="1">
              <w:r w:rsidR="00487A22">
                <w:rPr>
                  <w:rStyle w:val="Hyperlink"/>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1D1EBF">
            <w:pPr>
              <w:jc w:val="left"/>
            </w:pPr>
            <w:hyperlink r:id="rId32"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43A68DB3"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4166EF3F" w:rsidR="00307A51" w:rsidRDefault="00307A51" w:rsidP="00307A51">
            <w:pPr>
              <w:jc w:val="left"/>
              <w:rPr>
                <w:rFonts w:eastAsia="Malgun Gothic" w:hint="eastAsia"/>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w:t>
            </w:r>
            <w:proofErr w:type="gramStart"/>
            <w:r w:rsidR="00827589">
              <w:rPr>
                <w:rFonts w:eastAsiaTheme="minorEastAsia"/>
                <w:lang w:val="en-US" w:eastAsia="zh-CN"/>
              </w:rPr>
              <w:t>used</w:t>
            </w:r>
            <w:proofErr w:type="gramEnd"/>
            <w:r w:rsidR="00827589">
              <w:rPr>
                <w:rFonts w:eastAsiaTheme="minorEastAsia"/>
                <w:lang w:val="en-US" w:eastAsia="zh-CN"/>
              </w:rPr>
              <w:t xml:space="preserve"> and specification changes are needed. </w:t>
            </w:r>
          </w:p>
        </w:tc>
      </w:tr>
    </w:tbl>
    <w:p w14:paraId="06DBA8E7" w14:textId="77777777" w:rsidR="00AF7586" w:rsidRDefault="00AF7586">
      <w:pPr>
        <w:rPr>
          <w:szCs w:val="22"/>
        </w:rPr>
      </w:pPr>
    </w:p>
    <w:p w14:paraId="33EB4B02" w14:textId="77777777" w:rsidR="00AF7586" w:rsidRDefault="00487A22">
      <w:pPr>
        <w:pStyle w:val="Heading1"/>
        <w:numPr>
          <w:ilvl w:val="0"/>
          <w:numId w:val="0"/>
        </w:numPr>
        <w:ind w:left="1134" w:hanging="1134"/>
        <w:rPr>
          <w:lang w:val="en-US"/>
        </w:rPr>
      </w:pPr>
      <w:r>
        <w:rPr>
          <w:lang w:val="en-US"/>
        </w:rPr>
        <w:lastRenderedPageBreak/>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38" w:history="1">
        <w:r>
          <w:rPr>
            <w:rStyle w:val="Hyperlink"/>
            <w:lang w:val="en-US"/>
          </w:rPr>
          <w:t>5</w:t>
        </w:r>
      </w:hyperlink>
      <w:r>
        <w:rPr>
          <w:lang w:val="en-US"/>
        </w:rPr>
        <w:t>] and made this conclusion [</w:t>
      </w:r>
      <w:hyperlink r:id="rId3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1D1EBF">
            <w:pPr>
              <w:jc w:val="left"/>
              <w:rPr>
                <w:rStyle w:val="Hyperlink"/>
                <w:color w:val="0000FF"/>
              </w:rPr>
            </w:pPr>
            <w:hyperlink r:id="rId40" w:history="1">
              <w:r w:rsidR="00487A22">
                <w:rPr>
                  <w:rStyle w:val="Hyperlink"/>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1D1EBF">
            <w:pPr>
              <w:jc w:val="left"/>
            </w:pPr>
            <w:hyperlink r:id="rId41" w:history="1">
              <w:r w:rsidR="00487A22">
                <w:rPr>
                  <w:rStyle w:val="Hyperlink"/>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1D1EBF">
            <w:pPr>
              <w:jc w:val="left"/>
            </w:pPr>
            <w:hyperlink r:id="rId42"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ListParagraph"/>
        <w:numPr>
          <w:ilvl w:val="0"/>
          <w:numId w:val="13"/>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15768C29" w14:textId="77777777" w:rsidR="00AF7586" w:rsidRDefault="00487A22">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ListParagraph"/>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ListParagraph"/>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hint="eastAsia"/>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hint="eastAsia"/>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sidRPr="00A972B3">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hint="eastAsia"/>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 SIB1 or</w:t>
            </w:r>
            <w:r>
              <w:rPr>
                <w:rFonts w:eastAsiaTheme="minorEastAsia"/>
                <w:lang w:val="en-US" w:eastAsia="zh-CN"/>
              </w:rPr>
              <w:t xml:space="preserve">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w:t>
            </w:r>
            <w:r>
              <w:rPr>
                <w:rFonts w:eastAsiaTheme="minorEastAsia"/>
                <w:lang w:val="en-US" w:eastAsia="zh-CN"/>
              </w:rPr>
              <w:t xml:space="preserve"> </w:t>
            </w:r>
            <w:proofErr w:type="spellStart"/>
            <w:r w:rsidRPr="00A972B3">
              <w:rPr>
                <w:rFonts w:eastAsiaTheme="minorEastAsia"/>
                <w:lang w:val="en-US" w:eastAsia="zh-CN"/>
              </w:rPr>
              <w:t>ServingCellConfigCommon</w:t>
            </w:r>
            <w:proofErr w:type="spellEnd"/>
          </w:p>
        </w:tc>
      </w:tr>
    </w:tbl>
    <w:p w14:paraId="56A59DE8" w14:textId="77777777" w:rsidR="00AF7586" w:rsidRDefault="00AF7586">
      <w:pPr>
        <w:rPr>
          <w:szCs w:val="22"/>
        </w:rPr>
      </w:pPr>
    </w:p>
    <w:p w14:paraId="2AA7ADDE" w14:textId="77777777" w:rsidR="00AF7586" w:rsidRDefault="00487A22">
      <w:pPr>
        <w:pStyle w:val="Heading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3" w:history="1">
        <w:r>
          <w:rPr>
            <w:rStyle w:val="Hyperlink"/>
            <w:lang w:val="en-US"/>
          </w:rPr>
          <w:t>25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5"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46"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1D1EBF">
            <w:pPr>
              <w:jc w:val="left"/>
              <w:rPr>
                <w:rStyle w:val="Hyperlink"/>
                <w:color w:val="0000FF"/>
              </w:rPr>
            </w:pPr>
            <w:hyperlink r:id="rId47" w:history="1">
              <w:r w:rsidR="00487A22">
                <w:rPr>
                  <w:rStyle w:val="Hyperlink"/>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1D1EBF">
            <w:pPr>
              <w:jc w:val="left"/>
            </w:pPr>
            <w:hyperlink r:id="rId48" w:history="1">
              <w:r w:rsidR="00487A22">
                <w:rPr>
                  <w:rStyle w:val="Hyperlink"/>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1D1EBF">
            <w:pPr>
              <w:jc w:val="left"/>
            </w:pPr>
            <w:hyperlink r:id="rId49" w:history="1">
              <w:r w:rsidR="00487A22">
                <w:rPr>
                  <w:rStyle w:val="Hyperlink"/>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0"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w:t>
            </w:r>
            <w:r>
              <w:rPr>
                <w:bCs/>
                <w:color w:val="C00000"/>
                <w:u w:val="single"/>
                <w:lang w:eastAsia="ko-KR"/>
              </w:rPr>
              <w:lastRenderedPageBreak/>
              <w:t>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lastRenderedPageBreak/>
        <w:br/>
        <w:t>Contribution [15] has the following proposals:</w:t>
      </w:r>
    </w:p>
    <w:p w14:paraId="515E9694"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hint="eastAsia"/>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hint="eastAsia"/>
                <w:lang w:val="en-US" w:eastAsia="ko-KR"/>
              </w:rPr>
            </w:pPr>
            <w:r>
              <w:rPr>
                <w:rFonts w:eastAsiaTheme="minorEastAsia" w:hint="eastAsia"/>
                <w:lang w:val="en-US" w:eastAsia="zh-CN"/>
              </w:rPr>
              <w:t>O</w:t>
            </w:r>
            <w:r>
              <w:rPr>
                <w:rFonts w:eastAsiaTheme="minorEastAsia"/>
                <w:lang w:val="en-US" w:eastAsia="zh-CN"/>
              </w:rPr>
              <w:t>pen for discussion</w:t>
            </w:r>
          </w:p>
        </w:tc>
      </w:tr>
    </w:tbl>
    <w:p w14:paraId="4F0FD5AB" w14:textId="77777777" w:rsidR="00AF7586" w:rsidRDefault="00AF7586">
      <w:pPr>
        <w:rPr>
          <w:szCs w:val="22"/>
        </w:rPr>
      </w:pPr>
    </w:p>
    <w:p w14:paraId="2D84D57E" w14:textId="77777777" w:rsidR="00AF7586" w:rsidRDefault="00487A22">
      <w:pPr>
        <w:pStyle w:val="Heading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1" w:history="1">
        <w:r>
          <w:rPr>
            <w:rStyle w:val="Hyperlink"/>
            <w:lang w:val="en-US"/>
          </w:rPr>
          <w:t>25</w:t>
        </w:r>
      </w:hyperlink>
      <w:r>
        <w:rPr>
          <w:lang w:val="en-US"/>
        </w:rPr>
        <w:t>] and made this conclusion [</w:t>
      </w:r>
      <w:hyperlink r:id="rId5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lastRenderedPageBreak/>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1D1EBF">
            <w:pPr>
              <w:jc w:val="left"/>
              <w:rPr>
                <w:rStyle w:val="Hyperlink"/>
                <w:color w:val="0000FF"/>
              </w:rPr>
            </w:pPr>
            <w:hyperlink r:id="rId53" w:history="1">
              <w:r w:rsidR="00487A22">
                <w:rPr>
                  <w:rStyle w:val="Hyperlink"/>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1D1EBF">
            <w:pPr>
              <w:jc w:val="left"/>
            </w:pPr>
            <w:hyperlink r:id="rId54" w:history="1">
              <w:r w:rsidR="00487A22">
                <w:rPr>
                  <w:rStyle w:val="Hyperlink"/>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hint="eastAsia"/>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hint="eastAsia"/>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77777777" w:rsidR="007340C7" w:rsidRDefault="007340C7" w:rsidP="007340C7">
            <w:pPr>
              <w:jc w:val="left"/>
              <w:rPr>
                <w:rFonts w:eastAsiaTheme="minorEastAsia"/>
                <w:lang w:val="en-US" w:eastAsia="zh-CN"/>
              </w:rPr>
            </w:pPr>
            <w:proofErr w:type="gramStart"/>
            <w:r>
              <w:rPr>
                <w:rFonts w:eastAsiaTheme="minorEastAsia"/>
                <w:lang w:val="en-US" w:eastAsia="zh-CN"/>
              </w:rPr>
              <w:t>On[</w:t>
            </w:r>
            <w:proofErr w:type="gramEnd"/>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hint="eastAsia"/>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bl>
    <w:p w14:paraId="0841698B" w14:textId="77777777" w:rsidR="00AF7586" w:rsidRDefault="00AF7586">
      <w:pPr>
        <w:rPr>
          <w:szCs w:val="22"/>
        </w:rPr>
      </w:pPr>
    </w:p>
    <w:p w14:paraId="507ABC2E" w14:textId="77777777" w:rsidR="00AF7586" w:rsidRDefault="00487A22">
      <w:pPr>
        <w:pStyle w:val="Heading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1D1EBF">
            <w:pPr>
              <w:jc w:val="left"/>
              <w:rPr>
                <w:rStyle w:val="Hyperlink"/>
                <w:color w:val="0000FF"/>
              </w:rPr>
            </w:pPr>
            <w:hyperlink r:id="rId55" w:history="1">
              <w:r w:rsidR="00487A22">
                <w:rPr>
                  <w:rStyle w:val="Hyperlink"/>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bl>
    <w:p w14:paraId="2BD4ACC9" w14:textId="77777777" w:rsidR="00AF7586" w:rsidRDefault="00AF7586">
      <w:pPr>
        <w:rPr>
          <w:szCs w:val="22"/>
        </w:rPr>
      </w:pPr>
    </w:p>
    <w:p w14:paraId="18F56307" w14:textId="77777777" w:rsidR="00AF7586" w:rsidRDefault="00487A22">
      <w:pPr>
        <w:pStyle w:val="Heading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1D1EBF">
            <w:pPr>
              <w:jc w:val="left"/>
              <w:rPr>
                <w:rStyle w:val="Hyperlink"/>
                <w:color w:val="0000FF"/>
              </w:rPr>
            </w:pPr>
            <w:hyperlink r:id="rId56" w:history="1">
              <w:r w:rsidR="00487A22">
                <w:rPr>
                  <w:rStyle w:val="Hyperlink"/>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7" w:history="1">
        <w:r>
          <w:rPr>
            <w:rStyle w:val="Hyperlink"/>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w:t>
            </w:r>
            <w:r>
              <w:rPr>
                <w:rFonts w:eastAsiaTheme="minorEastAsia"/>
                <w:lang w:val="en-US" w:eastAsia="zh-CN"/>
              </w:rPr>
              <w:lastRenderedPageBreak/>
              <w:t>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bl>
    <w:p w14:paraId="004465B7" w14:textId="77777777" w:rsidR="00AF7586" w:rsidRDefault="00AF7586">
      <w:pPr>
        <w:rPr>
          <w:szCs w:val="22"/>
        </w:rPr>
      </w:pPr>
    </w:p>
    <w:p w14:paraId="5AFEBF46" w14:textId="77777777" w:rsidR="00AF7586" w:rsidRDefault="00487A22">
      <w:pPr>
        <w:pStyle w:val="Heading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1D1EBF">
            <w:pPr>
              <w:jc w:val="left"/>
              <w:rPr>
                <w:rStyle w:val="Hyperlink"/>
                <w:color w:val="0000FF"/>
              </w:rPr>
            </w:pPr>
            <w:hyperlink r:id="rId58" w:history="1">
              <w:r w:rsidR="00487A22">
                <w:rPr>
                  <w:rStyle w:val="Hyperlink"/>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 xml:space="preserve">ZTE, </w:t>
            </w:r>
            <w:proofErr w:type="spellStart"/>
            <w:r>
              <w:t>Sanechips</w:t>
            </w:r>
            <w:proofErr w:type="spellEnd"/>
          </w:p>
        </w:tc>
      </w:tr>
    </w:tbl>
    <w:p w14:paraId="4EFED842" w14:textId="77777777" w:rsidR="00AF7586" w:rsidRDefault="00487A22">
      <w:r>
        <w:br/>
        <w:t>RAN1#112 also discussed this topic, and the discussion is captured under Issue #6 in the FLS in [</w:t>
      </w:r>
      <w:hyperlink r:id="rId59" w:history="1">
        <w:r>
          <w:rPr>
            <w:rStyle w:val="Hyperlink"/>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bl>
    <w:p w14:paraId="29D3AA9E" w14:textId="77777777" w:rsidR="00AF7586" w:rsidRDefault="00AF7586">
      <w:pPr>
        <w:rPr>
          <w:szCs w:val="22"/>
          <w:lang w:val="en-US"/>
        </w:rPr>
      </w:pPr>
    </w:p>
    <w:p w14:paraId="38453768" w14:textId="77777777" w:rsidR="00AF7586" w:rsidRDefault="00487A2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1D1EBF">
            <w:pPr>
              <w:jc w:val="left"/>
              <w:rPr>
                <w:color w:val="0000FF"/>
                <w:u w:val="single"/>
                <w:lang w:val="en-US"/>
              </w:rPr>
            </w:pPr>
            <w:hyperlink r:id="rId60" w:history="1">
              <w:r w:rsidR="00487A22">
                <w:rPr>
                  <w:rStyle w:val="Hyperlink"/>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1D1EBF">
            <w:pPr>
              <w:jc w:val="left"/>
              <w:rPr>
                <w:lang w:val="en-US"/>
              </w:rPr>
            </w:pPr>
            <w:hyperlink r:id="rId61" w:history="1">
              <w:r w:rsidR="00487A22">
                <w:rPr>
                  <w:rStyle w:val="Hyperlink"/>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1D1EBF">
            <w:pPr>
              <w:jc w:val="left"/>
              <w:rPr>
                <w:rFonts w:eastAsia="Calibri"/>
                <w:color w:val="0000FF"/>
                <w:u w:val="single"/>
                <w:lang w:val="en-US"/>
              </w:rPr>
            </w:pPr>
            <w:hyperlink r:id="rId62" w:history="1">
              <w:r w:rsidR="00487A22">
                <w:rPr>
                  <w:rStyle w:val="Hyperlink"/>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1D1EBF">
            <w:pPr>
              <w:jc w:val="left"/>
              <w:rPr>
                <w:rFonts w:eastAsia="Calibri"/>
                <w:lang w:val="en-US"/>
              </w:rPr>
            </w:pPr>
            <w:hyperlink r:id="rId63" w:history="1">
              <w:r w:rsidR="00487A22">
                <w:rPr>
                  <w:rStyle w:val="Hyperlink"/>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lastRenderedPageBreak/>
              <w:t>[5]</w:t>
            </w:r>
          </w:p>
        </w:tc>
        <w:tc>
          <w:tcPr>
            <w:tcW w:w="1456" w:type="dxa"/>
            <w:tcMar>
              <w:top w:w="0" w:type="dxa"/>
              <w:left w:w="70" w:type="dxa"/>
              <w:bottom w:w="0" w:type="dxa"/>
              <w:right w:w="70" w:type="dxa"/>
            </w:tcMar>
          </w:tcPr>
          <w:p w14:paraId="1CDB0F26" w14:textId="77777777" w:rsidR="00AF7586" w:rsidRDefault="001D1EBF">
            <w:pPr>
              <w:jc w:val="left"/>
              <w:rPr>
                <w:rFonts w:eastAsia="Calibri"/>
                <w:lang w:val="en-US"/>
              </w:rPr>
            </w:pPr>
            <w:hyperlink r:id="rId64"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1D1EBF">
            <w:pPr>
              <w:jc w:val="left"/>
              <w:rPr>
                <w:rStyle w:val="Hyperlink"/>
                <w:color w:val="0000FF"/>
                <w:lang w:val="en-US" w:eastAsia="sv-SE"/>
              </w:rPr>
            </w:pPr>
            <w:hyperlink r:id="rId65" w:history="1">
              <w:r w:rsidR="00487A22">
                <w:rPr>
                  <w:rStyle w:val="Hyperlink"/>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1D1EBF">
            <w:pPr>
              <w:jc w:val="left"/>
              <w:rPr>
                <w:rStyle w:val="Hyperlink"/>
                <w:color w:val="0000FF"/>
                <w:lang w:val="en-US" w:eastAsia="sv-SE"/>
              </w:rPr>
            </w:pPr>
            <w:hyperlink r:id="rId66" w:history="1">
              <w:r w:rsidR="00487A22">
                <w:rPr>
                  <w:rStyle w:val="Hyperlink"/>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1D1EBF">
            <w:pPr>
              <w:jc w:val="left"/>
              <w:rPr>
                <w:rStyle w:val="Hyperlink"/>
                <w:color w:val="0000FF"/>
                <w:lang w:val="en-US" w:eastAsia="sv-SE"/>
              </w:rPr>
            </w:pPr>
            <w:hyperlink r:id="rId67"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1D1EBF">
            <w:pPr>
              <w:jc w:val="left"/>
              <w:rPr>
                <w:rStyle w:val="Hyperlink"/>
                <w:color w:val="0000FF"/>
                <w:lang w:val="en-US" w:eastAsia="sv-SE"/>
              </w:rPr>
            </w:pPr>
            <w:hyperlink r:id="rId68" w:history="1">
              <w:r w:rsidR="00487A22">
                <w:rPr>
                  <w:rStyle w:val="Hyperlink"/>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1D1EBF">
            <w:pPr>
              <w:jc w:val="left"/>
              <w:rPr>
                <w:rStyle w:val="Hyperlink"/>
                <w:color w:val="0000FF"/>
                <w:lang w:val="en-US" w:eastAsia="sv-SE"/>
              </w:rPr>
            </w:pPr>
            <w:hyperlink r:id="rId69" w:history="1">
              <w:r w:rsidR="00487A22">
                <w:rPr>
                  <w:rStyle w:val="Hyperlink"/>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1D1EBF">
            <w:pPr>
              <w:jc w:val="left"/>
              <w:rPr>
                <w:rStyle w:val="Hyperlink"/>
                <w:color w:val="0000FF"/>
                <w:lang w:val="en-US" w:eastAsia="sv-SE"/>
              </w:rPr>
            </w:pPr>
            <w:hyperlink r:id="rId70" w:history="1">
              <w:r w:rsidR="00487A22">
                <w:rPr>
                  <w:rStyle w:val="Hyperlink"/>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1D1EBF">
            <w:pPr>
              <w:jc w:val="left"/>
              <w:rPr>
                <w:rStyle w:val="Hyperlink"/>
                <w:color w:val="0000FF"/>
                <w:lang w:val="en-US" w:eastAsia="sv-SE"/>
              </w:rPr>
            </w:pPr>
            <w:hyperlink r:id="rId71" w:history="1">
              <w:r w:rsidR="00487A22">
                <w:rPr>
                  <w:rStyle w:val="Hyperlink"/>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1D1EBF">
            <w:pPr>
              <w:jc w:val="left"/>
              <w:rPr>
                <w:rStyle w:val="Hyperlink"/>
                <w:color w:val="0000FF"/>
                <w:lang w:val="en-US" w:eastAsia="sv-SE"/>
              </w:rPr>
            </w:pPr>
            <w:hyperlink r:id="rId72" w:history="1">
              <w:r w:rsidR="00487A22">
                <w:rPr>
                  <w:rStyle w:val="Hyperlink"/>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 xml:space="preserve">ZTE, </w:t>
            </w:r>
            <w:proofErr w:type="spellStart"/>
            <w:r>
              <w:t>Sanechips</w:t>
            </w:r>
            <w:proofErr w:type="spellEnd"/>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1D1EBF">
            <w:pPr>
              <w:jc w:val="left"/>
              <w:rPr>
                <w:rStyle w:val="Hyperlink"/>
                <w:color w:val="0000FF"/>
                <w:lang w:val="en-US" w:eastAsia="sv-SE"/>
              </w:rPr>
            </w:pPr>
            <w:hyperlink r:id="rId73" w:history="1">
              <w:r w:rsidR="00487A22">
                <w:rPr>
                  <w:rStyle w:val="Hyperlink"/>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1D1EBF">
            <w:pPr>
              <w:jc w:val="left"/>
              <w:rPr>
                <w:rStyle w:val="Hyperlink"/>
                <w:color w:val="0000FF"/>
                <w:lang w:val="en-US" w:eastAsia="sv-SE"/>
              </w:rPr>
            </w:pPr>
            <w:hyperlink r:id="rId74" w:history="1">
              <w:r w:rsidR="00487A22">
                <w:rPr>
                  <w:rStyle w:val="Hyperlink"/>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1D1EBF">
            <w:pPr>
              <w:jc w:val="left"/>
              <w:rPr>
                <w:rStyle w:val="Hyperlink"/>
                <w:color w:val="0000FF"/>
                <w:lang w:val="en-US" w:eastAsia="sv-SE"/>
              </w:rPr>
            </w:pPr>
            <w:hyperlink r:id="rId75" w:history="1">
              <w:r w:rsidR="00487A22">
                <w:rPr>
                  <w:rStyle w:val="Hyperlink"/>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1D1EBF">
            <w:pPr>
              <w:jc w:val="left"/>
              <w:rPr>
                <w:rStyle w:val="Hyperlink"/>
                <w:color w:val="0000FF"/>
                <w:lang w:val="en-US" w:eastAsia="sv-SE"/>
              </w:rPr>
            </w:pPr>
            <w:hyperlink r:id="rId76" w:history="1">
              <w:r w:rsidR="00487A22">
                <w:rPr>
                  <w:rStyle w:val="Hyperlink"/>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1D1EBF">
            <w:pPr>
              <w:jc w:val="left"/>
              <w:rPr>
                <w:rStyle w:val="Hyperlink"/>
                <w:color w:val="0000FF"/>
                <w:lang w:val="en-US" w:eastAsia="sv-SE"/>
              </w:rPr>
            </w:pPr>
            <w:hyperlink r:id="rId77" w:history="1">
              <w:r w:rsidR="00487A22">
                <w:rPr>
                  <w:rStyle w:val="Hyperlink"/>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1D1EBF">
            <w:pPr>
              <w:jc w:val="left"/>
              <w:rPr>
                <w:rStyle w:val="Hyperlink"/>
                <w:color w:val="0000FF"/>
                <w:lang w:val="en-US" w:eastAsia="sv-SE"/>
              </w:rPr>
            </w:pPr>
            <w:hyperlink r:id="rId78" w:history="1">
              <w:r w:rsidR="00487A22">
                <w:rPr>
                  <w:rStyle w:val="Hyperlink"/>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1D1EBF">
            <w:pPr>
              <w:jc w:val="left"/>
              <w:rPr>
                <w:rStyle w:val="Hyperlink"/>
                <w:color w:val="0000FF"/>
                <w:lang w:val="en-US" w:eastAsia="sv-SE"/>
              </w:rPr>
            </w:pPr>
            <w:hyperlink r:id="rId79" w:history="1">
              <w:r w:rsidR="00487A22">
                <w:rPr>
                  <w:rStyle w:val="Hyperlink"/>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1D1EBF">
            <w:pPr>
              <w:jc w:val="left"/>
              <w:rPr>
                <w:rStyle w:val="Hyperlink"/>
                <w:color w:val="0000FF"/>
                <w:lang w:val="en-US" w:eastAsia="sv-SE"/>
              </w:rPr>
            </w:pPr>
            <w:hyperlink r:id="rId80" w:history="1">
              <w:r w:rsidR="00487A22">
                <w:rPr>
                  <w:rStyle w:val="Hyperlink"/>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1D1EBF">
            <w:pPr>
              <w:jc w:val="left"/>
            </w:pPr>
            <w:hyperlink r:id="rId81"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1D1EBF">
            <w:pPr>
              <w:jc w:val="left"/>
            </w:pPr>
            <w:hyperlink r:id="rId82" w:history="1">
              <w:r w:rsidR="00487A22">
                <w:rPr>
                  <w:rStyle w:val="Hyperlink"/>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1D1EBF">
            <w:pPr>
              <w:jc w:val="left"/>
            </w:pPr>
            <w:hyperlink r:id="rId83" w:history="1">
              <w:r w:rsidR="00487A22">
                <w:rPr>
                  <w:rStyle w:val="Hyperlink"/>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1D1EBF">
            <w:pPr>
              <w:jc w:val="left"/>
            </w:pPr>
            <w:hyperlink r:id="rId84"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F0697" w14:textId="77777777" w:rsidR="001D1EBF" w:rsidRDefault="001D1EBF" w:rsidP="002E175C">
      <w:pPr>
        <w:spacing w:after="0" w:line="240" w:lineRule="auto"/>
      </w:pPr>
      <w:r>
        <w:separator/>
      </w:r>
    </w:p>
  </w:endnote>
  <w:endnote w:type="continuationSeparator" w:id="0">
    <w:p w14:paraId="010591E4" w14:textId="77777777" w:rsidR="001D1EBF" w:rsidRDefault="001D1EBF"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0C487" w14:textId="77777777" w:rsidR="001D1EBF" w:rsidRDefault="001D1EBF" w:rsidP="002E175C">
      <w:pPr>
        <w:spacing w:after="0" w:line="240" w:lineRule="auto"/>
      </w:pPr>
      <w:r>
        <w:separator/>
      </w:r>
    </w:p>
  </w:footnote>
  <w:footnote w:type="continuationSeparator" w:id="0">
    <w:p w14:paraId="25F4B8AE" w14:textId="77777777" w:rsidR="001D1EBF" w:rsidRDefault="001D1EBF"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DefaultParagraphFont"/>
    <w:rsid w:val="00FB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TSG_RAN/WG1_RL1/TSGR1_112b-e/Docs/R1-2303690.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Docs/R1-2301883.zip" TargetMode="External"/><Relationship Id="rId68" Type="http://schemas.openxmlformats.org/officeDocument/2006/relationships/hyperlink" Target="https://www.3gpp.org/ftp/TSG_RAN/WG1_RL1/TSGR1_112b-e/Docs/R1-2302297.zip" TargetMode="External"/><Relationship Id="rId84" Type="http://schemas.openxmlformats.org/officeDocument/2006/relationships/hyperlink" Target="https://www.3gpp.org/ftp/tsg_ran/WG1_RL1/TSGR1_111/Docs/R1-2212980.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958.zip" TargetMode="External"/><Relationship Id="rId58" Type="http://schemas.openxmlformats.org/officeDocument/2006/relationships/hyperlink" Target="https://www.3gpp.org/ftp/TSG_RAN/WG1_RL1/TSGR1_112b-e/Docs/R1-2302942.zip" TargetMode="External"/><Relationship Id="rId74" Type="http://schemas.openxmlformats.org/officeDocument/2006/relationships/hyperlink" Target="https://www.3gpp.org/ftp/TSG_RAN/WG1_RL1/TSGR1_112b-e/Docs/R1-2303172.zip" TargetMode="External"/><Relationship Id="rId79" Type="http://schemas.openxmlformats.org/officeDocument/2006/relationships/hyperlink" Target="https://www.3gpp.org/ftp/TSG_RAN/WG1_RL1/TSGR1_112b-e/Docs/R1-2303394.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1/Docs/R1-2212980.zip" TargetMode="External"/><Relationship Id="rId48" Type="http://schemas.openxmlformats.org/officeDocument/2006/relationships/hyperlink" Target="https://www.3gpp.org/ftp/TSG_RAN/WG1_RL1/TSGR1_112b-e/Docs/R1-2303172.zip" TargetMode="External"/><Relationship Id="rId56" Type="http://schemas.openxmlformats.org/officeDocument/2006/relationships/hyperlink" Target="https://www.3gpp.org/ftp/TSG_RAN/WG1_RL1/TSGR1_112b-e/Docs/R1-2302465.zip" TargetMode="External"/><Relationship Id="rId64" Type="http://schemas.openxmlformats.org/officeDocument/2006/relationships/hyperlink" Target="https://www.3gpp.org/ftp/tsg_ran/WG1_RL1/TSGR1_112/Docs/R1-230188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b-e/Docs/R1-2303347.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3690.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tsg_ran/WG1_RL1/TSGR1_112/Docs/R1-2301884.zip" TargetMode="External"/><Relationship Id="rId46" Type="http://schemas.openxmlformats.org/officeDocument/2006/relationships/hyperlink" Target="https://www.3gpp.org/ftp/tsg_ran/TSG_RAN/TSGR_99/Docs/RP-230693.zip" TargetMode="External"/><Relationship Id="rId59" Type="http://schemas.openxmlformats.org/officeDocument/2006/relationships/hyperlink" Target="https://www.3gpp.org/ftp/tsg_ran/WG1_RL1/TSGR1_112/Docs/R1-2301884.zip" TargetMode="External"/><Relationship Id="rId67" Type="http://schemas.openxmlformats.org/officeDocument/2006/relationships/hyperlink" Target="https://www.3gpp.org/ftp/tsg_ran/WG1_RL1/TSGR1_112/Docs/R1-2301881.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b-e/Docs/R1-2302650.zip" TargetMode="External"/><Relationship Id="rId54" Type="http://schemas.openxmlformats.org/officeDocument/2006/relationships/hyperlink" Target="https://www.3gpp.org/ftp/TSG_RAN/WG1_RL1/TSGR1_112b-e/Docs/R1-2303394.zip" TargetMode="External"/><Relationship Id="rId62" Type="http://schemas.openxmlformats.org/officeDocument/2006/relationships/hyperlink" Target="https://www.3gpp.org/ftp/tsg_ran/WG1_RL1/TSGR1_112/Docs/R1-2301882.zip" TargetMode="External"/><Relationship Id="rId70" Type="http://schemas.openxmlformats.org/officeDocument/2006/relationships/hyperlink" Target="https://www.3gpp.org/ftp/TSG_RAN/WG1_RL1/TSGR1_112b-e/Docs/R1-2302650.zip" TargetMode="External"/><Relationship Id="rId75" Type="http://schemas.openxmlformats.org/officeDocument/2006/relationships/hyperlink" Target="https://www.3gpp.org/ftp/TSG_RAN/WG1_RL1/TSGR1_112b-e/Docs/R1-2303210.zip" TargetMode="External"/><Relationship Id="rId83"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3690.zip" TargetMode="External"/><Relationship Id="rId57" Type="http://schemas.openxmlformats.org/officeDocument/2006/relationships/hyperlink" Target="https://www.3gpp.org/ftp/tsg_ran/WG1_RL1/TSGR1_111/Docs/R1-221298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WG1_RL1/TSGR1_112/Docs/R1-2301881.zip" TargetMode="External"/><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2/Docs/R1-2302207.zip" TargetMode="External"/><Relationship Id="rId73" Type="http://schemas.openxmlformats.org/officeDocument/2006/relationships/hyperlink" Target="https://www.3gpp.org/ftp/TSG_RAN/WG1_RL1/TSGR1_112b-e/Docs/R1-2302958.zip" TargetMode="External"/><Relationship Id="rId78" Type="http://schemas.openxmlformats.org/officeDocument/2006/relationships/hyperlink" Target="https://www.3gpp.org/ftp/TSG_RAN/WG1_RL1/TSGR1_112b-e/Docs/R1-2303348.zip" TargetMode="External"/><Relationship Id="rId81" Type="http://schemas.openxmlformats.org/officeDocument/2006/relationships/hyperlink" Target="https://www.3gpp.org/ftp/Specs/archive/38_series/38.213/38213-h50.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Specs/archive/38_series/38.213/38213-h50.zip" TargetMode="External"/><Relationship Id="rId55" Type="http://schemas.openxmlformats.org/officeDocument/2006/relationships/hyperlink" Target="https://www.3gpp.org/ftp/TSG_RAN/WG1_RL1/TSGR1_112b-e/Docs/R1-2302958.zip" TargetMode="External"/><Relationship Id="rId76" Type="http://schemas.openxmlformats.org/officeDocument/2006/relationships/hyperlink" Target="https://www.3gpp.org/ftp/TSG_RAN/WG1_RL1/TSGR1_112b-e/Docs/R1-230321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65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TSG_RAN/WG1_RL1/TSGR1_112b-e/Docs/R1-2302297.zip" TargetMode="External"/><Relationship Id="rId45" Type="http://schemas.openxmlformats.org/officeDocument/2006/relationships/hyperlink" Target="https://www.3gpp.org/ftp/tsg_ran/WG2_RL2/TSGR2_121/Docs/R2-2301901.zip" TargetMode="External"/><Relationship Id="rId66" Type="http://schemas.openxmlformats.org/officeDocument/2006/relationships/hyperlink" Target="https://www.3gpp.org/ftp/tsg_ran/WG1_RL1/TSGR1_112/Docs/R1-2302208.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2.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4468</Words>
  <Characters>25470</Characters>
  <Application>Microsoft Office Word</Application>
  <DocSecurity>0</DocSecurity>
  <Lines>212</Lines>
  <Paragraphs>59</Paragraphs>
  <ScaleCrop>false</ScaleCrop>
  <Company>Panasonic Corporation</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CW Tsai (蔡秋薇)</cp:lastModifiedBy>
  <cp:revision>10</cp:revision>
  <dcterms:created xsi:type="dcterms:W3CDTF">2023-04-17T15:18:00Z</dcterms:created>
  <dcterms:modified xsi:type="dcterms:W3CDTF">2023-04-17T15:52:00Z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