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2303928</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issues that are in the focus of the initial round of the discussion are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RedCapFLS1-v002-CompanyA-CompanyB.docx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RedCapFLS1-v003-CompanyB-CompanyC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RedCapFLS1-v003-CompanyB-CompanyC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hint="default" w:eastAsia="PMingLiU"/>
                <w:lang w:val="en-US" w:eastAsia="zh-TW"/>
              </w:rPr>
            </w:pPr>
            <w:r>
              <w:rPr>
                <w:rFonts w:hint="default"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default"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default" w:eastAsiaTheme="minorEastAsia"/>
                <w:lang w:val="en-US" w:eastAsia="zh-CN"/>
              </w:rPr>
              <w:t>hulijie@chinamobile.com</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lang w:eastAsia="zh-CN"/>
              </w:rPr>
              <w:t>R1-2302297</w:t>
            </w:r>
            <w:r>
              <w:rPr>
                <w:rStyle w:val="40"/>
                <w:color w:val="0000FF"/>
                <w:lang w:eastAsia="zh-CN"/>
              </w:rPr>
              <w:fldChar w:fldCharType="end"/>
            </w:r>
            <w:r>
              <w:rPr>
                <w:lang w:eastAsia="zh-CN"/>
              </w:rPr>
              <w:br w:type="textWrapping"/>
            </w:r>
            <w:r>
              <w:rPr>
                <w:lang w:eastAsia="zh-CN"/>
              </w:rPr>
              <w:t>(Issue 2.2)</w:t>
            </w:r>
          </w:p>
        </w:tc>
        <w:tc>
          <w:tcPr>
            <w:tcW w:w="4920" w:type="dxa"/>
            <w:tcMar>
              <w:top w:w="0" w:type="dxa"/>
              <w:left w:w="70" w:type="dxa"/>
              <w:bottom w:w="0" w:type="dxa"/>
              <w:right w:w="70" w:type="dxa"/>
            </w:tcMar>
          </w:tcPr>
          <w:p>
            <w:pPr>
              <w:jc w:val="left"/>
            </w:pPr>
            <w:r>
              <w:rPr>
                <w:lang w:eastAsia="zh-CN"/>
              </w:rPr>
              <w:t>Maintenance issues for Rel-17 NR RedCap</w:t>
            </w:r>
          </w:p>
        </w:tc>
        <w:tc>
          <w:tcPr>
            <w:tcW w:w="2550" w:type="dxa"/>
            <w:tcMar>
              <w:top w:w="0" w:type="dxa"/>
              <w:left w:w="70" w:type="dxa"/>
              <w:bottom w:w="0" w:type="dxa"/>
              <w:right w:w="70" w:type="dxa"/>
            </w:tcMar>
          </w:tcPr>
          <w:p>
            <w:pPr>
              <w:jc w:val="left"/>
              <w:rPr>
                <w:lang w:val="en-US"/>
              </w:rPr>
            </w:pPr>
            <w:r>
              <w:rPr>
                <w:lang w:eastAsia="zh-CN"/>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lang w:eastAsia="zh-CN"/>
              </w:rPr>
              <w:t>R1-2302650</w:t>
            </w:r>
            <w:r>
              <w:rPr>
                <w:rStyle w:val="40"/>
                <w:color w:val="0000FF"/>
                <w:lang w:eastAsia="zh-CN"/>
              </w:rPr>
              <w:fldChar w:fldCharType="end"/>
            </w:r>
            <w:r>
              <w:rPr>
                <w:lang w:eastAsia="zh-CN"/>
              </w:rPr>
              <w:br w:type="textWrapping"/>
            </w:r>
            <w:r>
              <w:rPr>
                <w:lang w:eastAsia="zh-CN"/>
              </w:rPr>
              <w:t>(Sections</w:t>
            </w:r>
            <w:r>
              <w:rPr>
                <w:lang w:eastAsia="zh-CN"/>
              </w:rPr>
              <w:br w:type="textWrapping"/>
            </w:r>
            <w:r>
              <w:rPr>
                <w:lang w:eastAsia="zh-CN"/>
              </w:rPr>
              <w:t>2.3 &amp; 2.4)</w:t>
            </w:r>
          </w:p>
        </w:tc>
        <w:tc>
          <w:tcPr>
            <w:tcW w:w="4920" w:type="dxa"/>
            <w:tcMar>
              <w:top w:w="0" w:type="dxa"/>
              <w:left w:w="70" w:type="dxa"/>
              <w:bottom w:w="0" w:type="dxa"/>
              <w:right w:w="70" w:type="dxa"/>
            </w:tcMar>
          </w:tcPr>
          <w:p>
            <w:pPr>
              <w:jc w:val="left"/>
              <w:rPr>
                <w:lang w:eastAsia="zh-CN"/>
              </w:rPr>
            </w:pPr>
            <w:r>
              <w:rPr>
                <w:lang w:eastAsia="zh-CN"/>
              </w:rPr>
              <w:t>Discussion on PRACH/PUSCH/PUCCH occasion validation</w:t>
            </w:r>
          </w:p>
        </w:tc>
        <w:tc>
          <w:tcPr>
            <w:tcW w:w="2550" w:type="dxa"/>
            <w:tcMar>
              <w:top w:w="0" w:type="dxa"/>
              <w:left w:w="70" w:type="dxa"/>
              <w:bottom w:w="0" w:type="dxa"/>
              <w:right w:w="70" w:type="dxa"/>
            </w:tcMar>
          </w:tcPr>
          <w:p>
            <w:pPr>
              <w:jc w:val="left"/>
              <w:rPr>
                <w:lang w:eastAsia="zh-CN"/>
              </w:rPr>
            </w:pPr>
            <w:r>
              <w:rPr>
                <w:lang w:eastAsia="zh-CN"/>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lang w:eastAsia="zh-CN"/>
              </w:rPr>
              <w:t>R1-2302651</w:t>
            </w:r>
            <w:r>
              <w:rPr>
                <w:rStyle w:val="40"/>
                <w:color w:val="0000FF"/>
                <w:lang w:eastAsia="zh-CN"/>
              </w:rPr>
              <w:fldChar w:fldCharType="end"/>
            </w:r>
            <w:r>
              <w:rPr>
                <w:lang w:eastAsia="zh-CN"/>
              </w:rPr>
              <w:br w:type="textWrapping"/>
            </w:r>
            <w:r>
              <w:rPr>
                <w:lang w:eastAsia="zh-CN"/>
              </w:rPr>
              <w:t>(38.213 CR)</w:t>
            </w:r>
          </w:p>
        </w:tc>
        <w:tc>
          <w:tcPr>
            <w:tcW w:w="4920" w:type="dxa"/>
            <w:tcMar>
              <w:top w:w="0" w:type="dxa"/>
              <w:left w:w="70" w:type="dxa"/>
              <w:bottom w:w="0" w:type="dxa"/>
              <w:right w:w="70" w:type="dxa"/>
            </w:tcMar>
          </w:tcPr>
          <w:p>
            <w:pPr>
              <w:jc w:val="left"/>
              <w:rPr>
                <w:lang w:eastAsia="zh-CN"/>
              </w:rPr>
            </w:pPr>
            <w:r>
              <w:rPr>
                <w:lang w:eastAsia="zh-CN"/>
              </w:rPr>
              <w:t>Correction on collision handling between valid PRACH occasion and NCD-SSB in Rel-17</w:t>
            </w:r>
          </w:p>
        </w:tc>
        <w:tc>
          <w:tcPr>
            <w:tcW w:w="2550" w:type="dxa"/>
            <w:tcMar>
              <w:top w:w="0" w:type="dxa"/>
              <w:left w:w="70" w:type="dxa"/>
              <w:bottom w:w="0" w:type="dxa"/>
              <w:right w:w="70" w:type="dxa"/>
            </w:tcMar>
          </w:tcPr>
          <w:p>
            <w:pPr>
              <w:jc w:val="left"/>
              <w:rPr>
                <w:lang w:eastAsia="zh-CN"/>
              </w:rPr>
            </w:pPr>
            <w:r>
              <w:rPr>
                <w:lang w:eastAsia="zh-CN"/>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lang w:eastAsia="zh-CN"/>
              </w:rPr>
              <w:t>R1-2302942</w:t>
            </w:r>
            <w:r>
              <w:rPr>
                <w:rStyle w:val="40"/>
                <w:color w:val="0000FF"/>
                <w:lang w:eastAsia="zh-CN"/>
              </w:rPr>
              <w:fldChar w:fldCharType="end"/>
            </w:r>
            <w:r>
              <w:rPr>
                <w:lang w:eastAsia="zh-CN"/>
              </w:rPr>
              <w:br w:type="textWrapping"/>
            </w:r>
            <w:r>
              <w:rPr>
                <w:lang w:eastAsia="zh-CN"/>
              </w:rPr>
              <w:t>(Section 2.1)</w:t>
            </w:r>
          </w:p>
        </w:tc>
        <w:tc>
          <w:tcPr>
            <w:tcW w:w="4920" w:type="dxa"/>
            <w:tcMar>
              <w:top w:w="0" w:type="dxa"/>
              <w:left w:w="70" w:type="dxa"/>
              <w:bottom w:w="0" w:type="dxa"/>
              <w:right w:w="70" w:type="dxa"/>
            </w:tcMar>
          </w:tcPr>
          <w:p>
            <w:pPr>
              <w:jc w:val="left"/>
              <w:rPr>
                <w:lang w:eastAsia="zh-CN"/>
              </w:rPr>
            </w:pPr>
            <w:r>
              <w:rPr>
                <w:lang w:eastAsia="zh-CN"/>
              </w:rPr>
              <w:t>Discussion on RedCap remaining issues</w:t>
            </w:r>
          </w:p>
        </w:tc>
        <w:tc>
          <w:tcPr>
            <w:tcW w:w="2550" w:type="dxa"/>
            <w:tcMar>
              <w:top w:w="0" w:type="dxa"/>
              <w:left w:w="70" w:type="dxa"/>
              <w:bottom w:w="0" w:type="dxa"/>
              <w:right w:w="70" w:type="dxa"/>
            </w:tcMar>
          </w:tcPr>
          <w:p>
            <w:pPr>
              <w:jc w:val="left"/>
              <w:rPr>
                <w:lang w:eastAsia="zh-CN"/>
              </w:rPr>
            </w:pPr>
            <w:r>
              <w:rPr>
                <w:lang w:eastAsia="zh-CN"/>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lang w:eastAsia="zh-CN"/>
              </w:rPr>
              <w:t>R1-2302958</w:t>
            </w:r>
            <w:r>
              <w:rPr>
                <w:rStyle w:val="40"/>
                <w:color w:val="0000FF"/>
                <w:lang w:eastAsia="zh-CN"/>
              </w:rPr>
              <w:fldChar w:fldCharType="end"/>
            </w:r>
            <w:r>
              <w:rPr>
                <w:lang w:eastAsia="zh-CN"/>
              </w:rPr>
              <w:br w:type="textWrapping"/>
            </w:r>
            <w:r>
              <w:rPr>
                <w:lang w:eastAsia="zh-CN"/>
              </w:rPr>
              <w:t>(Section 2.1)</w:t>
            </w:r>
          </w:p>
        </w:tc>
        <w:tc>
          <w:tcPr>
            <w:tcW w:w="4920" w:type="dxa"/>
            <w:tcMar>
              <w:top w:w="0" w:type="dxa"/>
              <w:left w:w="70" w:type="dxa"/>
              <w:bottom w:w="0" w:type="dxa"/>
              <w:right w:w="70" w:type="dxa"/>
            </w:tcMar>
          </w:tcPr>
          <w:p>
            <w:pPr>
              <w:jc w:val="left"/>
              <w:rPr>
                <w:lang w:eastAsia="zh-CN"/>
              </w:rPr>
            </w:pPr>
            <w:r>
              <w:rPr>
                <w:lang w:eastAsia="zh-CN"/>
              </w:rPr>
              <w:t>Discussion on RedCap SDT operation</w:t>
            </w:r>
          </w:p>
        </w:tc>
        <w:tc>
          <w:tcPr>
            <w:tcW w:w="2550" w:type="dxa"/>
            <w:tcMar>
              <w:top w:w="0" w:type="dxa"/>
              <w:left w:w="70" w:type="dxa"/>
              <w:bottom w:w="0" w:type="dxa"/>
              <w:right w:w="70" w:type="dxa"/>
            </w:tcMar>
          </w:tcPr>
          <w:p>
            <w:pPr>
              <w:jc w:val="left"/>
              <w:rPr>
                <w:lang w:eastAsia="zh-CN"/>
              </w:rPr>
            </w:pPr>
            <w:r>
              <w:rPr>
                <w:lang w:eastAsia="zh-CN"/>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lang w:eastAsia="zh-CN"/>
              </w:rPr>
              <w:t>R1-2303210</w:t>
            </w:r>
            <w:r>
              <w:rPr>
                <w:rStyle w:val="40"/>
                <w:color w:val="0000FF"/>
                <w:lang w:eastAsia="zh-CN"/>
              </w:rPr>
              <w:fldChar w:fldCharType="end"/>
            </w:r>
          </w:p>
        </w:tc>
        <w:tc>
          <w:tcPr>
            <w:tcW w:w="4920" w:type="dxa"/>
            <w:tcMar>
              <w:top w:w="0" w:type="dxa"/>
              <w:left w:w="70" w:type="dxa"/>
              <w:bottom w:w="0" w:type="dxa"/>
              <w:right w:w="70" w:type="dxa"/>
            </w:tcMar>
          </w:tcPr>
          <w:p>
            <w:pPr>
              <w:jc w:val="left"/>
              <w:rPr>
                <w:lang w:eastAsia="zh-CN"/>
              </w:rPr>
            </w:pPr>
            <w:r>
              <w:rPr>
                <w:lang w:eastAsia="zh-CN"/>
              </w:rPr>
              <w:t>Discussion on RedCap remaining issues</w:t>
            </w:r>
          </w:p>
        </w:tc>
        <w:tc>
          <w:tcPr>
            <w:tcW w:w="2550" w:type="dxa"/>
            <w:tcMar>
              <w:top w:w="0" w:type="dxa"/>
              <w:left w:w="70" w:type="dxa"/>
              <w:bottom w:w="0" w:type="dxa"/>
              <w:right w:w="70" w:type="dxa"/>
            </w:tcMar>
          </w:tcPr>
          <w:p>
            <w:pPr>
              <w:jc w:val="left"/>
              <w:rPr>
                <w:lang w:eastAsia="zh-CN"/>
              </w:rPr>
            </w:pPr>
            <w:r>
              <w:rPr>
                <w:lang w:eastAsia="zh-CN"/>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lang w:eastAsia="zh-CN"/>
              </w:rPr>
              <w:t>R1-2303211</w:t>
            </w:r>
            <w:r>
              <w:rPr>
                <w:rStyle w:val="40"/>
                <w:color w:val="0000FF"/>
                <w:lang w:eastAsia="zh-CN"/>
              </w:rPr>
              <w:fldChar w:fldCharType="end"/>
            </w:r>
            <w:r>
              <w:rPr>
                <w:lang w:eastAsia="zh-CN"/>
              </w:rPr>
              <w:br w:type="textWrapping"/>
            </w:r>
            <w:r>
              <w:rPr>
                <w:lang w:eastAsia="zh-CN"/>
              </w:rPr>
              <w:t>(38.213 CR)</w:t>
            </w:r>
          </w:p>
        </w:tc>
        <w:tc>
          <w:tcPr>
            <w:tcW w:w="4920" w:type="dxa"/>
            <w:tcMar>
              <w:top w:w="0" w:type="dxa"/>
              <w:left w:w="70" w:type="dxa"/>
              <w:bottom w:w="0" w:type="dxa"/>
              <w:right w:w="70" w:type="dxa"/>
            </w:tcMar>
          </w:tcPr>
          <w:p>
            <w:pPr>
              <w:jc w:val="left"/>
              <w:rPr>
                <w:lang w:eastAsia="zh-CN"/>
              </w:rPr>
            </w:pPr>
            <w:r>
              <w:rPr>
                <w:lang w:eastAsia="zh-CN"/>
              </w:rPr>
              <w:t>Draft CR on collision handling between PRACH and NCD-SSB</w:t>
            </w:r>
          </w:p>
        </w:tc>
        <w:tc>
          <w:tcPr>
            <w:tcW w:w="2550" w:type="dxa"/>
            <w:tcMar>
              <w:top w:w="0" w:type="dxa"/>
              <w:left w:w="70" w:type="dxa"/>
              <w:bottom w:w="0" w:type="dxa"/>
              <w:right w:w="70" w:type="dxa"/>
            </w:tcMar>
          </w:tcPr>
          <w:p>
            <w:pPr>
              <w:jc w:val="left"/>
              <w:rPr>
                <w:lang w:eastAsia="zh-CN"/>
              </w:rPr>
            </w:pPr>
            <w:r>
              <w:rPr>
                <w:lang w:eastAsia="zh-CN"/>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lang w:eastAsia="zh-CN"/>
              </w:rPr>
              <w:t>R1-2303347</w:t>
            </w:r>
            <w:r>
              <w:rPr>
                <w:rStyle w:val="40"/>
                <w:color w:val="0000FF"/>
                <w:lang w:eastAsia="zh-CN"/>
              </w:rPr>
              <w:fldChar w:fldCharType="end"/>
            </w:r>
          </w:p>
        </w:tc>
        <w:tc>
          <w:tcPr>
            <w:tcW w:w="4920" w:type="dxa"/>
            <w:tcMar>
              <w:top w:w="0" w:type="dxa"/>
              <w:left w:w="70" w:type="dxa"/>
              <w:bottom w:w="0" w:type="dxa"/>
              <w:right w:w="70" w:type="dxa"/>
            </w:tcMar>
          </w:tcPr>
          <w:p>
            <w:pPr>
              <w:jc w:val="left"/>
              <w:rPr>
                <w:lang w:eastAsia="zh-CN"/>
              </w:rPr>
            </w:pPr>
            <w:r>
              <w:rPr>
                <w:lang w:eastAsia="zh-CN"/>
              </w:rPr>
              <w:t>On UL resource validation with SSB</w:t>
            </w:r>
          </w:p>
        </w:tc>
        <w:tc>
          <w:tcPr>
            <w:tcW w:w="2550" w:type="dxa"/>
            <w:tcMar>
              <w:top w:w="0" w:type="dxa"/>
              <w:left w:w="70" w:type="dxa"/>
              <w:bottom w:w="0" w:type="dxa"/>
              <w:right w:w="70" w:type="dxa"/>
            </w:tcMar>
          </w:tcPr>
          <w:p>
            <w:pPr>
              <w:jc w:val="left"/>
              <w:rPr>
                <w:lang w:eastAsia="zh-CN"/>
              </w:rPr>
            </w:pPr>
            <w:r>
              <w:rPr>
                <w:lang w:eastAsia="zh-CN"/>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lang w:eastAsia="zh-CN"/>
              </w:rPr>
              <w:t>R1-2303348</w:t>
            </w:r>
            <w:r>
              <w:rPr>
                <w:rStyle w:val="40"/>
                <w:color w:val="0000FF"/>
                <w:lang w:eastAsia="zh-CN"/>
              </w:rPr>
              <w:fldChar w:fldCharType="end"/>
            </w:r>
            <w:r>
              <w:rPr>
                <w:lang w:eastAsia="zh-CN"/>
              </w:rPr>
              <w:br w:type="textWrapping"/>
            </w:r>
            <w:r>
              <w:rPr>
                <w:lang w:eastAsia="zh-CN"/>
              </w:rPr>
              <w:t>(38.213 CR)</w:t>
            </w:r>
          </w:p>
        </w:tc>
        <w:tc>
          <w:tcPr>
            <w:tcW w:w="4920" w:type="dxa"/>
            <w:tcMar>
              <w:top w:w="0" w:type="dxa"/>
              <w:left w:w="70" w:type="dxa"/>
              <w:bottom w:w="0" w:type="dxa"/>
              <w:right w:w="70" w:type="dxa"/>
            </w:tcMar>
          </w:tcPr>
          <w:p>
            <w:pPr>
              <w:jc w:val="left"/>
              <w:rPr>
                <w:lang w:eastAsia="zh-CN"/>
              </w:rPr>
            </w:pPr>
            <w:r>
              <w:rPr>
                <w:lang w:eastAsia="zh-CN"/>
              </w:rPr>
              <w:t>Draft CR for 38.213 on UL resource validation with SSB</w:t>
            </w:r>
          </w:p>
        </w:tc>
        <w:tc>
          <w:tcPr>
            <w:tcW w:w="2550" w:type="dxa"/>
            <w:tcMar>
              <w:top w:w="0" w:type="dxa"/>
              <w:left w:w="70" w:type="dxa"/>
              <w:bottom w:w="0" w:type="dxa"/>
              <w:right w:w="70" w:type="dxa"/>
            </w:tcMar>
          </w:tcPr>
          <w:p>
            <w:pPr>
              <w:jc w:val="left"/>
              <w:rPr>
                <w:lang w:eastAsia="zh-CN"/>
              </w:rPr>
            </w:pPr>
            <w:r>
              <w:rPr>
                <w:lang w:eastAsia="zh-CN"/>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lang w:eastAsia="zh-CN"/>
              </w:rPr>
              <w:t>R1-2303690</w:t>
            </w:r>
            <w:r>
              <w:rPr>
                <w:rStyle w:val="40"/>
                <w:color w:val="0000FF"/>
                <w:lang w:eastAsia="zh-CN"/>
              </w:rPr>
              <w:fldChar w:fldCharType="end"/>
            </w:r>
            <w:r>
              <w:rPr>
                <w:lang w:eastAsia="zh-CN"/>
              </w:rPr>
              <w:br w:type="textWrapping"/>
            </w:r>
            <w:r>
              <w:rPr>
                <w:lang w:eastAsia="zh-CN"/>
              </w:rPr>
              <w:t>(Section 2.1)</w:t>
            </w:r>
          </w:p>
        </w:tc>
        <w:tc>
          <w:tcPr>
            <w:tcW w:w="4920" w:type="dxa"/>
            <w:tcMar>
              <w:top w:w="0" w:type="dxa"/>
              <w:left w:w="70" w:type="dxa"/>
              <w:bottom w:w="0" w:type="dxa"/>
              <w:right w:w="70" w:type="dxa"/>
            </w:tcMar>
          </w:tcPr>
          <w:p>
            <w:pPr>
              <w:jc w:val="left"/>
              <w:rPr>
                <w:lang w:eastAsia="zh-CN"/>
              </w:rPr>
            </w:pPr>
            <w:r>
              <w:rPr>
                <w:lang w:eastAsia="zh-CN"/>
              </w:rPr>
              <w:t>Discussion on remaining issues for RedCap UE</w:t>
            </w:r>
          </w:p>
        </w:tc>
        <w:tc>
          <w:tcPr>
            <w:tcW w:w="2550" w:type="dxa"/>
            <w:tcMar>
              <w:top w:w="0" w:type="dxa"/>
              <w:left w:w="70" w:type="dxa"/>
              <w:bottom w:w="0" w:type="dxa"/>
              <w:right w:w="70" w:type="dxa"/>
            </w:tcMar>
          </w:tcPr>
          <w:p>
            <w:pPr>
              <w:jc w:val="left"/>
              <w:rPr>
                <w:lang w:eastAsia="zh-CN"/>
              </w:rPr>
            </w:pPr>
            <w:r>
              <w:rPr>
                <w:lang w:eastAsia="zh-CN"/>
              </w:rP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High</w:t>
            </w:r>
          </w:p>
        </w:tc>
        <w:tc>
          <w:tcPr>
            <w:tcW w:w="6780" w:type="dxa"/>
          </w:tcPr>
          <w:p>
            <w:pPr>
              <w:jc w:val="left"/>
              <w:rPr>
                <w:rFonts w:hint="default" w:eastAsiaTheme="minorEastAsia"/>
                <w:lang w:val="en-US" w:eastAsia="zh-CN"/>
              </w:rPr>
            </w:pPr>
            <w:r>
              <w:rPr>
                <w:rFonts w:hint="default"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b w:val="0"/>
                <w:bCs w:val="0"/>
                <w:lang w:val="en-US" w:eastAsia="zh-CN"/>
              </w:rPr>
            </w:pPr>
            <w:r>
              <w:rPr>
                <w:rFonts w:hint="default" w:eastAsiaTheme="minorEastAsia"/>
                <w:lang w:val="en-US" w:eastAsia="zh-CN"/>
              </w:rPr>
              <w:t>For the UL validation,</w:t>
            </w:r>
            <w:r>
              <w:rPr>
                <w:rFonts w:hint="eastAsia" w:eastAsiaTheme="minorEastAsia"/>
                <w:lang w:val="en-US" w:eastAsia="zh-CN"/>
              </w:rPr>
              <w:t xml:space="preserve"> </w:t>
            </w:r>
            <w:r>
              <w:rPr>
                <w:rFonts w:hint="default"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w:t>
            </w:r>
            <w:r>
              <w:rPr>
                <w:rFonts w:hint="eastAsia" w:eastAsiaTheme="minorEastAsia"/>
                <w:b w:val="0"/>
                <w:bCs w:val="0"/>
                <w:lang w:val="en-US" w:eastAsia="zh-CN"/>
              </w:rPr>
              <w:t>f different UEs</w:t>
            </w:r>
            <w:r>
              <w:rPr>
                <w:rFonts w:eastAsiaTheme="minorEastAsia"/>
                <w:b w:val="0"/>
                <w:bCs w:val="0"/>
                <w:lang w:val="en-US" w:eastAsia="zh-CN"/>
              </w:rPr>
              <w:t xml:space="preserve"> </w:t>
            </w:r>
            <w:r>
              <w:rPr>
                <w:rFonts w:hint="eastAsia" w:eastAsiaTheme="minorEastAsia"/>
                <w:b w:val="0"/>
                <w:bCs w:val="0"/>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hint="default" w:eastAsiaTheme="minorEastAsia"/>
                <w:lang w:val="en-US" w:eastAsia="zh-CN"/>
              </w:rPr>
              <w:t xml:space="preserve">the valid results will be different, as a result, </w:t>
            </w:r>
            <w:r>
              <w:rPr>
                <w:rFonts w:hint="eastAsia" w:eastAsiaTheme="minorEastAsia"/>
                <w:b w:val="0"/>
                <w:bCs w:val="0"/>
                <w:lang w:val="en-US" w:eastAsia="zh-CN"/>
              </w:rPr>
              <w:t xml:space="preserve">different UEs may </w:t>
            </w:r>
            <w:r>
              <w:rPr>
                <w:rFonts w:eastAsiaTheme="minorEastAsia"/>
                <w:b w:val="0"/>
                <w:bCs w:val="0"/>
                <w:lang w:val="en-US" w:eastAsia="zh-CN"/>
              </w:rPr>
              <w:t xml:space="preserve">have </w:t>
            </w:r>
            <w:r>
              <w:rPr>
                <w:rFonts w:hint="eastAsia" w:eastAsiaTheme="minorEastAsia"/>
                <w:b w:val="0"/>
                <w:bCs w:val="0"/>
                <w:lang w:val="en-US" w:eastAsia="zh-CN"/>
              </w:rPr>
              <w:t>different</w:t>
            </w:r>
            <w:r>
              <w:rPr>
                <w:rFonts w:eastAsiaTheme="minorEastAsia"/>
                <w:b w:val="0"/>
                <w:bCs w:val="0"/>
                <w:lang w:val="en-US" w:eastAsia="zh-CN"/>
              </w:rPr>
              <w:t xml:space="preserve"> SSB and </w:t>
            </w:r>
            <w:r>
              <w:rPr>
                <w:rFonts w:eastAsiaTheme="minorEastAsia"/>
                <w:lang w:val="en-US" w:eastAsia="zh-CN"/>
              </w:rPr>
              <w:t>RO</w:t>
            </w:r>
            <w:r>
              <w:rPr>
                <w:rFonts w:eastAsiaTheme="minorEastAsia"/>
                <w:b w:val="0"/>
                <w:bCs w:val="0"/>
                <w:lang w:val="en-US" w:eastAsia="zh-CN"/>
              </w:rPr>
              <w:t xml:space="preserve"> </w:t>
            </w:r>
            <w:r>
              <w:rPr>
                <w:rFonts w:hint="eastAsia" w:eastAsiaTheme="minorEastAsia"/>
                <w:b w:val="0"/>
                <w:bCs w:val="0"/>
                <w:lang w:val="en-US" w:eastAsia="zh-CN"/>
              </w:rPr>
              <w:t xml:space="preserve">mapping </w:t>
            </w:r>
            <w:r>
              <w:rPr>
                <w:rFonts w:eastAsiaTheme="minorEastAsia"/>
                <w:b w:val="0"/>
                <w:bCs w:val="0"/>
                <w:lang w:val="en-US" w:eastAsia="zh-CN"/>
              </w:rPr>
              <w:t xml:space="preserve">association. </w:t>
            </w:r>
            <w:r>
              <w:rPr>
                <w:rFonts w:hint="eastAsia" w:eastAsiaTheme="minorEastAsia"/>
                <w:b w:val="0"/>
                <w:bCs w:val="0"/>
                <w:lang w:val="en-US" w:eastAsia="zh-CN"/>
              </w:rPr>
              <w:t>Similarly, if different UEs</w:t>
            </w:r>
            <w:r>
              <w:rPr>
                <w:rFonts w:eastAsiaTheme="minorEastAsia"/>
                <w:b w:val="0"/>
                <w:bCs w:val="0"/>
                <w:lang w:val="en-US" w:eastAsia="zh-CN"/>
              </w:rPr>
              <w:t xml:space="preserve"> </w:t>
            </w:r>
            <w:r>
              <w:rPr>
                <w:rFonts w:hint="eastAsia" w:eastAsiaTheme="minorEastAsia"/>
                <w:b w:val="0"/>
                <w:bCs w:val="0"/>
                <w:lang w:val="en-US" w:eastAsia="zh-CN"/>
              </w:rPr>
              <w:t xml:space="preserve">use </w:t>
            </w:r>
            <w:r>
              <w:rPr>
                <w:rFonts w:hint="eastAsia" w:eastAsiaTheme="minorEastAsia"/>
                <w:lang w:val="en-US" w:eastAsia="zh-CN"/>
              </w:rPr>
              <w:t xml:space="preserve">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w:t>
            </w:r>
            <w:r>
              <w:rPr>
                <w:rFonts w:hint="eastAsia" w:eastAsiaTheme="minorEastAsia"/>
                <w:b w:val="0"/>
                <w:bCs w:val="0"/>
                <w:lang w:val="en-US" w:eastAsia="zh-CN"/>
              </w:rPr>
              <w:t xml:space="preserve">different UEs may </w:t>
            </w:r>
            <w:r>
              <w:rPr>
                <w:rFonts w:eastAsiaTheme="minorEastAsia"/>
                <w:b w:val="0"/>
                <w:bCs w:val="0"/>
                <w:lang w:val="en-US" w:eastAsia="zh-CN"/>
              </w:rPr>
              <w:t xml:space="preserve">have </w:t>
            </w:r>
            <w:r>
              <w:rPr>
                <w:rFonts w:hint="eastAsia" w:eastAsiaTheme="minorEastAsia"/>
                <w:b w:val="0"/>
                <w:bCs w:val="0"/>
                <w:lang w:val="en-US" w:eastAsia="zh-CN"/>
              </w:rPr>
              <w:t>different</w:t>
            </w:r>
            <w:r>
              <w:rPr>
                <w:rFonts w:eastAsiaTheme="minorEastAsia"/>
                <w:b w:val="0"/>
                <w:bCs w:val="0"/>
                <w:lang w:val="en-US" w:eastAsia="zh-CN"/>
              </w:rPr>
              <w:t xml:space="preserve"> </w:t>
            </w:r>
            <w:r>
              <w:rPr>
                <w:rFonts w:eastAsiaTheme="minorEastAsia"/>
                <w:lang w:val="en-US" w:eastAsia="zh-CN"/>
              </w:rPr>
              <w:t>RO</w:t>
            </w:r>
            <w:r>
              <w:rPr>
                <w:rFonts w:hint="eastAsia" w:eastAsiaTheme="minorEastAsia"/>
                <w:lang w:val="en-US" w:eastAsia="zh-CN"/>
              </w:rPr>
              <w:t xml:space="preserve"> and PUSCH occasion</w:t>
            </w:r>
            <w:r>
              <w:rPr>
                <w:rFonts w:eastAsiaTheme="minorEastAsia"/>
                <w:b w:val="0"/>
                <w:bCs w:val="0"/>
                <w:lang w:val="en-US" w:eastAsia="zh-CN"/>
              </w:rPr>
              <w:t xml:space="preserve"> </w:t>
            </w:r>
            <w:r>
              <w:rPr>
                <w:rFonts w:hint="eastAsia" w:eastAsiaTheme="minorEastAsia"/>
                <w:b w:val="0"/>
                <w:bCs w:val="0"/>
                <w:lang w:val="en-US" w:eastAsia="zh-CN"/>
              </w:rPr>
              <w:t xml:space="preserve">mapping </w:t>
            </w:r>
            <w:r>
              <w:rPr>
                <w:rFonts w:eastAsiaTheme="minorEastAsia"/>
                <w:b w:val="0"/>
                <w:bCs w:val="0"/>
                <w:lang w:val="en-US" w:eastAsia="zh-CN"/>
              </w:rPr>
              <w:t>association.</w:t>
            </w:r>
          </w:p>
          <w:p>
            <w:pPr>
              <w:jc w:val="left"/>
              <w:rPr>
                <w:rFonts w:hint="default" w:eastAsiaTheme="minorEastAsia"/>
                <w:b w:val="0"/>
                <w:bCs w:val="0"/>
                <w:lang w:val="en-US" w:eastAsia="zh-CN"/>
              </w:rPr>
            </w:pPr>
            <w:r>
              <w:rPr>
                <w:rFonts w:hint="default" w:eastAsiaTheme="minorEastAsia"/>
                <w:b w:val="0"/>
                <w:bCs w:val="0"/>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lang w:eastAsia="zh-CN"/>
              </w:rPr>
              <w:t>R1-2302297</w:t>
            </w:r>
            <w:r>
              <w:rPr>
                <w:rStyle w:val="40"/>
                <w:color w:val="0000FF"/>
                <w:lang w:eastAsia="zh-CN"/>
              </w:rPr>
              <w:fldChar w:fldCharType="end"/>
            </w:r>
            <w:r>
              <w:rPr>
                <w:lang w:eastAsia="zh-CN"/>
              </w:rPr>
              <w:br w:type="textWrapping"/>
            </w:r>
            <w:r>
              <w:rPr>
                <w:lang w:eastAsia="zh-CN"/>
              </w:rPr>
              <w:t>(Issue 2.1)</w:t>
            </w:r>
          </w:p>
        </w:tc>
        <w:tc>
          <w:tcPr>
            <w:tcW w:w="4920" w:type="dxa"/>
            <w:tcMar>
              <w:top w:w="0" w:type="dxa"/>
              <w:left w:w="70" w:type="dxa"/>
              <w:bottom w:w="0" w:type="dxa"/>
              <w:right w:w="70" w:type="dxa"/>
            </w:tcMar>
          </w:tcPr>
          <w:p>
            <w:pPr>
              <w:jc w:val="left"/>
            </w:pPr>
            <w:r>
              <w:rPr>
                <w:lang w:eastAsia="zh-CN"/>
              </w:rPr>
              <w:t>Maintenance issues for Rel-17 NR RedCap</w:t>
            </w:r>
          </w:p>
        </w:tc>
        <w:tc>
          <w:tcPr>
            <w:tcW w:w="2550" w:type="dxa"/>
            <w:tcMar>
              <w:top w:w="0" w:type="dxa"/>
              <w:left w:w="70" w:type="dxa"/>
              <w:bottom w:w="0" w:type="dxa"/>
              <w:right w:w="70" w:type="dxa"/>
            </w:tcMar>
          </w:tcPr>
          <w:p>
            <w:pPr>
              <w:jc w:val="left"/>
              <w:rPr>
                <w:lang w:val="en-US"/>
              </w:rPr>
            </w:pPr>
            <w:r>
              <w:rPr>
                <w:lang w:eastAsia="zh-CN"/>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lang w:eastAsia="zh-CN"/>
              </w:rPr>
              <w:t>R1-2302650</w:t>
            </w:r>
            <w:r>
              <w:rPr>
                <w:rStyle w:val="40"/>
                <w:color w:val="0000FF"/>
                <w:lang w:eastAsia="zh-CN"/>
              </w:rPr>
              <w:fldChar w:fldCharType="end"/>
            </w:r>
            <w:r>
              <w:rPr>
                <w:lang w:eastAsia="zh-CN"/>
              </w:rPr>
              <w:br w:type="textWrapping"/>
            </w:r>
            <w:r>
              <w:rPr>
                <w:lang w:eastAsia="zh-CN"/>
              </w:rPr>
              <w:t>(Section 2.2)</w:t>
            </w:r>
          </w:p>
        </w:tc>
        <w:tc>
          <w:tcPr>
            <w:tcW w:w="4920" w:type="dxa"/>
            <w:tcMar>
              <w:top w:w="0" w:type="dxa"/>
              <w:left w:w="70" w:type="dxa"/>
              <w:bottom w:w="0" w:type="dxa"/>
              <w:right w:w="70" w:type="dxa"/>
            </w:tcMar>
          </w:tcPr>
          <w:p>
            <w:pPr>
              <w:jc w:val="left"/>
              <w:rPr>
                <w:lang w:eastAsia="zh-CN"/>
              </w:rPr>
            </w:pPr>
            <w:r>
              <w:rPr>
                <w:lang w:eastAsia="zh-CN"/>
              </w:rPr>
              <w:t>Discussion on PRACH/PUSCH/PUCCH occasion validation</w:t>
            </w:r>
          </w:p>
        </w:tc>
        <w:tc>
          <w:tcPr>
            <w:tcW w:w="2550" w:type="dxa"/>
            <w:tcMar>
              <w:top w:w="0" w:type="dxa"/>
              <w:left w:w="70" w:type="dxa"/>
              <w:bottom w:w="0" w:type="dxa"/>
              <w:right w:w="70" w:type="dxa"/>
            </w:tcMar>
          </w:tcPr>
          <w:p>
            <w:pPr>
              <w:jc w:val="left"/>
              <w:rPr>
                <w:lang w:eastAsia="zh-CN"/>
              </w:rPr>
            </w:pPr>
            <w:r>
              <w:rPr>
                <w:lang w:eastAsia="zh-CN"/>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lang w:eastAsia="zh-CN"/>
              </w:rPr>
              <w:t>R1-2303690</w:t>
            </w:r>
            <w:r>
              <w:rPr>
                <w:rStyle w:val="40"/>
                <w:color w:val="0000FF"/>
                <w:lang w:eastAsia="zh-CN"/>
              </w:rPr>
              <w:fldChar w:fldCharType="end"/>
            </w:r>
            <w:r>
              <w:rPr>
                <w:lang w:eastAsia="zh-CN"/>
              </w:rPr>
              <w:br w:type="textWrapping"/>
            </w:r>
            <w:r>
              <w:rPr>
                <w:lang w:eastAsia="zh-CN"/>
              </w:rPr>
              <w:t>(Section 2.1)</w:t>
            </w:r>
          </w:p>
        </w:tc>
        <w:tc>
          <w:tcPr>
            <w:tcW w:w="4920" w:type="dxa"/>
            <w:tcMar>
              <w:top w:w="0" w:type="dxa"/>
              <w:left w:w="70" w:type="dxa"/>
              <w:bottom w:w="0" w:type="dxa"/>
              <w:right w:w="70" w:type="dxa"/>
            </w:tcMar>
          </w:tcPr>
          <w:p>
            <w:pPr>
              <w:jc w:val="left"/>
              <w:rPr>
                <w:lang w:eastAsia="zh-CN"/>
              </w:rPr>
            </w:pPr>
            <w:r>
              <w:rPr>
                <w:lang w:eastAsia="zh-CN"/>
              </w:rPr>
              <w:t>Discussion on remaining issues for RedCap UE</w:t>
            </w:r>
          </w:p>
        </w:tc>
        <w:tc>
          <w:tcPr>
            <w:tcW w:w="2550" w:type="dxa"/>
            <w:tcMar>
              <w:top w:w="0" w:type="dxa"/>
              <w:left w:w="70" w:type="dxa"/>
              <w:bottom w:w="0" w:type="dxa"/>
              <w:right w:w="70" w:type="dxa"/>
            </w:tcMar>
          </w:tcPr>
          <w:p>
            <w:pPr>
              <w:jc w:val="left"/>
              <w:rPr>
                <w:lang w:eastAsia="zh-CN"/>
              </w:rPr>
            </w:pPr>
            <w:r>
              <w:rPr>
                <w:lang w:eastAsia="zh-CN"/>
              </w:rPr>
              <w:t>NTT DOCOMO, INC.</w:t>
            </w:r>
          </w:p>
        </w:tc>
      </w:tr>
    </w:tbl>
    <w:p>
      <w:r>
        <w:br w:type="textWrapping"/>
      </w:r>
      <w:r>
        <w:t>Contribution [9] has the following proposal:</w:t>
      </w:r>
    </w:p>
    <w:p>
      <w:pPr>
        <w:pStyle w:val="50"/>
        <w:numPr>
          <w:ilvl w:val="0"/>
          <w:numId w:val="13"/>
        </w:numPr>
        <w:jc w:val="left"/>
        <w:rPr>
          <w:sz w:val="20"/>
          <w:szCs w:val="22"/>
          <w:lang w:val="en-US"/>
        </w:rPr>
      </w:pPr>
      <w:r>
        <w:rPr>
          <w:sz w:val="20"/>
          <w:szCs w:val="22"/>
          <w:lang w:val="en-US"/>
        </w:rPr>
        <w:t>Proposal 2: Make a similar conclusion for PUCCH repetition as for PRACH and MsgA PUSCH:</w:t>
      </w:r>
    </w:p>
    <w:p>
      <w:pPr>
        <w:pStyle w:val="50"/>
        <w:numPr>
          <w:ilvl w:val="1"/>
          <w:numId w:val="13"/>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13"/>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13"/>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H</w:t>
            </w:r>
          </w:p>
        </w:tc>
        <w:tc>
          <w:tcPr>
            <w:tcW w:w="6780" w:type="dxa"/>
          </w:tcPr>
          <w:p>
            <w:pPr>
              <w:jc w:val="left"/>
              <w:rPr>
                <w:rFonts w:hint="default" w:eastAsiaTheme="minorEastAsia"/>
                <w:lang w:val="en-US" w:eastAsia="zh-CN"/>
              </w:rPr>
            </w:pPr>
            <w:r>
              <w:rPr>
                <w:rFonts w:hint="default"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14"/>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14"/>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15"/>
              </w:numPr>
              <w:rPr>
                <w:szCs w:val="18"/>
                <w:lang w:val="en-GB"/>
              </w:rPr>
            </w:pPr>
            <w:r>
              <w:rPr>
                <w:szCs w:val="18"/>
                <w:lang w:val="en-GB"/>
              </w:rPr>
              <w:t>Option 1: CG/RA-SDT can only be performed if the initial DL BWP includes the CD-SSB</w:t>
            </w:r>
          </w:p>
          <w:p>
            <w:pPr>
              <w:pStyle w:val="309"/>
              <w:numPr>
                <w:ilvl w:val="0"/>
                <w:numId w:val="15"/>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15"/>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15"/>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lang w:eastAsia="zh-CN"/>
              </w:rPr>
              <w:t>R1-2302297</w:t>
            </w:r>
            <w:r>
              <w:rPr>
                <w:rStyle w:val="40"/>
                <w:color w:val="0000FF"/>
                <w:lang w:eastAsia="zh-CN"/>
              </w:rPr>
              <w:fldChar w:fldCharType="end"/>
            </w:r>
            <w:r>
              <w:rPr>
                <w:lang w:eastAsia="zh-CN"/>
              </w:rPr>
              <w:br w:type="textWrapping"/>
            </w:r>
            <w:r>
              <w:rPr>
                <w:lang w:eastAsia="zh-CN"/>
              </w:rPr>
              <w:t>(Issue 1)</w:t>
            </w:r>
          </w:p>
        </w:tc>
        <w:tc>
          <w:tcPr>
            <w:tcW w:w="4920" w:type="dxa"/>
            <w:tcMar>
              <w:top w:w="0" w:type="dxa"/>
              <w:left w:w="70" w:type="dxa"/>
              <w:bottom w:w="0" w:type="dxa"/>
              <w:right w:w="70" w:type="dxa"/>
            </w:tcMar>
          </w:tcPr>
          <w:p>
            <w:pPr>
              <w:jc w:val="left"/>
            </w:pPr>
            <w:r>
              <w:rPr>
                <w:lang w:eastAsia="zh-CN"/>
              </w:rPr>
              <w:t>Maintenance issues for Rel-17 NR RedCap</w:t>
            </w:r>
          </w:p>
        </w:tc>
        <w:tc>
          <w:tcPr>
            <w:tcW w:w="2550" w:type="dxa"/>
            <w:tcMar>
              <w:top w:w="0" w:type="dxa"/>
              <w:left w:w="70" w:type="dxa"/>
              <w:bottom w:w="0" w:type="dxa"/>
              <w:right w:w="70" w:type="dxa"/>
            </w:tcMar>
          </w:tcPr>
          <w:p>
            <w:pPr>
              <w:jc w:val="left"/>
              <w:rPr>
                <w:lang w:val="en-US"/>
              </w:rPr>
            </w:pPr>
            <w:r>
              <w:rPr>
                <w:lang w:eastAsia="zh-CN"/>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lang w:eastAsia="zh-CN"/>
              </w:rPr>
              <w:t>R1-2303172</w:t>
            </w:r>
            <w:r>
              <w:rPr>
                <w:rStyle w:val="40"/>
                <w:color w:val="0000FF"/>
                <w:lang w:eastAsia="zh-CN"/>
              </w:rPr>
              <w:fldChar w:fldCharType="end"/>
            </w:r>
          </w:p>
        </w:tc>
        <w:tc>
          <w:tcPr>
            <w:tcW w:w="4920" w:type="dxa"/>
            <w:tcMar>
              <w:top w:w="0" w:type="dxa"/>
              <w:left w:w="70" w:type="dxa"/>
              <w:bottom w:w="0" w:type="dxa"/>
              <w:right w:w="70" w:type="dxa"/>
            </w:tcMar>
          </w:tcPr>
          <w:p>
            <w:pPr>
              <w:jc w:val="left"/>
              <w:rPr>
                <w:lang w:eastAsia="zh-CN"/>
              </w:rPr>
            </w:pPr>
            <w:r>
              <w:rPr>
                <w:lang w:eastAsia="zh-CN"/>
              </w:rPr>
              <w:t>Maintenance of Rel-17 RedCap</w:t>
            </w:r>
          </w:p>
        </w:tc>
        <w:tc>
          <w:tcPr>
            <w:tcW w:w="2550" w:type="dxa"/>
            <w:tcMar>
              <w:top w:w="0" w:type="dxa"/>
              <w:left w:w="70" w:type="dxa"/>
              <w:bottom w:w="0" w:type="dxa"/>
              <w:right w:w="70" w:type="dxa"/>
            </w:tcMar>
          </w:tcPr>
          <w:p>
            <w:pPr>
              <w:jc w:val="left"/>
              <w:rPr>
                <w:lang w:eastAsia="zh-CN"/>
              </w:rPr>
            </w:pPr>
            <w:r>
              <w:rPr>
                <w:lang w:eastAsia="zh-CN"/>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lang w:eastAsia="zh-CN"/>
              </w:rPr>
              <w:t>R1-2303690</w:t>
            </w:r>
            <w:r>
              <w:rPr>
                <w:rStyle w:val="40"/>
                <w:color w:val="0000FF"/>
                <w:lang w:eastAsia="zh-CN"/>
              </w:rPr>
              <w:fldChar w:fldCharType="end"/>
            </w:r>
            <w:r>
              <w:rPr>
                <w:lang w:eastAsia="zh-CN"/>
              </w:rPr>
              <w:br w:type="textWrapping"/>
            </w:r>
            <w:r>
              <w:rPr>
                <w:lang w:eastAsia="zh-CN"/>
              </w:rPr>
              <w:t>(Section 2.2)</w:t>
            </w:r>
          </w:p>
        </w:tc>
        <w:tc>
          <w:tcPr>
            <w:tcW w:w="4920" w:type="dxa"/>
            <w:tcMar>
              <w:top w:w="0" w:type="dxa"/>
              <w:left w:w="70" w:type="dxa"/>
              <w:bottom w:w="0" w:type="dxa"/>
              <w:right w:w="70" w:type="dxa"/>
            </w:tcMar>
          </w:tcPr>
          <w:p>
            <w:pPr>
              <w:jc w:val="left"/>
              <w:rPr>
                <w:lang w:eastAsia="zh-CN"/>
              </w:rPr>
            </w:pPr>
            <w:r>
              <w:rPr>
                <w:lang w:eastAsia="zh-CN"/>
              </w:rPr>
              <w:t>Discussion on remaining issues for RedCap UE</w:t>
            </w:r>
          </w:p>
        </w:tc>
        <w:tc>
          <w:tcPr>
            <w:tcW w:w="2550" w:type="dxa"/>
            <w:tcMar>
              <w:top w:w="0" w:type="dxa"/>
              <w:left w:w="70" w:type="dxa"/>
              <w:bottom w:w="0" w:type="dxa"/>
              <w:right w:w="70" w:type="dxa"/>
            </w:tcMar>
          </w:tcPr>
          <w:p>
            <w:pPr>
              <w:jc w:val="left"/>
              <w:rPr>
                <w:lang w:eastAsia="zh-CN"/>
              </w:rPr>
            </w:pPr>
            <w:r>
              <w:rPr>
                <w:lang w:eastAsia="zh-CN"/>
              </w:rP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1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17"/>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M</w:t>
            </w:r>
          </w:p>
        </w:tc>
        <w:tc>
          <w:tcPr>
            <w:tcW w:w="6780" w:type="dxa"/>
          </w:tcPr>
          <w:p>
            <w:pPr>
              <w:jc w:val="left"/>
              <w:rPr>
                <w:rFonts w:hint="default" w:eastAsiaTheme="minorEastAsia"/>
                <w:lang w:val="en-US" w:eastAsia="zh-CN"/>
              </w:rPr>
            </w:pPr>
            <w:r>
              <w:rPr>
                <w:rFonts w:hint="default"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14"/>
              </w:numPr>
              <w:spacing w:after="0" w:line="240" w:lineRule="auto"/>
              <w:jc w:val="left"/>
              <w:rPr>
                <w:lang w:val="en-US" w:eastAsia="ko-KR"/>
              </w:rPr>
            </w:pPr>
            <w:r>
              <w:rPr>
                <w:lang w:val="en-US" w:eastAsia="ko-KR"/>
              </w:rPr>
              <w:t>Issue 5.1: RA-SDT without subsequent transmission in BWP without CD-SSB</w:t>
            </w:r>
          </w:p>
          <w:p>
            <w:pPr>
              <w:numPr>
                <w:ilvl w:val="0"/>
                <w:numId w:val="14"/>
              </w:numPr>
              <w:spacing w:after="0" w:line="240" w:lineRule="auto"/>
              <w:jc w:val="left"/>
              <w:rPr>
                <w:lang w:val="en-US" w:eastAsia="ko-KR"/>
              </w:rPr>
            </w:pPr>
            <w:r>
              <w:rPr>
                <w:lang w:val="en-US" w:eastAsia="ko-KR"/>
              </w:rPr>
              <w:t>Issue 5.2: RA-SDT with subsequent transmission in BWP without CD-SSB</w:t>
            </w:r>
          </w:p>
          <w:p>
            <w:pPr>
              <w:numPr>
                <w:ilvl w:val="0"/>
                <w:numId w:val="14"/>
              </w:numPr>
              <w:spacing w:after="0" w:line="240" w:lineRule="auto"/>
              <w:jc w:val="left"/>
              <w:rPr>
                <w:lang w:val="en-US" w:eastAsia="ko-KR"/>
              </w:rPr>
            </w:pPr>
            <w:r>
              <w:rPr>
                <w:lang w:val="en-US" w:eastAsia="ko-KR"/>
              </w:rPr>
              <w:t>Issue 5.3: CG-SDT in BWP without CD-SSB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14"/>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14"/>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14"/>
              </w:numPr>
              <w:spacing w:after="0" w:line="240" w:lineRule="auto"/>
              <w:jc w:val="left"/>
              <w:rPr>
                <w:lang w:val="en-US" w:eastAsia="ko-KR"/>
              </w:rPr>
            </w:pPr>
            <w:r>
              <w:rPr>
                <w:lang w:val="en-US" w:eastAsia="ko-KR"/>
              </w:rPr>
              <w:t>CG-SDT in a RedCap-specific separate initial BWP without any SSB</w:t>
            </w:r>
          </w:p>
          <w:p>
            <w:pPr>
              <w:numPr>
                <w:ilvl w:val="0"/>
                <w:numId w:val="14"/>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lang w:eastAsia="zh-CN"/>
              </w:rPr>
              <w:t>R1-2302958</w:t>
            </w:r>
            <w:r>
              <w:rPr>
                <w:rStyle w:val="40"/>
                <w:color w:val="0000FF"/>
                <w:lang w:eastAsia="zh-CN"/>
              </w:rPr>
              <w:fldChar w:fldCharType="end"/>
            </w:r>
            <w:r>
              <w:rPr>
                <w:lang w:eastAsia="zh-CN"/>
              </w:rPr>
              <w:br w:type="textWrapping"/>
            </w:r>
            <w:r>
              <w:rPr>
                <w:lang w:eastAsia="zh-CN"/>
              </w:rPr>
              <w:t>(Section 2.3)</w:t>
            </w:r>
          </w:p>
        </w:tc>
        <w:tc>
          <w:tcPr>
            <w:tcW w:w="4920" w:type="dxa"/>
            <w:tcMar>
              <w:top w:w="0" w:type="dxa"/>
              <w:left w:w="70" w:type="dxa"/>
              <w:bottom w:w="0" w:type="dxa"/>
              <w:right w:w="70" w:type="dxa"/>
            </w:tcMar>
          </w:tcPr>
          <w:p>
            <w:pPr>
              <w:jc w:val="left"/>
            </w:pPr>
            <w:r>
              <w:rPr>
                <w:lang w:eastAsia="zh-CN"/>
              </w:rPr>
              <w:t>Discussion on RedCap SDT operation</w:t>
            </w:r>
          </w:p>
        </w:tc>
        <w:tc>
          <w:tcPr>
            <w:tcW w:w="2550" w:type="dxa"/>
            <w:tcMar>
              <w:top w:w="0" w:type="dxa"/>
              <w:left w:w="70" w:type="dxa"/>
              <w:bottom w:w="0" w:type="dxa"/>
              <w:right w:w="70" w:type="dxa"/>
            </w:tcMar>
          </w:tcPr>
          <w:p>
            <w:pPr>
              <w:jc w:val="left"/>
              <w:rPr>
                <w:lang w:val="en-US"/>
              </w:rPr>
            </w:pPr>
            <w:r>
              <w:rPr>
                <w:lang w:eastAsia="zh-CN"/>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lang w:eastAsia="zh-CN"/>
              </w:rPr>
              <w:t>R1-2303394</w:t>
            </w:r>
            <w:r>
              <w:rPr>
                <w:rStyle w:val="40"/>
                <w:color w:val="0000FF"/>
                <w:lang w:eastAsia="zh-CN"/>
              </w:rPr>
              <w:fldChar w:fldCharType="end"/>
            </w:r>
          </w:p>
        </w:tc>
        <w:tc>
          <w:tcPr>
            <w:tcW w:w="4920" w:type="dxa"/>
            <w:tcMar>
              <w:top w:w="0" w:type="dxa"/>
              <w:left w:w="70" w:type="dxa"/>
              <w:bottom w:w="0" w:type="dxa"/>
              <w:right w:w="70" w:type="dxa"/>
            </w:tcMar>
          </w:tcPr>
          <w:p>
            <w:pPr>
              <w:jc w:val="left"/>
              <w:rPr>
                <w:lang w:eastAsia="zh-CN"/>
              </w:rPr>
            </w:pPr>
            <w:r>
              <w:rPr>
                <w:lang w:eastAsia="zh-CN"/>
              </w:rPr>
              <w:t>RedCap support of SDT</w:t>
            </w:r>
          </w:p>
        </w:tc>
        <w:tc>
          <w:tcPr>
            <w:tcW w:w="2550" w:type="dxa"/>
            <w:tcMar>
              <w:top w:w="0" w:type="dxa"/>
              <w:left w:w="70" w:type="dxa"/>
              <w:bottom w:w="0" w:type="dxa"/>
              <w:right w:w="70" w:type="dxa"/>
            </w:tcMar>
          </w:tcPr>
          <w:p>
            <w:pPr>
              <w:jc w:val="left"/>
              <w:rPr>
                <w:lang w:eastAsia="zh-CN"/>
              </w:rPr>
            </w:pPr>
            <w:r>
              <w:rPr>
                <w:lang w:eastAsia="zh-CN"/>
              </w:rPr>
              <w:t>Nokia, Nokia Shanghai Bell</w:t>
            </w:r>
          </w:p>
        </w:tc>
      </w:tr>
    </w:tbl>
    <w:p>
      <w:r>
        <w:br w:type="textWrapping"/>
      </w:r>
      <w:r>
        <w:t>Contribution [14] has the following proposal:</w:t>
      </w:r>
    </w:p>
    <w:p>
      <w:pPr>
        <w:pStyle w:val="50"/>
        <w:numPr>
          <w:ilvl w:val="0"/>
          <w:numId w:val="1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18"/>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M</w:t>
            </w:r>
          </w:p>
        </w:tc>
        <w:tc>
          <w:tcPr>
            <w:tcW w:w="6780" w:type="dxa"/>
          </w:tcPr>
          <w:p>
            <w:pPr>
              <w:jc w:val="left"/>
              <w:rPr>
                <w:rFonts w:hint="default" w:eastAsiaTheme="minorEastAsia"/>
                <w:lang w:val="en-US" w:eastAsia="zh-CN"/>
              </w:rPr>
            </w:pPr>
            <w:r>
              <w:rPr>
                <w:rFonts w:hint="default" w:ascii="Times New Roman" w:hAnsi="Times New Roman" w:cs="Times New Roman"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rFonts w:ascii="Times New Roman" w:hAnsi="Times New Roman" w:cs="Times New Roman"/>
                <w:sz w:val="20"/>
                <w:szCs w:val="20"/>
                <w:lang w:val="en-US"/>
              </w:rPr>
              <w:t>initial (non-subsequent) RA-SDT transmission</w:t>
            </w:r>
            <w:r>
              <w:rPr>
                <w:rFonts w:hint="default" w:ascii="Times New Roman" w:hAnsi="Times New Roman" w:cs="Times New Roman"/>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lang w:eastAsia="zh-CN"/>
              </w:rPr>
              <w:t>R1-2302958</w:t>
            </w:r>
            <w:r>
              <w:rPr>
                <w:rStyle w:val="40"/>
                <w:color w:val="0000FF"/>
                <w:lang w:eastAsia="zh-CN"/>
              </w:rPr>
              <w:fldChar w:fldCharType="end"/>
            </w:r>
            <w:r>
              <w:rPr>
                <w:lang w:eastAsia="zh-CN"/>
              </w:rPr>
              <w:br w:type="textWrapping"/>
            </w:r>
            <w:r>
              <w:rPr>
                <w:lang w:eastAsia="zh-CN"/>
              </w:rPr>
              <w:t>(Section 2.2)</w:t>
            </w:r>
          </w:p>
        </w:tc>
        <w:tc>
          <w:tcPr>
            <w:tcW w:w="4920" w:type="dxa"/>
            <w:tcMar>
              <w:top w:w="0" w:type="dxa"/>
              <w:left w:w="70" w:type="dxa"/>
              <w:bottom w:w="0" w:type="dxa"/>
              <w:right w:w="70" w:type="dxa"/>
            </w:tcMar>
          </w:tcPr>
          <w:p>
            <w:pPr>
              <w:jc w:val="left"/>
            </w:pPr>
            <w:r>
              <w:rPr>
                <w:lang w:eastAsia="zh-CN"/>
              </w:rPr>
              <w:t>Discussion on RedCap SDT operation</w:t>
            </w:r>
          </w:p>
        </w:tc>
        <w:tc>
          <w:tcPr>
            <w:tcW w:w="2550" w:type="dxa"/>
            <w:tcMar>
              <w:top w:w="0" w:type="dxa"/>
              <w:left w:w="70" w:type="dxa"/>
              <w:bottom w:w="0" w:type="dxa"/>
              <w:right w:w="70" w:type="dxa"/>
            </w:tcMar>
          </w:tcPr>
          <w:p>
            <w:pPr>
              <w:jc w:val="left"/>
              <w:rPr>
                <w:lang w:val="en-US"/>
              </w:rPr>
            </w:pPr>
            <w:r>
              <w:rPr>
                <w:lang w:eastAsia="zh-CN"/>
              </w:rPr>
              <w:t>Xiaomi</w:t>
            </w:r>
          </w:p>
        </w:tc>
      </w:tr>
    </w:tbl>
    <w:p>
      <w:r>
        <w:br w:type="textWrapping"/>
      </w:r>
      <w:r>
        <w:t>Contribution [14] has the following proposal:</w:t>
      </w:r>
    </w:p>
    <w:p>
      <w:pPr>
        <w:pStyle w:val="50"/>
        <w:numPr>
          <w:ilvl w:val="0"/>
          <w:numId w:val="18"/>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bookmarkStart w:id="3"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lang w:eastAsia="zh-CN"/>
              </w:rPr>
              <w:t>R1-2302465</w:t>
            </w:r>
            <w:r>
              <w:rPr>
                <w:rStyle w:val="40"/>
                <w:color w:val="0000FF"/>
                <w:lang w:eastAsia="zh-CN"/>
              </w:rPr>
              <w:fldChar w:fldCharType="end"/>
            </w:r>
            <w:r>
              <w:rPr>
                <w:lang w:eastAsia="zh-CN"/>
              </w:rPr>
              <w:br w:type="textWrapping"/>
            </w:r>
            <w:r>
              <w:rPr>
                <w:lang w:eastAsia="zh-CN"/>
              </w:rPr>
              <w:t>(38.213 CR)</w:t>
            </w:r>
          </w:p>
        </w:tc>
        <w:tc>
          <w:tcPr>
            <w:tcW w:w="4920" w:type="dxa"/>
            <w:tcMar>
              <w:top w:w="0" w:type="dxa"/>
              <w:left w:w="70" w:type="dxa"/>
              <w:bottom w:w="0" w:type="dxa"/>
              <w:right w:w="70" w:type="dxa"/>
            </w:tcMar>
          </w:tcPr>
          <w:p>
            <w:pPr>
              <w:jc w:val="left"/>
            </w:pPr>
            <w:r>
              <w:rPr>
                <w:lang w:eastAsia="zh-CN"/>
              </w:rPr>
              <w:t>Correction for SDT operation the in separate initial BWP for RedCap</w:t>
            </w:r>
          </w:p>
        </w:tc>
        <w:tc>
          <w:tcPr>
            <w:tcW w:w="2550" w:type="dxa"/>
            <w:tcMar>
              <w:top w:w="0" w:type="dxa"/>
              <w:left w:w="70" w:type="dxa"/>
              <w:bottom w:w="0" w:type="dxa"/>
              <w:right w:w="70" w:type="dxa"/>
            </w:tcMar>
          </w:tcPr>
          <w:p>
            <w:pPr>
              <w:jc w:val="left"/>
              <w:rPr>
                <w:lang w:val="en-US"/>
              </w:rPr>
            </w:pPr>
            <w:r>
              <w:rPr>
                <w:lang w:eastAsia="zh-CN"/>
              </w:rP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lang w:eastAsia="zh-CN"/>
              </w:rPr>
              <w:t>R1-2302942</w:t>
            </w:r>
            <w:r>
              <w:rPr>
                <w:rStyle w:val="40"/>
                <w:color w:val="0000FF"/>
                <w:lang w:eastAsia="zh-CN"/>
              </w:rPr>
              <w:fldChar w:fldCharType="end"/>
            </w:r>
            <w:r>
              <w:rPr>
                <w:lang w:eastAsia="zh-CN"/>
              </w:rPr>
              <w:br w:type="textWrapping"/>
            </w:r>
            <w:r>
              <w:rPr>
                <w:lang w:eastAsia="zh-CN"/>
              </w:rPr>
              <w:t>(Section 2.2)</w:t>
            </w:r>
          </w:p>
        </w:tc>
        <w:tc>
          <w:tcPr>
            <w:tcW w:w="4920" w:type="dxa"/>
            <w:tcMar>
              <w:top w:w="0" w:type="dxa"/>
              <w:left w:w="70" w:type="dxa"/>
              <w:bottom w:w="0" w:type="dxa"/>
              <w:right w:w="70" w:type="dxa"/>
            </w:tcMar>
          </w:tcPr>
          <w:p>
            <w:pPr>
              <w:jc w:val="left"/>
            </w:pPr>
            <w:r>
              <w:rPr>
                <w:lang w:eastAsia="zh-CN"/>
              </w:rPr>
              <w:t>Discussion on RedCap remaining issues</w:t>
            </w:r>
          </w:p>
        </w:tc>
        <w:tc>
          <w:tcPr>
            <w:tcW w:w="2550" w:type="dxa"/>
            <w:tcMar>
              <w:top w:w="0" w:type="dxa"/>
              <w:left w:w="70" w:type="dxa"/>
              <w:bottom w:w="0" w:type="dxa"/>
              <w:right w:w="70" w:type="dxa"/>
            </w:tcMar>
          </w:tcPr>
          <w:p>
            <w:pPr>
              <w:jc w:val="left"/>
              <w:rPr>
                <w:lang w:val="en-US"/>
              </w:rPr>
            </w:pPr>
            <w:r>
              <w:rPr>
                <w:lang w:eastAsia="zh-CN"/>
              </w:rP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432" w:hanging="432"/>
        <w:rPr>
          <w:lang w:val="en-US"/>
        </w:rPr>
      </w:pPr>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lang w:eastAsia="zh-CN"/>
              </w:rPr>
              <w:t>R1-2302297</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Maintenance issues for Rel-17 NR RedCap</w:t>
            </w:r>
          </w:p>
        </w:tc>
        <w:tc>
          <w:tcPr>
            <w:tcW w:w="2551" w:type="dxa"/>
            <w:tcMar>
              <w:top w:w="0" w:type="dxa"/>
              <w:left w:w="70" w:type="dxa"/>
              <w:bottom w:w="0" w:type="dxa"/>
              <w:right w:w="70" w:type="dxa"/>
            </w:tcMar>
          </w:tcPr>
          <w:p>
            <w:pPr>
              <w:jc w:val="left"/>
              <w:rPr>
                <w:lang w:val="en-US"/>
              </w:rPr>
            </w:pPr>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lang w:eastAsia="zh-CN"/>
              </w:rPr>
              <w:t>R1-2302465</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Correction for SDT operation the in separate initial BWP for RedCap</w:t>
            </w:r>
          </w:p>
        </w:tc>
        <w:tc>
          <w:tcPr>
            <w:tcW w:w="2551" w:type="dxa"/>
            <w:tcMar>
              <w:top w:w="0" w:type="dxa"/>
              <w:left w:w="70" w:type="dxa"/>
              <w:bottom w:w="0" w:type="dxa"/>
              <w:right w:w="70" w:type="dxa"/>
            </w:tcMar>
          </w:tcPr>
          <w:p>
            <w:pPr>
              <w:jc w:val="left"/>
              <w:rPr>
                <w:lang w:val="en-US"/>
              </w:rPr>
            </w:pPr>
            <w:r>
              <w:rPr>
                <w:lang w:eastAsia="zh-CN"/>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40"/>
                <w:color w:val="0000FF"/>
                <w:lang w:eastAsia="zh-CN"/>
              </w:rPr>
              <w:t>R1-2302650</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Discussion on PRACH/PUSCH/PUCCH occasion validation</w:t>
            </w:r>
          </w:p>
        </w:tc>
        <w:tc>
          <w:tcPr>
            <w:tcW w:w="2551" w:type="dxa"/>
            <w:tcMar>
              <w:top w:w="0" w:type="dxa"/>
              <w:left w:w="70" w:type="dxa"/>
              <w:bottom w:w="0" w:type="dxa"/>
              <w:right w:w="70" w:type="dxa"/>
            </w:tcMar>
          </w:tcPr>
          <w:p>
            <w:pPr>
              <w:jc w:val="left"/>
              <w:rPr>
                <w:lang w:val="en-US"/>
              </w:rPr>
            </w:pPr>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lang w:eastAsia="zh-CN"/>
              </w:rPr>
              <w:t>R1-2302651</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lang w:eastAsia="zh-CN"/>
              </w:rPr>
              <w:t>R1-2302942</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Discussion on RedCap remaining issues</w:t>
            </w:r>
          </w:p>
        </w:tc>
        <w:tc>
          <w:tcPr>
            <w:tcW w:w="2551" w:type="dxa"/>
            <w:tcMar>
              <w:top w:w="0" w:type="dxa"/>
              <w:left w:w="70" w:type="dxa"/>
              <w:bottom w:w="0" w:type="dxa"/>
              <w:right w:w="70" w:type="dxa"/>
            </w:tcMar>
          </w:tcPr>
          <w:p>
            <w:pPr>
              <w:jc w:val="left"/>
              <w:rPr>
                <w:lang w:val="en-US"/>
              </w:rPr>
            </w:pPr>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lang w:eastAsia="zh-CN"/>
              </w:rPr>
              <w:t>R1-2302958</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Discussion on RedCap SDT operation</w:t>
            </w:r>
          </w:p>
        </w:tc>
        <w:tc>
          <w:tcPr>
            <w:tcW w:w="2551" w:type="dxa"/>
            <w:tcMar>
              <w:top w:w="0" w:type="dxa"/>
              <w:left w:w="70" w:type="dxa"/>
              <w:bottom w:w="0" w:type="dxa"/>
              <w:right w:w="70" w:type="dxa"/>
            </w:tcMar>
          </w:tcPr>
          <w:p>
            <w:pPr>
              <w:jc w:val="left"/>
              <w:rPr>
                <w:lang w:val="en-US"/>
              </w:rPr>
            </w:pPr>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lang w:eastAsia="zh-CN"/>
              </w:rPr>
              <w:t>R1-2303172</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Maintenance of Rel-17 RedCap</w:t>
            </w:r>
          </w:p>
        </w:tc>
        <w:tc>
          <w:tcPr>
            <w:tcW w:w="2551" w:type="dxa"/>
            <w:tcMar>
              <w:top w:w="0" w:type="dxa"/>
              <w:left w:w="70" w:type="dxa"/>
              <w:bottom w:w="0" w:type="dxa"/>
              <w:right w:w="70" w:type="dxa"/>
            </w:tcMar>
          </w:tcPr>
          <w:p>
            <w:pPr>
              <w:jc w:val="left"/>
              <w:rPr>
                <w:lang w:val="en-US"/>
              </w:rPr>
            </w:pPr>
            <w:r>
              <w:rPr>
                <w:lang w:eastAsia="zh-CN"/>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lang w:eastAsia="zh-CN"/>
              </w:rPr>
              <w:t>R1-2303210</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Discussion on RedCap remaining issues</w:t>
            </w:r>
          </w:p>
        </w:tc>
        <w:tc>
          <w:tcPr>
            <w:tcW w:w="2551" w:type="dxa"/>
            <w:tcMar>
              <w:top w:w="0" w:type="dxa"/>
              <w:left w:w="70" w:type="dxa"/>
              <w:bottom w:w="0" w:type="dxa"/>
              <w:right w:w="70" w:type="dxa"/>
            </w:tcMar>
          </w:tcPr>
          <w:p>
            <w:pPr>
              <w:jc w:val="left"/>
              <w:rPr>
                <w:lang w:val="en-US"/>
              </w:rPr>
            </w:pPr>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lang w:eastAsia="zh-CN"/>
              </w:rPr>
              <w:t>R1-2303211</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Draft CR on collision handling between PRACH and NCD-SSB</w:t>
            </w:r>
          </w:p>
        </w:tc>
        <w:tc>
          <w:tcPr>
            <w:tcW w:w="2551" w:type="dxa"/>
            <w:tcMar>
              <w:top w:w="0" w:type="dxa"/>
              <w:left w:w="70" w:type="dxa"/>
              <w:bottom w:w="0" w:type="dxa"/>
              <w:right w:w="70" w:type="dxa"/>
            </w:tcMar>
          </w:tcPr>
          <w:p>
            <w:pPr>
              <w:jc w:val="left"/>
              <w:rPr>
                <w:lang w:val="en-US"/>
              </w:rPr>
            </w:pPr>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40"/>
                <w:color w:val="0000FF"/>
                <w:lang w:eastAsia="zh-CN"/>
              </w:rPr>
              <w:t>R1-2303347</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On UL resource validation with SSB</w:t>
            </w:r>
          </w:p>
        </w:tc>
        <w:tc>
          <w:tcPr>
            <w:tcW w:w="2551" w:type="dxa"/>
            <w:tcMar>
              <w:top w:w="0" w:type="dxa"/>
              <w:left w:w="70" w:type="dxa"/>
              <w:bottom w:w="0" w:type="dxa"/>
              <w:right w:w="70" w:type="dxa"/>
            </w:tcMar>
          </w:tcPr>
          <w:p>
            <w:pPr>
              <w:jc w:val="left"/>
              <w:rPr>
                <w:lang w:val="en-US"/>
              </w:rPr>
            </w:pPr>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40"/>
                <w:color w:val="0000FF"/>
                <w:lang w:eastAsia="zh-CN"/>
              </w:rPr>
              <w:t>R1-2303348</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Draft CR for 38.213 on UL resource validation with SSB</w:t>
            </w:r>
          </w:p>
        </w:tc>
        <w:tc>
          <w:tcPr>
            <w:tcW w:w="2551" w:type="dxa"/>
            <w:tcMar>
              <w:top w:w="0" w:type="dxa"/>
              <w:left w:w="70" w:type="dxa"/>
              <w:bottom w:w="0" w:type="dxa"/>
              <w:right w:w="70" w:type="dxa"/>
            </w:tcMar>
          </w:tcPr>
          <w:p>
            <w:pPr>
              <w:jc w:val="left"/>
              <w:rPr>
                <w:lang w:val="en-US"/>
              </w:rPr>
            </w:pPr>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lang w:eastAsia="zh-CN"/>
              </w:rPr>
              <w:t>R1-2303394</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RedCap support of SDT</w:t>
            </w:r>
          </w:p>
        </w:tc>
        <w:tc>
          <w:tcPr>
            <w:tcW w:w="2551" w:type="dxa"/>
            <w:tcMar>
              <w:top w:w="0" w:type="dxa"/>
              <w:left w:w="70" w:type="dxa"/>
              <w:bottom w:w="0" w:type="dxa"/>
              <w:right w:w="70" w:type="dxa"/>
            </w:tcMar>
          </w:tcPr>
          <w:p>
            <w:pPr>
              <w:jc w:val="left"/>
              <w:rPr>
                <w:lang w:val="en-US"/>
              </w:rPr>
            </w:pPr>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lang w:eastAsia="zh-CN"/>
              </w:rPr>
              <w:t>R1-2303690</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r>
              <w:rPr>
                <w:lang w:eastAsia="zh-CN"/>
              </w:rPr>
              <w:t>Discussion on remaining issues for RedCap UE</w:t>
            </w:r>
          </w:p>
        </w:tc>
        <w:tc>
          <w:tcPr>
            <w:tcW w:w="2551" w:type="dxa"/>
            <w:tcMar>
              <w:top w:w="0" w:type="dxa"/>
              <w:left w:w="70" w:type="dxa"/>
              <w:bottom w:w="0" w:type="dxa"/>
              <w:right w:w="70" w:type="dxa"/>
            </w:tcMar>
          </w:tcPr>
          <w:p>
            <w:pPr>
              <w:jc w:val="left"/>
              <w:rPr>
                <w:lang w:val="en-US"/>
              </w:rPr>
            </w:pPr>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eastAsia="zh-CN"/>
              </w:rPr>
            </w:pPr>
            <w:r>
              <w:rPr>
                <w:lang w:val="zh-CN"/>
              </w:rPr>
              <w:t>NR; Physical layer procedures for control</w:t>
            </w:r>
            <w:r>
              <w:rPr>
                <w:lang w:val="en-US"/>
              </w:rPr>
              <w:t xml:space="preserve"> (Release 17)</w:t>
            </w:r>
          </w:p>
        </w:tc>
        <w:tc>
          <w:tcPr>
            <w:tcW w:w="2551" w:type="dxa"/>
            <w:tcMar>
              <w:top w:w="0" w:type="dxa"/>
              <w:left w:w="70" w:type="dxa"/>
              <w:bottom w:w="0" w:type="dxa"/>
              <w:right w:w="70" w:type="dxa"/>
            </w:tcMar>
          </w:tcPr>
          <w:p>
            <w:pPr>
              <w:jc w:val="left"/>
              <w:rPr>
                <w:lang w:eastAsia="zh-CN"/>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lang w:eastAsia="zh-CN"/>
              </w:rPr>
              <w:t>R2-2301901</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bookmarkStart w:id="4" w:name="_Ref131530041"/>
            <w:r>
              <w:t>Report from Break-out session on NR-NTN, IoT-NTN and RedCap</w:t>
            </w:r>
            <w:bookmarkEnd w:id="4"/>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lang w:eastAsia="zh-CN"/>
              </w:rPr>
              <w:t>RP-230693</w:t>
            </w:r>
            <w:r>
              <w:rPr>
                <w:rStyle w:val="40"/>
                <w:color w:val="0000FF"/>
                <w:lang w:eastAsia="zh-CN"/>
              </w:rPr>
              <w:fldChar w:fldCharType="end"/>
            </w:r>
          </w:p>
        </w:tc>
        <w:tc>
          <w:tcPr>
            <w:tcW w:w="4921" w:type="dxa"/>
            <w:tcMar>
              <w:top w:w="0" w:type="dxa"/>
              <w:left w:w="70" w:type="dxa"/>
              <w:bottom w:w="0" w:type="dxa"/>
              <w:right w:w="70" w:type="dxa"/>
            </w:tcMar>
          </w:tcPr>
          <w:p>
            <w:pPr>
              <w:jc w:val="left"/>
              <w:rPr>
                <w:lang w:val="en-US"/>
              </w:rPr>
            </w:pPr>
            <w:bookmarkStart w:id="5" w:name="_Ref131530146"/>
            <w:r>
              <w:t>RAN2 CRs to SDT operation for RedCap without CD-SSB</w:t>
            </w:r>
            <w:bookmarkEnd w:id="5"/>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5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4">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0"/>
  </w:num>
  <w:num w:numId="3">
    <w:abstractNumId w:val="1"/>
  </w:num>
  <w:num w:numId="4">
    <w:abstractNumId w:val="0"/>
  </w:num>
  <w:num w:numId="5">
    <w:abstractNumId w:val="12"/>
  </w:num>
  <w:num w:numId="6">
    <w:abstractNumId w:val="13"/>
    <w:lvlOverride w:ilvl="0">
      <w:startOverride w:val="1"/>
    </w:lvlOverride>
  </w:num>
  <w:num w:numId="7">
    <w:abstractNumId w:val="14"/>
  </w:num>
  <w:num w:numId="8">
    <w:abstractNumId w:val="16"/>
  </w:num>
  <w:num w:numId="9">
    <w:abstractNumId w:val="11"/>
  </w:num>
  <w:num w:numId="10">
    <w:abstractNumId w:val="17"/>
  </w:num>
  <w:num w:numId="11">
    <w:abstractNumId w:val="15"/>
  </w:num>
  <w:num w:numId="12">
    <w:abstractNumId w:val="3"/>
  </w:num>
  <w:num w:numId="13">
    <w:abstractNumId w:val="6"/>
  </w:num>
  <w:num w:numId="14">
    <w:abstractNumId w:val="9"/>
  </w:num>
  <w:num w:numId="15">
    <w:abstractNumId w:val="2"/>
  </w:num>
  <w:num w:numId="16">
    <w:abstractNumId w:val="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24E3"/>
    <w:rsid w:val="00032B3D"/>
    <w:rsid w:val="00032D6F"/>
    <w:rsid w:val="00032FA5"/>
    <w:rsid w:val="000331F7"/>
    <w:rsid w:val="000335C3"/>
    <w:rsid w:val="000336A9"/>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94E"/>
    <w:rsid w:val="000A6DE1"/>
    <w:rsid w:val="000B0215"/>
    <w:rsid w:val="000B0600"/>
    <w:rsid w:val="000B0604"/>
    <w:rsid w:val="000B07C2"/>
    <w:rsid w:val="000B0C39"/>
    <w:rsid w:val="000B1182"/>
    <w:rsid w:val="000B1246"/>
    <w:rsid w:val="000B197B"/>
    <w:rsid w:val="000B20D9"/>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B4C"/>
    <w:rsid w:val="000D1FFF"/>
    <w:rsid w:val="000D212B"/>
    <w:rsid w:val="000D234B"/>
    <w:rsid w:val="000D2811"/>
    <w:rsid w:val="000D2C08"/>
    <w:rsid w:val="000D2CDD"/>
    <w:rsid w:val="000D2D6F"/>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2EF"/>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6EF0"/>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486"/>
    <w:rsid w:val="004E06D5"/>
    <w:rsid w:val="004E06EA"/>
    <w:rsid w:val="004E0BB2"/>
    <w:rsid w:val="004E0E27"/>
    <w:rsid w:val="004E0ED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5C1D"/>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AB3"/>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291"/>
    <w:rsid w:val="0063089D"/>
    <w:rsid w:val="00630FA6"/>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5D6"/>
    <w:rsid w:val="006726B3"/>
    <w:rsid w:val="00672899"/>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8CF"/>
    <w:rsid w:val="006B38EA"/>
    <w:rsid w:val="006B403F"/>
    <w:rsid w:val="006B42C7"/>
    <w:rsid w:val="006B4780"/>
    <w:rsid w:val="006B4784"/>
    <w:rsid w:val="006B4878"/>
    <w:rsid w:val="006B5347"/>
    <w:rsid w:val="006B589C"/>
    <w:rsid w:val="006B621A"/>
    <w:rsid w:val="006B65B3"/>
    <w:rsid w:val="006C00EB"/>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173"/>
    <w:rsid w:val="00734607"/>
    <w:rsid w:val="007346CA"/>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BC6"/>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CF"/>
    <w:rsid w:val="007F7789"/>
    <w:rsid w:val="007F7BEC"/>
    <w:rsid w:val="007F7EC7"/>
    <w:rsid w:val="00800140"/>
    <w:rsid w:val="00800469"/>
    <w:rsid w:val="0080060F"/>
    <w:rsid w:val="0080079C"/>
    <w:rsid w:val="00800963"/>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317"/>
    <w:rsid w:val="0090551E"/>
    <w:rsid w:val="009059DD"/>
    <w:rsid w:val="00905F24"/>
    <w:rsid w:val="00906063"/>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6C2E"/>
    <w:rsid w:val="00917017"/>
    <w:rsid w:val="00917189"/>
    <w:rsid w:val="00917FB5"/>
    <w:rsid w:val="00917FF1"/>
    <w:rsid w:val="009200A3"/>
    <w:rsid w:val="009200E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76"/>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631"/>
    <w:rsid w:val="00B70B0D"/>
    <w:rsid w:val="00B70EA9"/>
    <w:rsid w:val="00B71033"/>
    <w:rsid w:val="00B710D5"/>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BB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10"/>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C7568"/>
    <w:rsid w:val="00CC798A"/>
    <w:rsid w:val="00CD0086"/>
    <w:rsid w:val="00CD0712"/>
    <w:rsid w:val="00CD087D"/>
    <w:rsid w:val="00CD0BB9"/>
    <w:rsid w:val="00CD0D49"/>
    <w:rsid w:val="00CD1492"/>
    <w:rsid w:val="00CD161A"/>
    <w:rsid w:val="00CD24E5"/>
    <w:rsid w:val="00CD27A2"/>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1E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1502F83"/>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1D56EB"/>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5F7F1E0B"/>
    <w:rsid w:val="60A248F7"/>
    <w:rsid w:val="6135398F"/>
    <w:rsid w:val="613C3B08"/>
    <w:rsid w:val="622B7658"/>
    <w:rsid w:val="63194F01"/>
    <w:rsid w:val="633A591E"/>
    <w:rsid w:val="64517964"/>
    <w:rsid w:val="652257F3"/>
    <w:rsid w:val="65B87D8E"/>
    <w:rsid w:val="65E00DE3"/>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8BE3BF5"/>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sz w:val="36"/>
      <w:lang w:val="en-GB" w:eastAsia="en-US"/>
    </w:rPr>
  </w:style>
  <w:style w:type="character" w:customStyle="1" w:styleId="48">
    <w:name w:val="Heading 3 Char"/>
    <w:link w:val="4"/>
    <w:qFormat/>
    <w:uiPriority w:val="0"/>
    <w:rPr>
      <w:sz w:val="28"/>
      <w:lang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
    <w:basedOn w:val="36"/>
    <w:semiHidden/>
    <w:unhideWhenUsed/>
    <w:qFormat/>
    <w:uiPriority w:val="99"/>
    <w:rPr>
      <w:color w:val="605E5C"/>
      <w:shd w:val="clear" w:color="auto" w:fill="E1DFDD"/>
    </w:rPr>
  </w:style>
  <w:style w:type="paragraph" w:customStyle="1" w:styleId="358">
    <w:name w:val="Revision"/>
    <w:hidden/>
    <w:semiHidden/>
    <w:uiPriority w:val="99"/>
    <w:rPr>
      <w:rFonts w:ascii="Times New Roman" w:hAnsi="Times New Roman" w:eastAsia="Batang" w:cs="Times New Roman"/>
      <w:lang w:val="en-GB" w:eastAsia="en-US" w:bidi="ar-SA"/>
    </w:rPr>
  </w:style>
  <w:style w:type="character" w:customStyle="1" w:styleId="359">
    <w:name w:val="ui-provider"/>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1F7EA-771D-46D3-A1B9-FF4CD3301DB2}">
  <ds:schemaRefs/>
</ds:datastoreItem>
</file>

<file path=customXml/itemProps3.xml><?xml version="1.0" encoding="utf-8"?>
<ds:datastoreItem xmlns:ds="http://schemas.openxmlformats.org/officeDocument/2006/customXml" ds:itemID="{52A4F592-83BE-4D90-9C29-825B5136205B}">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8</Pages>
  <Words>3597</Words>
  <Characters>20503</Characters>
  <Lines>170</Lines>
  <Paragraphs>48</Paragraphs>
  <TotalTime>0</TotalTime>
  <ScaleCrop>false</ScaleCrop>
  <LinksUpToDate>false</LinksUpToDate>
  <CharactersWithSpaces>24052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2023-03-02T11:10:00Z</dcterms:created>
  <dc:creator>Johan Bergman</dc:creator>
  <cp:lastModifiedBy>CMCC-hulijie</cp:lastModifiedBy>
  <dcterms:modified xsi:type="dcterms:W3CDTF">2023-04-17T10:57:58Z</dcterms:modified>
  <cp:revision>520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33AEC9F39CFA4CFF85DEB58F82D3F56D</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