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w:t>
      </w:r>
      <w:proofErr w:type="gramStart"/>
      <w:r>
        <w:rPr>
          <w:rFonts w:ascii="Arial" w:hAnsi="Arial" w:cs="Arial"/>
        </w:rPr>
        <w:t>Multi-Beam</w:t>
      </w:r>
      <w:proofErr w:type="gramEnd"/>
      <w:r>
        <w:rPr>
          <w:rFonts w:ascii="Arial" w:hAnsi="Arial" w:cs="Arial"/>
        </w:rPr>
        <w:t xml:space="preserve">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 xml:space="preserve">Agree with E/// that this one has been closed. The spec is clear on the UE behavior. To our understanding, SRS following unified TCI also has use case, </w:t>
            </w:r>
            <w:proofErr w:type="gramStart"/>
            <w:r>
              <w:rPr>
                <w:sz w:val="18"/>
                <w:szCs w:val="18"/>
                <w:lang w:eastAsia="zh-CN"/>
              </w:rPr>
              <w:t>i.e.</w:t>
            </w:r>
            <w:proofErr w:type="gramEnd"/>
            <w:r>
              <w:rPr>
                <w:sz w:val="18"/>
                <w:szCs w:val="18"/>
                <w:lang w:eastAsia="zh-CN"/>
              </w:rPr>
              <w:t xml:space="preserv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w:t>
            </w:r>
            <w:proofErr w:type="gramStart"/>
            <w:r>
              <w:rPr>
                <w:sz w:val="18"/>
                <w:szCs w:val="18"/>
                <w:lang w:eastAsia="zh-CN"/>
              </w:rPr>
              <w:t>a</w:t>
            </w:r>
            <w:proofErr w:type="gramEnd"/>
            <w:r>
              <w:rPr>
                <w:sz w:val="18"/>
                <w:szCs w:val="18"/>
                <w:lang w:eastAsia="zh-CN"/>
              </w:rPr>
              <w:t xml:space="preserve"> </w:t>
            </w:r>
            <w:r>
              <w:rPr>
                <w:rFonts w:hint="eastAsia"/>
                <w:sz w:val="18"/>
                <w:szCs w:val="18"/>
                <w:lang w:eastAsia="zh-CN"/>
              </w:rPr>
              <w:t>NCB SRS is configured with associated NZP CSI-RS</w:t>
            </w:r>
            <w:r>
              <w:rPr>
                <w:sz w:val="18"/>
                <w:szCs w:val="18"/>
                <w:lang w:eastAsia="zh-CN"/>
              </w:rPr>
              <w:t xml:space="preserve">, neither </w:t>
            </w:r>
            <w:proofErr w:type="spellStart"/>
            <w:r>
              <w:rPr>
                <w:i/>
                <w:iCs/>
                <w:sz w:val="18"/>
                <w:szCs w:val="18"/>
              </w:rPr>
              <w:t>followUnifiedTCIstateSRS</w:t>
            </w:r>
            <w:proofErr w:type="spellEnd"/>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w:t>
            </w:r>
            <w:proofErr w:type="spellStart"/>
            <w:r>
              <w:rPr>
                <w:i/>
                <w:iCs/>
                <w:sz w:val="18"/>
                <w:szCs w:val="18"/>
              </w:rPr>
              <w:t>ResourceId</w:t>
            </w:r>
            <w:proofErr w:type="spellEnd"/>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proofErr w:type="spellStart"/>
            <w:r>
              <w:rPr>
                <w:i/>
                <w:iCs/>
                <w:sz w:val="18"/>
                <w:szCs w:val="18"/>
              </w:rPr>
              <w:t>followUnifiedTCIstateSRS</w:t>
            </w:r>
            <w:proofErr w:type="spellEnd"/>
            <w:r>
              <w:rPr>
                <w:i/>
                <w:iCs/>
                <w:sz w:val="18"/>
                <w:szCs w:val="18"/>
              </w:rPr>
              <w:t xml:space="preserve">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 xml:space="preserve">R1-2302733 Draft CR on the power control for SRS resource set for </w:t>
            </w:r>
            <w:proofErr w:type="spellStart"/>
            <w:r w:rsidRPr="00F83BCC">
              <w:rPr>
                <w:color w:val="3333FF"/>
                <w:sz w:val="18"/>
                <w:szCs w:val="18"/>
                <w:lang w:eastAsia="zh-CN"/>
              </w:rPr>
              <w:t>noncodebook</w:t>
            </w:r>
            <w:proofErr w:type="spellEnd"/>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w:t>
            </w:r>
            <w:proofErr w:type="gramStart"/>
            <w:r w:rsidR="007B09C8" w:rsidRPr="007B09C8">
              <w:rPr>
                <w:color w:val="FF0000"/>
                <w:sz w:val="18"/>
                <w:szCs w:val="18"/>
                <w:lang w:eastAsia="zh-CN"/>
              </w:rPr>
              <w:t>202..</w:t>
            </w:r>
            <w:proofErr w:type="gramEnd"/>
            <w:r w:rsidR="007B09C8" w:rsidRPr="007B09C8">
              <w:rPr>
                <w:color w:val="FF0000"/>
                <w:sz w:val="18"/>
                <w:szCs w:val="18"/>
                <w:lang w:eastAsia="zh-CN"/>
              </w:rPr>
              <w:t>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w:t>
            </w:r>
            <w:proofErr w:type="gramStart"/>
            <w:r w:rsidRPr="007B09C8">
              <w:rPr>
                <w:color w:val="FF0000"/>
                <w:sz w:val="18"/>
                <w:szCs w:val="18"/>
                <w:lang w:eastAsia="zh-CN"/>
              </w:rPr>
              <w:t>16..</w:t>
            </w:r>
            <w:proofErr w:type="gramEnd"/>
            <w:r w:rsidRPr="007B09C8">
              <w:rPr>
                <w:color w:val="FF0000"/>
                <w:sz w:val="18"/>
                <w:szCs w:val="18"/>
                <w:lang w:eastAsia="zh-CN"/>
              </w:rPr>
              <w:t>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_nominal_SRS</w:t>
            </w:r>
            <w:r>
              <w:rPr>
                <w:color w:val="FF0000"/>
                <w:sz w:val="18"/>
                <w:szCs w:val="18"/>
                <w:lang w:eastAsia="zh-CN"/>
              </w:rPr>
              <w:t xml:space="preserve">, and then target power for </w:t>
            </w:r>
            <w:proofErr w:type="gramStart"/>
            <w:r>
              <w:rPr>
                <w:color w:val="FF0000"/>
                <w:sz w:val="18"/>
                <w:szCs w:val="18"/>
                <w:lang w:eastAsia="zh-CN"/>
              </w:rPr>
              <w:t>a</w:t>
            </w:r>
            <w:proofErr w:type="gramEnd"/>
            <w:r>
              <w:rPr>
                <w:color w:val="FF0000"/>
                <w:sz w:val="18"/>
                <w:szCs w:val="18"/>
                <w:lang w:eastAsia="zh-CN"/>
              </w:rPr>
              <w:t xml:space="preserve"> SRS transmission is equal to </w:t>
            </w:r>
            <w:r w:rsidR="00B17BED">
              <w:rPr>
                <w:color w:val="FF0000"/>
                <w:sz w:val="18"/>
                <w:szCs w:val="18"/>
                <w:lang w:eastAsia="zh-CN"/>
              </w:rPr>
              <w:t xml:space="preserve">P0_nominal_SRS </w:t>
            </w:r>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r w:rsidR="00E4264C" w:rsidRPr="00291B9A" w14:paraId="5EEF8399" w14:textId="77777777">
        <w:trPr>
          <w:trHeight w:val="305"/>
        </w:trPr>
        <w:tc>
          <w:tcPr>
            <w:tcW w:w="1985" w:type="dxa"/>
            <w:shd w:val="clear" w:color="auto" w:fill="FFFFFF" w:themeFill="background1"/>
          </w:tcPr>
          <w:p w14:paraId="2A4079DE" w14:textId="1D01C64D" w:rsidR="00E4264C" w:rsidRPr="00E4264C" w:rsidRDefault="00E4264C" w:rsidP="006E3A5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Samsung</w:t>
            </w:r>
          </w:p>
        </w:tc>
        <w:tc>
          <w:tcPr>
            <w:tcW w:w="7790" w:type="dxa"/>
            <w:shd w:val="clear" w:color="auto" w:fill="FFFFFF" w:themeFill="background1"/>
          </w:tcPr>
          <w:p w14:paraId="6BEE04F1" w14:textId="027D0BFF" w:rsidR="00E4264C" w:rsidRPr="00E4264C" w:rsidRDefault="00E4264C" w:rsidP="00E4264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 xml:space="preserve">If we go which option 2, </w:t>
            </w:r>
            <w:r w:rsidRPr="00AB7205">
              <w:rPr>
                <w:color w:val="FF0000"/>
                <w:sz w:val="18"/>
                <w:szCs w:val="18"/>
                <w:lang w:eastAsia="zh-CN"/>
              </w:rPr>
              <w:t>p0 defined in the SRS</w:t>
            </w:r>
            <w:r>
              <w:rPr>
                <w:color w:val="FF0000"/>
                <w:sz w:val="18"/>
                <w:szCs w:val="18"/>
                <w:lang w:eastAsia="zh-CN"/>
              </w:rPr>
              <w:t xml:space="preserve"> … is equal to P0_nominal_SRS + </w:t>
            </w:r>
            <w:r w:rsidRPr="00AB7205">
              <w:rPr>
                <w:color w:val="FF0000"/>
                <w:sz w:val="18"/>
                <w:szCs w:val="18"/>
                <w:lang w:eastAsia="zh-CN"/>
              </w:rPr>
              <w:t>p0-r17 in P0AlphaSet-r17 for SR</w:t>
            </w:r>
          </w:p>
          <w:p w14:paraId="0B2094DC" w14:textId="77777777" w:rsidR="00E4264C" w:rsidRDefault="00E4264C" w:rsidP="0098027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How to determine </w:t>
            </w:r>
            <w:r w:rsidRPr="00E4264C">
              <w:rPr>
                <w:color w:val="000000" w:themeColor="text1"/>
                <w:sz w:val="18"/>
                <w:szCs w:val="18"/>
                <w:lang w:eastAsia="zh-CN"/>
              </w:rPr>
              <w:t>P0_nominal_SRS</w:t>
            </w:r>
            <w:r>
              <w:rPr>
                <w:color w:val="000000" w:themeColor="text1"/>
                <w:sz w:val="18"/>
                <w:szCs w:val="18"/>
                <w:lang w:eastAsia="zh-CN"/>
              </w:rPr>
              <w:t>, would this be by RRC configuration?</w:t>
            </w:r>
          </w:p>
          <w:p w14:paraId="06900A80" w14:textId="525111B1" w:rsidR="00E4264C" w:rsidRPr="00E4264C" w:rsidRDefault="00E4264C" w:rsidP="0098027A">
            <w:pPr>
              <w:pStyle w:val="References"/>
              <w:numPr>
                <w:ilvl w:val="0"/>
                <w:numId w:val="0"/>
              </w:numPr>
              <w:adjustRightInd w:val="0"/>
              <w:spacing w:after="0" w:line="240" w:lineRule="auto"/>
              <w:rPr>
                <w:color w:val="000000" w:themeColor="text1"/>
                <w:sz w:val="18"/>
                <w:szCs w:val="18"/>
                <w:lang w:eastAsia="zh-CN"/>
              </w:rPr>
            </w:pPr>
          </w:p>
        </w:tc>
      </w:tr>
      <w:tr w:rsidR="00F62B32" w:rsidRPr="00291B9A" w14:paraId="495E506E" w14:textId="77777777">
        <w:trPr>
          <w:trHeight w:val="305"/>
        </w:trPr>
        <w:tc>
          <w:tcPr>
            <w:tcW w:w="1985" w:type="dxa"/>
            <w:shd w:val="clear" w:color="auto" w:fill="FFFFFF" w:themeFill="background1"/>
          </w:tcPr>
          <w:p w14:paraId="7050627C" w14:textId="18324998" w:rsidR="00F62B32" w:rsidRPr="00E4264C" w:rsidRDefault="00F62B32" w:rsidP="006E3A5C">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OPPO</w:t>
            </w:r>
          </w:p>
        </w:tc>
        <w:tc>
          <w:tcPr>
            <w:tcW w:w="7790" w:type="dxa"/>
            <w:shd w:val="clear" w:color="auto" w:fill="FFFFFF" w:themeFill="background1"/>
          </w:tcPr>
          <w:p w14:paraId="701583A1" w14:textId="795275B0"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We cannot accept Option 2 and apparently Option 2 is </w:t>
            </w:r>
            <w:proofErr w:type="spellStart"/>
            <w:r>
              <w:rPr>
                <w:color w:val="000000" w:themeColor="text1"/>
                <w:sz w:val="18"/>
                <w:szCs w:val="18"/>
                <w:lang w:eastAsia="zh-CN"/>
              </w:rPr>
              <w:t>definely</w:t>
            </w:r>
            <w:proofErr w:type="spellEnd"/>
            <w:r>
              <w:rPr>
                <w:color w:val="000000" w:themeColor="text1"/>
                <w:sz w:val="18"/>
                <w:szCs w:val="18"/>
                <w:lang w:eastAsia="zh-CN"/>
              </w:rPr>
              <w:t xml:space="preserve"> more complex: it needs defining new rule in RAN1 and also new RRC parameter in RRC. </w:t>
            </w:r>
          </w:p>
          <w:p w14:paraId="1A74C4C0" w14:textId="77777777" w:rsidR="00F62B32" w:rsidRDefault="00F62B32" w:rsidP="00E4264C">
            <w:pPr>
              <w:pStyle w:val="References"/>
              <w:numPr>
                <w:ilvl w:val="0"/>
                <w:numId w:val="0"/>
              </w:numPr>
              <w:adjustRightInd w:val="0"/>
              <w:spacing w:after="0" w:line="240" w:lineRule="auto"/>
              <w:rPr>
                <w:color w:val="000000" w:themeColor="text1"/>
                <w:sz w:val="18"/>
                <w:szCs w:val="18"/>
                <w:lang w:eastAsia="zh-CN"/>
              </w:rPr>
            </w:pPr>
          </w:p>
          <w:p w14:paraId="56DF2369" w14:textId="358DD012" w:rsidR="00F62B32" w:rsidRPr="00E4264C"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If we admit that is an issue, let us go with the majority view. </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lastRenderedPageBreak/>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lastRenderedPageBreak/>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3" w:author="Naoya Shibaike (芝池 尚哉)" w:date="2023-04-06T17:08:00Z">
                      <w:rPr>
                        <w:rFonts w:ascii="Cambria Math" w:eastAsia="MS PGothic" w:hAnsi="Cambria Math" w:cs="MS PGothic"/>
                        <w:iCs/>
                        <w:sz w:val="18"/>
                        <w:szCs w:val="18"/>
                      </w:rPr>
                    </w:ins>
                  </m:ctrlPr>
                </m:sSubPr>
                <m:e>
                  <m:r>
                    <w:ins w:id="34" w:author="Naoya Shibaike (芝池 尚哉)" w:date="2023-04-06T17:08:00Z">
                      <w:rPr>
                        <w:rFonts w:ascii="Cambria Math" w:hAnsi="Cambria Math"/>
                        <w:sz w:val="18"/>
                        <w:szCs w:val="18"/>
                      </w:rPr>
                      <m:t>P</m:t>
                    </w:ins>
                  </m:r>
                </m:e>
                <m:sub>
                  <m:r>
                    <w:ins w:id="35" w:author="Naoya Shibaike (芝池 尚哉)" w:date="2023-04-06T17:08:00Z">
                      <m:rPr>
                        <m:sty m:val="p"/>
                      </m:rPr>
                      <w:rPr>
                        <w:rFonts w:ascii="Cambria Math"/>
                        <w:sz w:val="18"/>
                        <w:szCs w:val="18"/>
                      </w:rPr>
                      <m:t>O_UE_PUCCH</m:t>
                    </w:ins>
                  </m:r>
                </m:sub>
              </m:sSub>
              <m:r>
                <w:ins w:id="36" w:author="Naoya Shibaike (芝池 尚哉)" w:date="2023-04-06T17:08:00Z">
                  <m:rPr>
                    <m:sty m:val="p"/>
                  </m:rPr>
                  <w:rPr>
                    <w:rFonts w:ascii="Cambria Math"/>
                    <w:sz w:val="18"/>
                    <w:szCs w:val="18"/>
                  </w:rPr>
                  <m:t>(</m:t>
                </w:ins>
              </m:r>
              <m:sSub>
                <m:sSubPr>
                  <m:ctrlPr>
                    <w:ins w:id="37" w:author="Naoya Shibaike (芝池 尚哉)" w:date="2023-04-06T17:08:00Z">
                      <w:rPr>
                        <w:rFonts w:ascii="Cambria Math" w:eastAsia="MS PGothic" w:hAnsi="Cambria Math" w:cs="MS PGothic"/>
                        <w:iCs/>
                        <w:sz w:val="18"/>
                        <w:szCs w:val="18"/>
                      </w:rPr>
                    </w:ins>
                  </m:ctrlPr>
                </m:sSubPr>
                <m:e>
                  <m:r>
                    <w:ins w:id="38" w:author="Naoya Shibaike (芝池 尚哉)" w:date="2023-04-06T17:08:00Z">
                      <w:rPr>
                        <w:rFonts w:ascii="Cambria Math"/>
                        <w:sz w:val="18"/>
                        <w:szCs w:val="18"/>
                      </w:rPr>
                      <m:t>q</m:t>
                    </w:ins>
                  </m:r>
                </m:e>
                <m:sub>
                  <m:r>
                    <w:ins w:id="39" w:author="Naoya Shibaike (芝池 尚哉)" w:date="2023-04-06T17:08:00Z">
                      <w:rPr>
                        <w:rFonts w:ascii="Cambria Math"/>
                        <w:sz w:val="18"/>
                        <w:szCs w:val="18"/>
                      </w:rPr>
                      <m:t>u</m:t>
                    </w:ins>
                  </m:r>
                </m:sub>
              </m:sSub>
              <m:r>
                <w:ins w:id="40" w:author="Naoya Shibaike (芝池 尚哉)" w:date="2023-04-06T17:08:00Z">
                  <m:rPr>
                    <m:sty m:val="p"/>
                  </m:rPr>
                  <w:rPr>
                    <w:rFonts w:ascii="Cambria Math"/>
                    <w:sz w:val="18"/>
                    <w:szCs w:val="18"/>
                  </w:rPr>
                  <m:t>)</m:t>
                </w:ins>
              </m:r>
              <m:r>
                <w:ins w:id="41" w:author="Naoya Shibaike (芝池 尚哉)" w:date="2023-04-06T17:08:00Z">
                  <m:rPr>
                    <m:sty m:val="p"/>
                  </m:rPr>
                  <w:rPr>
                    <w:rFonts w:ascii="Cambria Math" w:hAnsi="Cambria Math"/>
                    <w:sz w:val="18"/>
                    <w:szCs w:val="18"/>
                  </w:rPr>
                  <m:t xml:space="preserve"> </m:t>
                </w:ins>
              </m:r>
              <m:sSub>
                <m:sSubPr>
                  <m:ctrlPr>
                    <w:del w:id="42" w:author="Naoya Shibaike (芝池 尚哉)" w:date="2023-04-06T17:08:00Z">
                      <w:rPr>
                        <w:rFonts w:ascii="Cambria Math" w:eastAsia="Yu Mincho" w:hAnsi="Cambria Math"/>
                        <w:iCs/>
                        <w:sz w:val="18"/>
                        <w:szCs w:val="18"/>
                        <w:lang w:val="zh-CN"/>
                      </w:rPr>
                    </w:del>
                  </m:ctrlPr>
                </m:sSubPr>
                <m:e>
                  <m:r>
                    <w:del w:id="43" w:author="Naoya Shibaike (芝池 尚哉)" w:date="2023-04-06T17:08:00Z">
                      <w:rPr>
                        <w:rFonts w:ascii="Cambria Math" w:eastAsia="Yu Mincho" w:hAnsi="Cambria Math"/>
                        <w:sz w:val="18"/>
                        <w:szCs w:val="18"/>
                        <w:lang w:val="zh-CN"/>
                      </w:rPr>
                      <m:t>P</m:t>
                    </w:del>
                  </m:r>
                </m:e>
                <m:sub>
                  <m:r>
                    <w:del w:id="44" w:author="Naoya Shibaike (芝池 尚哉)" w:date="2023-04-06T17:08:00Z">
                      <m:rPr>
                        <m:nor/>
                      </m:rPr>
                      <w:rPr>
                        <w:rFonts w:eastAsia="Yu Mincho"/>
                        <w:iCs/>
                        <w:sz w:val="18"/>
                        <w:szCs w:val="18"/>
                      </w:rPr>
                      <m:t>O_PUCCH</m:t>
                    </w:del>
                  </m:r>
                  <m:r>
                    <w:del w:id="45" w:author="Naoya Shibaike (芝池 尚哉)" w:date="2023-04-06T17:08:00Z">
                      <m:rPr>
                        <m:sty m:val="p"/>
                      </m:rPr>
                      <w:rPr>
                        <w:rFonts w:ascii="Cambria Math" w:eastAsia="Yu Mincho" w:hAnsi="Cambria Math"/>
                        <w:sz w:val="18"/>
                        <w:szCs w:val="18"/>
                      </w:rPr>
                      <m:t>,</m:t>
                    </w:del>
                  </m:r>
                  <m:r>
                    <w:del w:id="46" w:author="Naoya Shibaike (芝池 尚哉)" w:date="2023-04-06T17:08:00Z">
                      <w:rPr>
                        <w:rFonts w:ascii="Cambria Math" w:eastAsia="Yu Mincho" w:hAnsi="Cambria Math"/>
                        <w:sz w:val="18"/>
                        <w:szCs w:val="18"/>
                        <w:lang w:val="zh-CN"/>
                      </w:rPr>
                      <m:t>b</m:t>
                    </w:del>
                  </m:r>
                  <m:r>
                    <w:del w:id="47" w:author="Naoya Shibaike (芝池 尚哉)" w:date="2023-04-06T17:08:00Z">
                      <m:rPr>
                        <m:sty m:val="p"/>
                      </m:rPr>
                      <w:rPr>
                        <w:rFonts w:ascii="Cambria Math" w:eastAsia="Yu Mincho" w:hAnsi="Cambria Math"/>
                        <w:sz w:val="18"/>
                        <w:szCs w:val="18"/>
                      </w:rPr>
                      <m:t>,</m:t>
                    </w:del>
                  </m:r>
                  <m:r>
                    <w:del w:id="48" w:author="Naoya Shibaike (芝池 尚哉)" w:date="2023-04-06T17:08:00Z">
                      <w:rPr>
                        <w:rFonts w:ascii="Cambria Math" w:eastAsia="Yu Mincho" w:hAnsi="Cambria Math"/>
                        <w:sz w:val="18"/>
                        <w:szCs w:val="18"/>
                        <w:lang w:val="zh-CN"/>
                      </w:rPr>
                      <m:t>f</m:t>
                    </w:del>
                  </m:r>
                  <m:r>
                    <w:del w:id="49" w:author="Naoya Shibaike (芝池 尚哉)" w:date="2023-04-06T17:08:00Z">
                      <m:rPr>
                        <m:sty m:val="p"/>
                      </m:rPr>
                      <w:rPr>
                        <w:rFonts w:ascii="Cambria Math" w:eastAsia="Yu Mincho" w:hAnsi="Cambria Math"/>
                        <w:sz w:val="18"/>
                        <w:szCs w:val="18"/>
                      </w:rPr>
                      <m:t>,</m:t>
                    </w:del>
                  </m:r>
                  <m:r>
                    <w:del w:id="50" w:author="Naoya Shibaike (芝池 尚哉)" w:date="2023-04-06T17:08:00Z">
                      <w:rPr>
                        <w:rFonts w:ascii="Cambria Math" w:eastAsia="Yu Mincho" w:hAnsi="Cambria Math"/>
                        <w:sz w:val="18"/>
                        <w:szCs w:val="18"/>
                        <w:lang w:val="zh-CN"/>
                      </w:rPr>
                      <m:t>c</m:t>
                    </w:del>
                  </m:r>
                </m:sub>
              </m:sSub>
              <m:d>
                <m:dPr>
                  <m:ctrlPr>
                    <w:del w:id="51" w:author="Naoya Shibaike (芝池 尚哉)" w:date="2023-04-06T17:08:00Z">
                      <w:rPr>
                        <w:rFonts w:ascii="Cambria Math" w:eastAsia="Yu Mincho" w:hAnsi="Cambria Math"/>
                        <w:sz w:val="18"/>
                        <w:szCs w:val="18"/>
                        <w:lang w:val="zh-CN"/>
                      </w:rPr>
                    </w:del>
                  </m:ctrlPr>
                </m:dPr>
                <m:e>
                  <m:sSub>
                    <m:sSubPr>
                      <m:ctrlPr>
                        <w:del w:id="52" w:author="Naoya Shibaike (芝池 尚哉)" w:date="2023-04-06T17:08:00Z">
                          <w:rPr>
                            <w:rFonts w:ascii="Cambria Math" w:eastAsia="Yu Mincho" w:hAnsi="Cambria Math"/>
                            <w:iCs/>
                            <w:sz w:val="18"/>
                            <w:szCs w:val="18"/>
                            <w:lang w:val="zh-CN"/>
                          </w:rPr>
                        </w:del>
                      </m:ctrlPr>
                    </m:sSubPr>
                    <m:e>
                      <m:r>
                        <w:del w:id="53" w:author="Naoya Shibaike (芝池 尚哉)" w:date="2023-04-06T17:08:00Z">
                          <w:rPr>
                            <w:rFonts w:ascii="Cambria Math" w:eastAsia="Yu Mincho" w:hAnsi="Cambria Math"/>
                            <w:sz w:val="18"/>
                            <w:szCs w:val="18"/>
                            <w:lang w:val="zh-CN"/>
                          </w:rPr>
                          <m:t>q</m:t>
                        </w:del>
                      </m:r>
                    </m:e>
                    <m:sub>
                      <m:r>
                        <w:del w:id="54"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5" w:author="ZTE" w:date="2023-04-11T15:17:00Z">
                    <w:r w:rsidRPr="00482A05">
                      <w:rPr>
                        <w:i/>
                        <w:iCs/>
                        <w:sz w:val="20"/>
                        <w:szCs w:val="20"/>
                        <w:highlight w:val="yellow"/>
                      </w:rPr>
                      <w:t>dl-</w:t>
                    </w:r>
                    <w:proofErr w:type="spellStart"/>
                    <w:r w:rsidRPr="00482A05">
                      <w:rPr>
                        <w:i/>
                        <w:iCs/>
                        <w:sz w:val="20"/>
                        <w:szCs w:val="20"/>
                        <w:highlight w:val="yellow"/>
                      </w:rPr>
                      <w:t>OrJointTCI</w:t>
                    </w:r>
                    <w:proofErr w:type="spellEnd"/>
                    <w:r w:rsidRPr="00482A05">
                      <w:rPr>
                        <w:i/>
                        <w:iCs/>
                        <w:sz w:val="20"/>
                        <w:szCs w:val="20"/>
                        <w:highlight w:val="yellow"/>
                      </w:rPr>
                      <w:t>-</w:t>
                    </w:r>
                    <w:proofErr w:type="spellStart"/>
                    <w:r w:rsidRPr="00482A05">
                      <w:rPr>
                        <w:i/>
                        <w:iCs/>
                        <w:sz w:val="20"/>
                        <w:szCs w:val="20"/>
                        <w:highlight w:val="yellow"/>
                      </w:rPr>
                      <w:t>StateList</w:t>
                    </w:r>
                  </w:ins>
                  <w:proofErr w:type="spellEnd"/>
                  <w:del w:id="56"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7" w:author="ZTE" w:date="2023-04-11T15:12:00Z">
                    <w:r>
                      <w:rPr>
                        <w:i/>
                        <w:iCs/>
                        <w:color w:val="FF0000"/>
                        <w:sz w:val="20"/>
                        <w:szCs w:val="20"/>
                      </w:rPr>
                      <w:delText>UL</w:delText>
                    </w:r>
                  </w:del>
                  <w:proofErr w:type="spellStart"/>
                  <w:ins w:id="58" w:author="ZTE" w:date="2023-04-11T15:12:00Z">
                    <w:r>
                      <w:rPr>
                        <w:rFonts w:hint="eastAsia"/>
                        <w:i/>
                        <w:iCs/>
                        <w:color w:val="FF0000"/>
                        <w:sz w:val="20"/>
                        <w:szCs w:val="20"/>
                        <w:lang w:eastAsia="zh-CN"/>
                      </w:rPr>
                      <w:t>ul</w:t>
                    </w:r>
                  </w:ins>
                  <w:proofErr w:type="spellEnd"/>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59" w:author="ZTE" w:date="2023-04-11T15:13:00Z">
                    <w:r w:rsidRPr="00482A05">
                      <w:rPr>
                        <w:i/>
                        <w:iCs/>
                        <w:sz w:val="20"/>
                        <w:szCs w:val="20"/>
                        <w:highlight w:val="yellow"/>
                      </w:rPr>
                      <w:t>TCI-UL-State</w:t>
                    </w:r>
                  </w:ins>
                  <w:del w:id="6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proofErr w:type="spellStart"/>
                  <w:ins w:id="61" w:author="ZTE" w:date="2023-04-11T16:19: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ins>
                  <w:proofErr w:type="spellEnd"/>
                  <w:del w:id="6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proofErr w:type="spellStart"/>
                  <w:ins w:id="63" w:author="ZTE" w:date="2023-04-11T16:20: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proofErr w:type="spellStart"/>
                  <w:ins w:id="64" w:author="ZTE" w:date="2023-04-11T16:20: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5"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proofErr w:type="spellStart"/>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proofErr w:type="spellStart"/>
                  <w:ins w:id="66" w:author="ZTE" w:date="2023-04-11T16:24: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6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proofErr w:type="spellStart"/>
                  <w:ins w:id="68" w:author="ZTE" w:date="2023-04-11T16:17: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ins>
                  <w:proofErr w:type="spellEnd"/>
                  <w:del w:id="6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70" w:author="ZTE" w:date="2023-04-11T16:17:00Z">
                    <w:r>
                      <w:rPr>
                        <w:i/>
                        <w:iCs/>
                        <w:sz w:val="20"/>
                        <w:szCs w:val="20"/>
                      </w:rPr>
                      <w:t>TCI-UL-State</w:t>
                    </w:r>
                    <w:r>
                      <w:rPr>
                        <w:sz w:val="20"/>
                        <w:szCs w:val="20"/>
                      </w:rPr>
                      <w:t xml:space="preserve"> </w:t>
                    </w:r>
                    <w:r>
                      <w:rPr>
                        <w:rFonts w:hint="eastAsia"/>
                        <w:sz w:val="20"/>
                        <w:szCs w:val="20"/>
                        <w:lang w:eastAsia="zh-CN"/>
                      </w:rPr>
                      <w:t xml:space="preserve">in </w:t>
                    </w:r>
                    <w:proofErr w:type="spellStart"/>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7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rPr>
                <w:rFonts w:cs="Arial"/>
                <w:b/>
                <w:sz w:val="18"/>
                <w:szCs w:val="18"/>
              </w:rPr>
            </w:pPr>
            <w:bookmarkStart w:id="72" w:name="_Toc36498139"/>
            <w:bookmarkStart w:id="73" w:name="_Toc29899528"/>
            <w:bookmarkStart w:id="74" w:name="_Toc26719380"/>
            <w:bookmarkStart w:id="75" w:name="_Toc130394845"/>
            <w:bookmarkStart w:id="76" w:name="_Toc12021443"/>
            <w:bookmarkStart w:id="77" w:name="_Toc29917265"/>
            <w:bookmarkStart w:id="78" w:name="_Toc20311555"/>
            <w:bookmarkStart w:id="79" w:name="_Toc29899110"/>
            <w:bookmarkStart w:id="80" w:name="_Ref500595654"/>
            <w:bookmarkStart w:id="81" w:name="_Toc29894811"/>
            <w:bookmarkStart w:id="82" w:name="_Toc45699165"/>
            <w:r w:rsidRPr="00A10713">
              <w:rPr>
                <w:rFonts w:cs="Arial"/>
                <w:b/>
                <w:sz w:val="18"/>
                <w:szCs w:val="18"/>
              </w:rPr>
              <w:lastRenderedPageBreak/>
              <w:t>6</w:t>
            </w:r>
            <w:r w:rsidRPr="00A10713">
              <w:rPr>
                <w:rFonts w:cs="Arial"/>
                <w:b/>
                <w:sz w:val="18"/>
                <w:szCs w:val="18"/>
              </w:rPr>
              <w:tab/>
              <w:t>Link recovery procedures</w:t>
            </w:r>
            <w:bookmarkEnd w:id="72"/>
            <w:bookmarkEnd w:id="73"/>
            <w:bookmarkEnd w:id="74"/>
            <w:bookmarkEnd w:id="75"/>
            <w:bookmarkEnd w:id="76"/>
            <w:bookmarkEnd w:id="77"/>
            <w:bookmarkEnd w:id="78"/>
            <w:bookmarkEnd w:id="79"/>
            <w:bookmarkEnd w:id="80"/>
            <w:bookmarkEnd w:id="81"/>
            <w:bookmarkEnd w:id="82"/>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proofErr w:type="spellStart"/>
            <w:ins w:id="83" w:author="作者" w:date="2023-04-19T18:22: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84" w:author="作者" w:date="2023-04-19T18:22: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[6, TS 38.214], after 28 symbols from a last symbol of </w:t>
            </w:r>
            <w:r w:rsidRPr="00A10713">
              <w:rPr>
                <w:sz w:val="18"/>
                <w:szCs w:val="18"/>
              </w:rPr>
              <w:t xml:space="preserve">a first PDCCH reception in a search space set provided by </w:t>
            </w:r>
            <w:proofErr w:type="spellStart"/>
            <w:r w:rsidRPr="00A10713">
              <w:rPr>
                <w:i/>
                <w:iCs/>
                <w:sz w:val="18"/>
                <w:szCs w:val="18"/>
              </w:rPr>
              <w:t>recoverySearchSpaceId</w:t>
            </w:r>
            <w:proofErr w:type="spellEnd"/>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proofErr w:type="spellStart"/>
            <w:ins w:id="85" w:author="作者" w:date="2023-04-19T18:24: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86" w:author="作者" w:date="2023-04-19T18:24: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and </w:t>
            </w:r>
            <w:r w:rsidRPr="00A10713">
              <w:rPr>
                <w:iCs/>
                <w:sz w:val="18"/>
                <w:szCs w:val="18"/>
                <w:lang w:eastAsia="ja-JP"/>
              </w:rPr>
              <w:t xml:space="preserve">the UE provides BFR MAC CE in Msg3 or </w:t>
            </w:r>
            <w:proofErr w:type="spellStart"/>
            <w:r w:rsidRPr="00A10713">
              <w:rPr>
                <w:iCs/>
                <w:sz w:val="18"/>
                <w:szCs w:val="18"/>
                <w:lang w:eastAsia="ja-JP"/>
              </w:rPr>
              <w:t>MsgA</w:t>
            </w:r>
            <w:proofErr w:type="spellEnd"/>
            <w:r w:rsidRPr="00A10713">
              <w:rPr>
                <w:iCs/>
                <w:sz w:val="18"/>
                <w:szCs w:val="18"/>
                <w:lang w:eastAsia="ja-JP"/>
              </w:rPr>
              <w:t xml:space="preserve">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proofErr w:type="spellStart"/>
            <w:ins w:id="87" w:author="作者" w:date="2023-04-19T18:26: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88"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Heading1"/>
              <w:numPr>
                <w:ilvl w:val="0"/>
                <w:numId w:val="0"/>
              </w:numPr>
              <w:tabs>
                <w:tab w:val="left" w:pos="1134"/>
              </w:tabs>
              <w:rPr>
                <w:b/>
                <w:sz w:val="18"/>
                <w:szCs w:val="18"/>
              </w:rPr>
            </w:pPr>
            <w:bookmarkStart w:id="89" w:name="_Toc29917266"/>
            <w:bookmarkStart w:id="90" w:name="_Toc45699166"/>
            <w:bookmarkStart w:id="91" w:name="_Toc29899111"/>
            <w:bookmarkStart w:id="92" w:name="_Toc29894812"/>
            <w:bookmarkStart w:id="93" w:name="_Toc12021444"/>
            <w:bookmarkStart w:id="94" w:name="_Toc36498140"/>
            <w:bookmarkStart w:id="95" w:name="_Toc26719381"/>
            <w:bookmarkStart w:id="96" w:name="_Toc29899529"/>
            <w:bookmarkStart w:id="97" w:name="_Toc20311556"/>
            <w:bookmarkStart w:id="98" w:name="_Toc130394846"/>
            <w:r w:rsidRPr="00A10713">
              <w:rPr>
                <w:b/>
                <w:sz w:val="18"/>
                <w:szCs w:val="18"/>
              </w:rPr>
              <w:t>7</w:t>
            </w:r>
            <w:r w:rsidRPr="00A10713">
              <w:rPr>
                <w:b/>
                <w:sz w:val="18"/>
                <w:szCs w:val="18"/>
              </w:rPr>
              <w:tab/>
              <w:t>Uplink Power control</w:t>
            </w:r>
            <w:bookmarkEnd w:id="89"/>
            <w:bookmarkEnd w:id="90"/>
            <w:bookmarkEnd w:id="91"/>
            <w:bookmarkEnd w:id="92"/>
            <w:bookmarkEnd w:id="93"/>
            <w:bookmarkEnd w:id="94"/>
            <w:bookmarkEnd w:id="95"/>
            <w:bookmarkEnd w:id="96"/>
            <w:bookmarkEnd w:id="97"/>
            <w:bookmarkEnd w:id="98"/>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99"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proofErr w:type="spellStart"/>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proofErr w:type="spellStart"/>
            <w:r w:rsidRPr="00A10713">
              <w:rPr>
                <w:i/>
                <w:iCs/>
                <w:sz w:val="18"/>
                <w:szCs w:val="18"/>
              </w:rPr>
              <w:t>followUnifiedTCI-StateSRS</w:t>
            </w:r>
            <w:proofErr w:type="spellEnd"/>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w:t>
            </w:r>
            <w:proofErr w:type="spellStart"/>
            <w:r w:rsidRPr="00A10713">
              <w:rPr>
                <w:sz w:val="18"/>
                <w:szCs w:val="18"/>
              </w:rPr>
              <w:t>rol</w:t>
            </w:r>
            <w:proofErr w:type="spellEnd"/>
            <w:r w:rsidRPr="00A10713">
              <w:rPr>
                <w:sz w:val="18"/>
                <w:szCs w:val="18"/>
              </w:rPr>
              <w:t xml:space="preserve">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proofErr w:type="spellStart"/>
            <w:r w:rsidRPr="00A10713">
              <w:rPr>
                <w:i/>
                <w:iCs/>
                <w:sz w:val="18"/>
                <w:szCs w:val="18"/>
              </w:rPr>
              <w:t>followUnifiedTCI-StateSRS</w:t>
            </w:r>
            <w:proofErr w:type="spellEnd"/>
            <w:r w:rsidRPr="00A10713">
              <w:rPr>
                <w:sz w:val="18"/>
                <w:szCs w:val="18"/>
              </w:rPr>
              <w:t xml:space="preserve"> is provided for a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proofErr w:type="spellStart"/>
            <w:r w:rsidRPr="00A10713">
              <w:rPr>
                <w:i/>
                <w:iCs/>
                <w:sz w:val="18"/>
                <w:szCs w:val="18"/>
              </w:rPr>
              <w:t>followUnifiedTCI-StateSRS</w:t>
            </w:r>
            <w:proofErr w:type="spellEnd"/>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w:t>
            </w:r>
            <w:r w:rsidRPr="00A10713">
              <w:rPr>
                <w:sz w:val="18"/>
                <w:szCs w:val="18"/>
                <w:lang w:val="en-US"/>
              </w:rPr>
              <w:lastRenderedPageBreak/>
              <w:t xml:space="preserve">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rPr>
                <w:b/>
                <w:sz w:val="18"/>
                <w:szCs w:val="18"/>
              </w:rPr>
            </w:pPr>
            <w:bookmarkStart w:id="100" w:name="_Toc130409758"/>
            <w:r w:rsidRPr="00A10713">
              <w:rPr>
                <w:b/>
                <w:sz w:val="18"/>
                <w:szCs w:val="18"/>
              </w:rPr>
              <w:t>5.1.5</w:t>
            </w:r>
            <w:r w:rsidRPr="00A10713">
              <w:rPr>
                <w:b/>
                <w:sz w:val="18"/>
                <w:szCs w:val="18"/>
              </w:rPr>
              <w:tab/>
              <w:t xml:space="preserve">Antenna </w:t>
            </w:r>
            <w:proofErr w:type="gramStart"/>
            <w:r w:rsidRPr="00A10713">
              <w:rPr>
                <w:b/>
                <w:sz w:val="18"/>
                <w:szCs w:val="18"/>
              </w:rPr>
              <w:t>ports</w:t>
            </w:r>
            <w:proofErr w:type="gramEnd"/>
            <w:r w:rsidRPr="00A10713">
              <w:rPr>
                <w:b/>
                <w:sz w:val="18"/>
                <w:szCs w:val="18"/>
              </w:rPr>
              <w:t xml:space="preserve"> quasi co-location</w:t>
            </w:r>
            <w:bookmarkEnd w:id="100"/>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proofErr w:type="spellStart"/>
            <w:r w:rsidRPr="00A10713">
              <w:rPr>
                <w:i/>
                <w:iCs/>
                <w:sz w:val="18"/>
                <w:szCs w:val="18"/>
              </w:rPr>
              <w:t>tci-StatesToAddModList</w:t>
            </w:r>
            <w:proofErr w:type="spellEnd"/>
            <w:r w:rsidRPr="00A10713">
              <w:rPr>
                <w:sz w:val="18"/>
                <w:szCs w:val="18"/>
              </w:rPr>
              <w:t xml:space="preserve">, </w:t>
            </w:r>
            <w:proofErr w:type="spellStart"/>
            <w:r w:rsidRPr="00A10713">
              <w:rPr>
                <w:i/>
                <w:iCs/>
                <w:sz w:val="18"/>
                <w:szCs w:val="18"/>
              </w:rPr>
              <w:t>SpatialRelationInfo</w:t>
            </w:r>
            <w:proofErr w:type="spellEnd"/>
            <w:r w:rsidRPr="00A10713">
              <w:rPr>
                <w:sz w:val="18"/>
                <w:szCs w:val="18"/>
              </w:rPr>
              <w:t xml:space="preserve"> or </w:t>
            </w:r>
            <w:r w:rsidRPr="00A10713">
              <w:rPr>
                <w:i/>
                <w:iCs/>
                <w:sz w:val="18"/>
                <w:szCs w:val="18"/>
              </w:rPr>
              <w:t>PUCCH-</w:t>
            </w:r>
            <w:proofErr w:type="spellStart"/>
            <w:r w:rsidRPr="00A10713">
              <w:rPr>
                <w:i/>
                <w:iCs/>
                <w:sz w:val="18"/>
                <w:szCs w:val="18"/>
              </w:rPr>
              <w:t>SpatialRelationI</w:t>
            </w:r>
            <w:r w:rsidRPr="00A10713">
              <w:rPr>
                <w:i/>
                <w:iCs/>
                <w:color w:val="000000" w:themeColor="text1"/>
                <w:sz w:val="18"/>
                <w:szCs w:val="18"/>
              </w:rPr>
              <w:t>nfo</w:t>
            </w:r>
            <w:proofErr w:type="spellEnd"/>
            <w:r w:rsidRPr="00A10713">
              <w:rPr>
                <w:color w:val="000000" w:themeColor="text1"/>
                <w:sz w:val="18"/>
                <w:szCs w:val="18"/>
              </w:rPr>
              <w:t xml:space="preserve">, </w:t>
            </w:r>
            <w:r w:rsidRPr="00A10713">
              <w:rPr>
                <w:bCs/>
                <w:color w:val="000000" w:themeColor="text1"/>
                <w:sz w:val="18"/>
                <w:szCs w:val="18"/>
              </w:rPr>
              <w:t xml:space="preserve">except </w:t>
            </w:r>
            <w:proofErr w:type="spellStart"/>
            <w:r w:rsidRPr="00A10713">
              <w:rPr>
                <w:bCs/>
                <w:i/>
                <w:color w:val="000000" w:themeColor="text1"/>
                <w:sz w:val="18"/>
                <w:szCs w:val="18"/>
              </w:rPr>
              <w:t>SpatialRelationInfoPos</w:t>
            </w:r>
            <w:proofErr w:type="spellEnd"/>
            <w:r w:rsidRPr="00A10713">
              <w:rPr>
                <w:bCs/>
                <w:i/>
                <w:color w:val="000000" w:themeColor="text1"/>
                <w:sz w:val="18"/>
                <w:szCs w:val="18"/>
              </w:rPr>
              <w:t xml:space="preserve">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proofErr w:type="spellStart"/>
            <w:ins w:id="101" w:author="作者" w:date="2023-04-19T18:02: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102"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proofErr w:type="spellStart"/>
            <w:r w:rsidRPr="00A10713">
              <w:rPr>
                <w:i/>
                <w:iCs/>
                <w:sz w:val="18"/>
                <w:szCs w:val="18"/>
              </w:rPr>
              <w:t>tci-StatesToAddModList</w:t>
            </w:r>
            <w:proofErr w:type="spellEnd"/>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proofErr w:type="spellStart"/>
            <w:ins w:id="103" w:author="作者" w:date="2023-04-19T18:02: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104"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proofErr w:type="spellStart"/>
            <w:r w:rsidRPr="00A10713">
              <w:rPr>
                <w:i/>
                <w:iCs/>
                <w:sz w:val="18"/>
                <w:szCs w:val="18"/>
              </w:rPr>
              <w:t>bwp</w:t>
            </w:r>
            <w:proofErr w:type="spellEnd"/>
            <w:r w:rsidRPr="00A10713">
              <w:rPr>
                <w:i/>
                <w:iCs/>
                <w:sz w:val="18"/>
                <w:szCs w:val="18"/>
              </w:rPr>
              <w:t>-id</w:t>
            </w:r>
            <w:r w:rsidRPr="00A10713">
              <w:rPr>
                <w:sz w:val="18"/>
                <w:szCs w:val="18"/>
              </w:rPr>
              <w:t xml:space="preserve"> or </w:t>
            </w:r>
            <w:r w:rsidRPr="00A10713">
              <w:rPr>
                <w:i/>
                <w:iCs/>
                <w:sz w:val="18"/>
                <w:szCs w:val="18"/>
              </w:rPr>
              <w:t>cell</w:t>
            </w:r>
            <w:r w:rsidRPr="00A10713">
              <w:rPr>
                <w:sz w:val="18"/>
                <w:szCs w:val="18"/>
              </w:rPr>
              <w:t xml:space="preserve"> for QCL-</w:t>
            </w:r>
            <w:proofErr w:type="spellStart"/>
            <w:r w:rsidRPr="00A10713">
              <w:rPr>
                <w:sz w:val="18"/>
                <w:szCs w:val="18"/>
              </w:rPr>
              <w:t>TypeA</w:t>
            </w:r>
            <w:proofErr w:type="spellEnd"/>
            <w:r w:rsidRPr="00A10713">
              <w:rPr>
                <w:sz w:val="18"/>
                <w:szCs w:val="18"/>
              </w:rPr>
              <w:t>/D source RS in a QCL-Info of the TCI state is not configured, the UE assumes that QCL-</w:t>
            </w:r>
            <w:proofErr w:type="spellStart"/>
            <w:r w:rsidRPr="00A10713">
              <w:rPr>
                <w:sz w:val="18"/>
                <w:szCs w:val="18"/>
              </w:rPr>
              <w:t>TypeA</w:t>
            </w:r>
            <w:proofErr w:type="spellEnd"/>
            <w:r w:rsidRPr="00A10713">
              <w:rPr>
                <w:sz w:val="18"/>
                <w:szCs w:val="18"/>
              </w:rPr>
              <w:t xml:space="preserve">/D source RS is configured </w:t>
            </w:r>
            <w:bookmarkStart w:id="105" w:name="_Hlk86865630"/>
            <w:r w:rsidRPr="00A10713">
              <w:rPr>
                <w:sz w:val="18"/>
                <w:szCs w:val="18"/>
              </w:rPr>
              <w:t>in the CC/DL BWP where</w:t>
            </w:r>
            <w:bookmarkEnd w:id="105"/>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proofErr w:type="spellStart"/>
            <w:r w:rsidRPr="00A10713">
              <w:rPr>
                <w:i/>
                <w:sz w:val="18"/>
                <w:szCs w:val="18"/>
              </w:rPr>
              <w:t>tci-PresentInDCI</w:t>
            </w:r>
            <w:proofErr w:type="spellEnd"/>
            <w:r w:rsidRPr="00A10713">
              <w:rPr>
                <w:i/>
                <w:sz w:val="18"/>
                <w:szCs w:val="18"/>
              </w:rPr>
              <w:t xml:space="preserve">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proofErr w:type="spellStart"/>
            <w:ins w:id="106" w:author="作者" w:date="2023-04-19T18:03: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lastRenderedPageBreak/>
              <w:t>-</w:t>
            </w:r>
            <w:r w:rsidRPr="00A10713">
              <w:rPr>
                <w:sz w:val="18"/>
                <w:szCs w:val="18"/>
              </w:rPr>
              <w:tab/>
              <w:t xml:space="preserve">Set to all '0's for FDRA Type 0, or all '1's for FDRA Type 1, or all '0's for </w:t>
            </w:r>
            <w:proofErr w:type="spellStart"/>
            <w:r w:rsidRPr="00A10713">
              <w:rPr>
                <w:sz w:val="18"/>
                <w:szCs w:val="18"/>
              </w:rPr>
              <w:t>dynamicSwitch</w:t>
            </w:r>
            <w:proofErr w:type="spellEnd"/>
            <w:r w:rsidRPr="00A10713">
              <w:rPr>
                <w:sz w:val="18"/>
                <w:szCs w:val="18"/>
              </w:rPr>
              <w:t xml:space="preserve">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proofErr w:type="spellStart"/>
            <w:ins w:id="107" w:author="作者" w:date="2023-04-19T18:04: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identified during the </w:t>
            </w:r>
            <w:proofErr w:type="gramStart"/>
            <w:r w:rsidRPr="00A10713">
              <w:rPr>
                <w:sz w:val="18"/>
                <w:szCs w:val="18"/>
              </w:rPr>
              <w:t>random access</w:t>
            </w:r>
            <w:proofErr w:type="gramEnd"/>
            <w:r w:rsidRPr="00A10713">
              <w:rPr>
                <w:sz w:val="18"/>
                <w:szCs w:val="18"/>
              </w:rPr>
              <w:t xml:space="preserve">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proofErr w:type="spellStart"/>
            <w:ins w:id="108" w:author="作者" w:date="2023-04-19T18:05: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proofErr w:type="spellStart"/>
            <w:ins w:id="109" w:author="作者" w:date="2023-04-19T18:06: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0" w:name="_Hlk513025570"/>
            <w:bookmarkStart w:id="111" w:name="_Hlk89426999"/>
            <w:bookmarkStart w:id="112"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proofErr w:type="spellStart"/>
            <w:r w:rsidRPr="00A10713">
              <w:rPr>
                <w:i/>
                <w:iCs/>
                <w:sz w:val="18"/>
                <w:szCs w:val="18"/>
              </w:rPr>
              <w:t>beamCorrespondenceWithoutUL-BeamSweeping</w:t>
            </w:r>
            <w:proofErr w:type="spellEnd"/>
            <w:r w:rsidRPr="00A10713">
              <w:rPr>
                <w:sz w:val="18"/>
                <w:szCs w:val="18"/>
              </w:rPr>
              <w:t xml:space="preserve"> set to 'supported', as described in [13, TS 38.306], can determine a spatial domain filter to be used while performing the </w:t>
            </w:r>
            <w:bookmarkStart w:id="113" w:name="_Hlk87011475"/>
            <w:r w:rsidRPr="00A10713">
              <w:rPr>
                <w:sz w:val="18"/>
                <w:szCs w:val="18"/>
              </w:rPr>
              <w:t>applicable channel access procedures described in [16, TS 37.213]</w:t>
            </w:r>
            <w:bookmarkEnd w:id="113"/>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proofErr w:type="spellStart"/>
            <w:r w:rsidRPr="00A10713">
              <w:rPr>
                <w:rFonts w:eastAsia="MS Mincho"/>
                <w:i/>
                <w:iCs/>
                <w:sz w:val="18"/>
                <w:szCs w:val="18"/>
                <w:lang w:val="en-GB" w:eastAsia="ja-JP"/>
              </w:rPr>
              <w:t>referenceSignal</w:t>
            </w:r>
            <w:proofErr w:type="spellEnd"/>
            <w:r w:rsidRPr="00A10713">
              <w:rPr>
                <w:rFonts w:eastAsia="MS Mincho"/>
                <w:sz w:val="18"/>
                <w:szCs w:val="18"/>
                <w:lang w:val="en-GB" w:eastAsia="ja-JP"/>
              </w:rPr>
              <w:t xml:space="preserve"> in the corresponding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w:t>
            </w:r>
            <w:proofErr w:type="spellStart"/>
            <w:r w:rsidRPr="00A10713">
              <w:rPr>
                <w:i/>
                <w:iCs/>
                <w:sz w:val="18"/>
                <w:szCs w:val="18"/>
              </w:rPr>
              <w:t>OrJointTCI</w:t>
            </w:r>
            <w:proofErr w:type="spellEnd"/>
            <w:r w:rsidRPr="00A10713">
              <w:rPr>
                <w:i/>
                <w:iCs/>
                <w:sz w:val="18"/>
                <w:szCs w:val="18"/>
              </w:rPr>
              <w:t>-</w:t>
            </w:r>
            <w:proofErr w:type="spellStart"/>
            <w:r w:rsidRPr="00A10713">
              <w:rPr>
                <w:i/>
                <w:iCs/>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4"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proofErr w:type="spellStart"/>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the UE may use a spatial domain transmit filter that is same as the spatial domain </w:t>
            </w:r>
            <w:r w:rsidRPr="00A10713">
              <w:rPr>
                <w:sz w:val="18"/>
                <w:szCs w:val="18"/>
              </w:rPr>
              <w:lastRenderedPageBreak/>
              <w:t>receive filter the UE may use to receive the DL reference signal associated with the indicated TCI state.</w:t>
            </w:r>
          </w:p>
          <w:bookmarkEnd w:id="110"/>
          <w:bookmarkEnd w:id="111"/>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dl-</w:t>
            </w:r>
            <w:proofErr w:type="spellStart"/>
            <w:r w:rsidRPr="00A10713">
              <w:rPr>
                <w:i/>
                <w:iCs/>
                <w:color w:val="000000" w:themeColor="text1"/>
                <w:sz w:val="18"/>
                <w:szCs w:val="18"/>
                <w:lang w:eastAsia="zh-CN"/>
              </w:rPr>
              <w:t>OrJointTCI</w:t>
            </w:r>
            <w:proofErr w:type="spellEnd"/>
            <w:r w:rsidRPr="00A10713">
              <w:rPr>
                <w:i/>
                <w:iCs/>
                <w:color w:val="000000" w:themeColor="text1"/>
                <w:sz w:val="18"/>
                <w:szCs w:val="18"/>
                <w:lang w:eastAsia="zh-CN"/>
              </w:rPr>
              <w:t>-</w:t>
            </w:r>
            <w:proofErr w:type="spellStart"/>
            <w:r w:rsidRPr="00A10713">
              <w:rPr>
                <w:i/>
                <w:iCs/>
                <w:color w:val="000000" w:themeColor="text1"/>
                <w:sz w:val="18"/>
                <w:szCs w:val="18"/>
                <w:lang w:eastAsia="zh-CN"/>
              </w:rPr>
              <w:t>StateList</w:t>
            </w:r>
            <w:proofErr w:type="spellEnd"/>
            <w:r w:rsidRPr="00A10713">
              <w:rPr>
                <w:i/>
                <w:iCs/>
                <w:color w:val="000000" w:themeColor="text1"/>
                <w:sz w:val="18"/>
                <w:szCs w:val="18"/>
                <w:lang w:eastAsia="zh-CN"/>
              </w:rPr>
              <w:t xml:space="preserve">, </w:t>
            </w:r>
            <w:r w:rsidRPr="00A10713">
              <w:rPr>
                <w:sz w:val="18"/>
                <w:szCs w:val="18"/>
              </w:rPr>
              <w:t>the UE shall expect that an indicated</w:t>
            </w:r>
            <w:r w:rsidRPr="00A10713">
              <w:rPr>
                <w:i/>
                <w:iCs/>
                <w:sz w:val="18"/>
                <w:szCs w:val="18"/>
              </w:rPr>
              <w:t xml:space="preserve"> </w:t>
            </w:r>
            <w:ins w:id="115" w:author="作者" w:date="2023-04-19T18:08:00Z">
              <w:r w:rsidRPr="00A10713">
                <w:rPr>
                  <w:i/>
                  <w:iCs/>
                  <w:color w:val="000000" w:themeColor="text1"/>
                  <w:sz w:val="18"/>
                  <w:szCs w:val="18"/>
                </w:rPr>
                <w:t>TCI-State</w:t>
              </w:r>
            </w:ins>
            <w:del w:id="116"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7" w:author="作者" w:date="2023-04-19T18:08:00Z">
              <w:r w:rsidRPr="00A10713">
                <w:rPr>
                  <w:rFonts w:hint="eastAsia"/>
                  <w:i/>
                  <w:sz w:val="18"/>
                  <w:szCs w:val="18"/>
                  <w:lang w:eastAsia="zh-CN"/>
                </w:rPr>
                <w:t xml:space="preserve"> </w:t>
              </w:r>
            </w:ins>
            <w:r w:rsidRPr="00A10713">
              <w:rPr>
                <w:sz w:val="18"/>
                <w:szCs w:val="18"/>
              </w:rPr>
              <w:t xml:space="preserve">indicates one of the following quasi co-location </w:t>
            </w:r>
            <w:proofErr w:type="gramStart"/>
            <w:r w:rsidRPr="00A10713">
              <w:rPr>
                <w:sz w:val="18"/>
                <w:szCs w:val="18"/>
              </w:rPr>
              <w:t>type</w:t>
            </w:r>
            <w:proofErr w:type="gramEnd"/>
            <w:r w:rsidRPr="00A10713">
              <w:rPr>
                <w:sz w:val="18"/>
                <w:szCs w:val="18"/>
              </w:rPr>
              <w:t>(s):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and, when applicable, '</w:t>
            </w:r>
            <w:proofErr w:type="spellStart"/>
            <w:r w:rsidRPr="00A10713">
              <w:rPr>
                <w:sz w:val="18"/>
                <w:szCs w:val="18"/>
              </w:rPr>
              <w:t>typeD</w:t>
            </w:r>
            <w:proofErr w:type="spellEnd"/>
            <w:r w:rsidRPr="00A10713">
              <w:rPr>
                <w:sz w:val="18"/>
                <w:szCs w:val="18"/>
              </w:rPr>
              <w:t>'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color w:val="000000"/>
                <w:sz w:val="18"/>
                <w:szCs w:val="18"/>
              </w:rPr>
              <w:t>trs</w:t>
            </w:r>
            <w:proofErr w:type="spellEnd"/>
            <w:r w:rsidRPr="00A10713">
              <w:rPr>
                <w:i/>
                <w:color w:val="000000"/>
                <w:sz w:val="18"/>
                <w:szCs w:val="18"/>
              </w:rPr>
              <w:t>-Info</w:t>
            </w:r>
            <w:r w:rsidRPr="00A10713">
              <w:rPr>
                <w:color w:val="000000"/>
                <w:sz w:val="18"/>
                <w:szCs w:val="18"/>
              </w:rPr>
              <w:t xml:space="preserve"> and, when applicable, </w:t>
            </w:r>
            <w:r w:rsidRPr="00A10713">
              <w:rPr>
                <w:sz w:val="18"/>
                <w:szCs w:val="18"/>
              </w:rPr>
              <w:t>'</w:t>
            </w:r>
            <w:proofErr w:type="spellStart"/>
            <w:r w:rsidRPr="00A10713">
              <w:rPr>
                <w:sz w:val="18"/>
                <w:szCs w:val="18"/>
              </w:rPr>
              <w:t>typeD</w:t>
            </w:r>
            <w:proofErr w:type="spellEnd"/>
            <w:r w:rsidRPr="00A10713">
              <w:rPr>
                <w:sz w:val="18"/>
                <w:szCs w:val="18"/>
              </w:rPr>
              <w:t xml:space="preserve">' with a CSI-RS resource in an </w:t>
            </w:r>
            <w:r w:rsidRPr="00A10713">
              <w:rPr>
                <w:i/>
                <w:sz w:val="18"/>
                <w:szCs w:val="18"/>
              </w:rPr>
              <w:t>NZP-CSI-RS-</w:t>
            </w:r>
            <w:proofErr w:type="spellStart"/>
            <w:r w:rsidRPr="00A10713">
              <w:rPr>
                <w:i/>
                <w:sz w:val="18"/>
                <w:szCs w:val="18"/>
              </w:rPr>
              <w:t>ResourceSet</w:t>
            </w:r>
            <w:proofErr w:type="spellEnd"/>
            <w:r w:rsidRPr="00A10713">
              <w:rPr>
                <w:sz w:val="18"/>
                <w:szCs w:val="18"/>
              </w:rPr>
              <w:t xml:space="preserve"> configured with higher layer parameter </w:t>
            </w:r>
            <w:r w:rsidRPr="00A10713">
              <w:rPr>
                <w:i/>
                <w:sz w:val="18"/>
                <w:szCs w:val="18"/>
              </w:rPr>
              <w:t>repetition.</w:t>
            </w:r>
          </w:p>
          <w:bookmarkEnd w:id="112"/>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rPr>
                <w:b/>
                <w:color w:val="000000"/>
                <w:sz w:val="18"/>
                <w:szCs w:val="18"/>
              </w:rPr>
            </w:pPr>
            <w:bookmarkStart w:id="118" w:name="_Toc27299926"/>
            <w:bookmarkStart w:id="119" w:name="_Toc29673340"/>
            <w:bookmarkStart w:id="120" w:name="_Toc36645563"/>
            <w:bookmarkStart w:id="121" w:name="_Toc11352138"/>
            <w:bookmarkStart w:id="122" w:name="_Toc20318028"/>
            <w:bookmarkStart w:id="123" w:name="_Toc130409810"/>
            <w:bookmarkStart w:id="124" w:name="_Toc29673199"/>
            <w:bookmarkStart w:id="125" w:name="_Toc29674333"/>
            <w:bookmarkStart w:id="126" w:name="_Toc45810608"/>
            <w:r w:rsidRPr="00A10713">
              <w:rPr>
                <w:b/>
                <w:color w:val="000000"/>
                <w:sz w:val="18"/>
                <w:szCs w:val="18"/>
              </w:rPr>
              <w:t>6.1</w:t>
            </w:r>
            <w:r w:rsidRPr="00A10713">
              <w:rPr>
                <w:b/>
                <w:color w:val="000000"/>
                <w:sz w:val="18"/>
                <w:szCs w:val="18"/>
              </w:rPr>
              <w:tab/>
              <w:t>UE procedure for transmitting the physical uplink shared channel</w:t>
            </w:r>
            <w:bookmarkEnd w:id="118"/>
            <w:bookmarkEnd w:id="119"/>
            <w:bookmarkEnd w:id="120"/>
            <w:bookmarkEnd w:id="121"/>
            <w:bookmarkEnd w:id="122"/>
            <w:bookmarkEnd w:id="123"/>
            <w:bookmarkEnd w:id="124"/>
            <w:bookmarkEnd w:id="125"/>
            <w:bookmarkEnd w:id="126"/>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proofErr w:type="spellStart"/>
            <w:r w:rsidRPr="00A10713">
              <w:rPr>
                <w:i/>
                <w:color w:val="000000"/>
                <w:sz w:val="18"/>
                <w:szCs w:val="18"/>
              </w:rPr>
              <w:t>codebookSubset</w:t>
            </w:r>
            <w:proofErr w:type="spellEnd"/>
            <w:r w:rsidRPr="00A10713">
              <w:rPr>
                <w:color w:val="000000"/>
                <w:sz w:val="18"/>
                <w:szCs w:val="18"/>
              </w:rPr>
              <w:t xml:space="preserve">, </w:t>
            </w:r>
            <w:proofErr w:type="spellStart"/>
            <w:r w:rsidRPr="00A10713">
              <w:rPr>
                <w:i/>
                <w:color w:val="000000"/>
                <w:sz w:val="18"/>
                <w:szCs w:val="18"/>
              </w:rPr>
              <w:t>maxRank</w:t>
            </w:r>
            <w:proofErr w:type="spellEnd"/>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
                <w:color w:val="000000"/>
                <w:sz w:val="18"/>
                <w:szCs w:val="18"/>
              </w:rPr>
              <w:t xml:space="preserve">, </w:t>
            </w:r>
            <w:r w:rsidRPr="00A10713">
              <w:rPr>
                <w:color w:val="000000"/>
                <w:sz w:val="18"/>
                <w:szCs w:val="18"/>
              </w:rPr>
              <w:t xml:space="preserve">which are provided by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 xml:space="preserve">. For the PUSCH transmission corresponding to a Type 2 configured grant activated by DCI format 0_2,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bookmarkStart w:id="127" w:name="_Hlk48575656"/>
            <w:r w:rsidRPr="00A10713">
              <w:rPr>
                <w:i/>
                <w:color w:val="000000"/>
                <w:kern w:val="2"/>
                <w:sz w:val="18"/>
                <w:szCs w:val="18"/>
              </w:rPr>
              <w:t>codebookSubsetDCI-0-2</w:t>
            </w:r>
            <w:bookmarkEnd w:id="127"/>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proofErr w:type="spellStart"/>
            <w:r w:rsidRPr="00A10713">
              <w:rPr>
                <w:i/>
                <w:iCs/>
                <w:color w:val="000000" w:themeColor="text1"/>
                <w:sz w:val="18"/>
                <w:szCs w:val="18"/>
              </w:rPr>
              <w:t>transformPrecoder</w:t>
            </w:r>
            <w:proofErr w:type="spellEnd"/>
            <w:r w:rsidRPr="00A10713">
              <w:rPr>
                <w:iCs/>
                <w:color w:val="000000" w:themeColor="text1"/>
                <w:sz w:val="18"/>
                <w:szCs w:val="18"/>
              </w:rPr>
              <w:t xml:space="preserve"> in </w:t>
            </w:r>
            <w:proofErr w:type="spellStart"/>
            <w:r w:rsidRPr="00A10713">
              <w:rPr>
                <w:rFonts w:hint="eastAsia"/>
                <w:i/>
                <w:iCs/>
                <w:color w:val="000000" w:themeColor="text1"/>
                <w:sz w:val="18"/>
                <w:szCs w:val="18"/>
              </w:rPr>
              <w:t>configuredGrantConfig</w:t>
            </w:r>
            <w:proofErr w:type="spellEnd"/>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proofErr w:type="spellStart"/>
            <w:r w:rsidRPr="00A10713">
              <w:rPr>
                <w:i/>
                <w:color w:val="000000" w:themeColor="text1"/>
                <w:sz w:val="18"/>
                <w:szCs w:val="18"/>
              </w:rPr>
              <w:t>pusch</w:t>
            </w:r>
            <w:proofErr w:type="spellEnd"/>
            <w:r w:rsidRPr="00A10713">
              <w:rPr>
                <w:i/>
                <w:color w:val="000000" w:themeColor="text1"/>
                <w:sz w:val="18"/>
                <w:szCs w:val="18"/>
              </w:rPr>
              <w:t>-Config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proofErr w:type="spellStart"/>
            <w:ins w:id="128" w:author="作者" w:date="2023-04-19T18:14: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129"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proofErr w:type="spellStart"/>
            <w:r w:rsidRPr="00A10713">
              <w:rPr>
                <w:i/>
                <w:iCs/>
                <w:sz w:val="18"/>
                <w:szCs w:val="18"/>
              </w:rPr>
              <w:t>qcl</w:t>
            </w:r>
            <w:proofErr w:type="spellEnd"/>
            <w:r w:rsidRPr="00A10713">
              <w:rPr>
                <w:i/>
                <w:iCs/>
                <w:sz w:val="18"/>
                <w:szCs w:val="18"/>
              </w:rPr>
              <w:t>-Type</w:t>
            </w:r>
            <w:r w:rsidRPr="00A10713">
              <w:rPr>
                <w:sz w:val="18"/>
                <w:szCs w:val="18"/>
              </w:rPr>
              <w:t xml:space="preserve"> set to '</w:t>
            </w:r>
            <w:proofErr w:type="spellStart"/>
            <w:r w:rsidRPr="00A10713">
              <w:rPr>
                <w:sz w:val="18"/>
                <w:szCs w:val="18"/>
              </w:rPr>
              <w:t>typeD</w:t>
            </w:r>
            <w:proofErr w:type="spellEnd"/>
            <w:r w:rsidRPr="00A10713">
              <w:rPr>
                <w:sz w:val="18"/>
                <w:szCs w:val="18"/>
              </w:rPr>
              <w:t xml:space="preserve">'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w:t>
            </w:r>
            <w:r w:rsidRPr="00A10713">
              <w:rPr>
                <w:color w:val="000000" w:themeColor="text1"/>
                <w:sz w:val="18"/>
                <w:szCs w:val="18"/>
              </w:rPr>
              <w:t>ent</w:t>
            </w:r>
            <w:proofErr w:type="spellEnd"/>
            <w:r w:rsidRPr="00A10713">
              <w:rPr>
                <w:color w:val="000000" w:themeColor="text1"/>
                <w:sz w:val="18"/>
                <w:szCs w:val="18"/>
              </w:rPr>
              <w: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rPr>
                <w:b/>
                <w:sz w:val="18"/>
                <w:szCs w:val="18"/>
              </w:rPr>
            </w:pPr>
            <w:bookmarkStart w:id="130" w:name="_Toc36645583"/>
            <w:bookmarkStart w:id="131" w:name="_Toc20318047"/>
            <w:bookmarkStart w:id="132" w:name="_Toc29673219"/>
            <w:bookmarkStart w:id="133" w:name="_Toc11352157"/>
            <w:bookmarkStart w:id="134" w:name="_Toc27299945"/>
            <w:bookmarkStart w:id="135" w:name="_Toc45810632"/>
            <w:bookmarkStart w:id="136" w:name="_Toc29673360"/>
            <w:bookmarkStart w:id="137" w:name="_Toc29674353"/>
            <w:bookmarkStart w:id="138" w:name="_Toc130409839"/>
            <w:r w:rsidRPr="00A10713">
              <w:rPr>
                <w:b/>
                <w:sz w:val="18"/>
                <w:szCs w:val="18"/>
              </w:rPr>
              <w:t>6.2.1</w:t>
            </w:r>
            <w:r w:rsidRPr="00A10713">
              <w:rPr>
                <w:b/>
                <w:sz w:val="18"/>
                <w:szCs w:val="18"/>
              </w:rPr>
              <w:tab/>
              <w:t>UE sounding procedure</w:t>
            </w:r>
            <w:bookmarkEnd w:id="130"/>
            <w:bookmarkEnd w:id="131"/>
            <w:bookmarkEnd w:id="132"/>
            <w:bookmarkEnd w:id="133"/>
            <w:bookmarkEnd w:id="134"/>
            <w:bookmarkEnd w:id="135"/>
            <w:bookmarkEnd w:id="136"/>
            <w:bookmarkEnd w:id="137"/>
            <w:bookmarkEnd w:id="138"/>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proofErr w:type="spellStart"/>
            <w:ins w:id="139" w:author="作者" w:date="2023-04-19T18:16: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140"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proofErr w:type="spellStart"/>
            <w:r w:rsidRPr="00A10713">
              <w:rPr>
                <w:i/>
                <w:iCs/>
                <w:sz w:val="18"/>
                <w:szCs w:val="18"/>
              </w:rPr>
              <w:t>followUnifiedTCI-StateSRS</w:t>
            </w:r>
            <w:proofErr w:type="spellEnd"/>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iCs/>
                <w:sz w:val="18"/>
                <w:szCs w:val="18"/>
              </w:rPr>
              <w:t>NZP-CSI-RS-</w:t>
            </w:r>
            <w:proofErr w:type="spellStart"/>
            <w:r w:rsidRPr="00A10713">
              <w:rPr>
                <w:i/>
                <w:iCs/>
                <w:sz w:val="18"/>
                <w:szCs w:val="18"/>
              </w:rPr>
              <w:t>ResourceSet</w:t>
            </w:r>
            <w:proofErr w:type="spellEnd"/>
            <w:r w:rsidRPr="00A10713">
              <w:rPr>
                <w:i/>
                <w:iCs/>
                <w:sz w:val="18"/>
                <w:szCs w:val="18"/>
              </w:rPr>
              <w:t xml:space="preserve">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w:t>
            </w:r>
            <w:proofErr w:type="spellStart"/>
            <w:r w:rsidRPr="00A10713">
              <w:rPr>
                <w:i/>
                <w:iCs/>
                <w:sz w:val="18"/>
                <w:szCs w:val="18"/>
              </w:rPr>
              <w:t>ResourceSet</w:t>
            </w:r>
            <w:proofErr w:type="spellEnd"/>
            <w:r w:rsidRPr="00A10713">
              <w:rPr>
                <w:sz w:val="18"/>
                <w:szCs w:val="18"/>
              </w:rPr>
              <w:t xml:space="preserve"> configured with higher layer parameter </w:t>
            </w:r>
            <w:proofErr w:type="spellStart"/>
            <w:r w:rsidRPr="00A10713">
              <w:rPr>
                <w:i/>
                <w:iCs/>
                <w:sz w:val="18"/>
                <w:szCs w:val="18"/>
              </w:rPr>
              <w:t>trs</w:t>
            </w:r>
            <w:proofErr w:type="spellEnd"/>
            <w:r w:rsidRPr="00A10713">
              <w:rPr>
                <w:i/>
                <w:iCs/>
                <w:sz w:val="18"/>
                <w:szCs w:val="18"/>
              </w:rPr>
              <w:t>-Info</w:t>
            </w:r>
            <w:r w:rsidRPr="00A10713">
              <w:rPr>
                <w:sz w:val="18"/>
                <w:szCs w:val="18"/>
              </w:rPr>
              <w:t xml:space="preserve">, an SRS resource with </w:t>
            </w:r>
            <w:r w:rsidRPr="00A10713">
              <w:rPr>
                <w:color w:val="000000"/>
                <w:sz w:val="18"/>
                <w:szCs w:val="18"/>
              </w:rPr>
              <w:t xml:space="preserve">the higher layer </w:t>
            </w:r>
            <w:r w:rsidRPr="00A10713">
              <w:rPr>
                <w:color w:val="000000"/>
                <w:sz w:val="18"/>
                <w:szCs w:val="18"/>
              </w:rPr>
              <w:lastRenderedPageBreak/>
              <w:t>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beamManagement</w:t>
            </w:r>
            <w:proofErr w:type="spellEnd"/>
            <w:r w:rsidRPr="00A10713">
              <w:rPr>
                <w:color w:val="000000"/>
                <w:sz w:val="18"/>
                <w:szCs w:val="18"/>
              </w:rPr>
              <w:t xml:space="preserve">',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1"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proofErr w:type="spellStart"/>
            <w:r w:rsidRPr="00A10713">
              <w:rPr>
                <w:i/>
                <w:color w:val="000000"/>
                <w:sz w:val="18"/>
                <w:szCs w:val="18"/>
              </w:rPr>
              <w:t>spatialRelationInfo</w:t>
            </w:r>
            <w:proofErr w:type="spellEnd"/>
            <w:r w:rsidRPr="00A10713">
              <w:rPr>
                <w:color w:val="000000"/>
                <w:sz w:val="18"/>
                <w:szCs w:val="18"/>
              </w:rPr>
              <w:t xml:space="preserve"> or </w:t>
            </w:r>
            <w:proofErr w:type="spellStart"/>
            <w:r w:rsidRPr="00A10713">
              <w:rPr>
                <w:i/>
                <w:color w:val="000000"/>
                <w:sz w:val="18"/>
                <w:szCs w:val="18"/>
              </w:rPr>
              <w:t>spatialRelationInfoPos</w:t>
            </w:r>
            <w:proofErr w:type="spellEnd"/>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proofErr w:type="spellStart"/>
            <w:r w:rsidRPr="00A10713">
              <w:rPr>
                <w:i/>
                <w:color w:val="000000"/>
                <w:sz w:val="18"/>
                <w:szCs w:val="18"/>
                <w:lang w:val="en-GB"/>
              </w:rPr>
              <w:t>uplinkBWP</w:t>
            </w:r>
            <w:proofErr w:type="spellEnd"/>
            <w:r w:rsidRPr="00A10713">
              <w:rPr>
                <w:color w:val="000000"/>
                <w:sz w:val="18"/>
                <w:szCs w:val="18"/>
                <w:lang w:val="en-GB"/>
              </w:rPr>
              <w:t xml:space="preserve">, and serving cell indicated by the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w:t>
            </w:r>
            <w:proofErr w:type="spellStart"/>
            <w:r w:rsidRPr="00A10713">
              <w:rPr>
                <w:i/>
                <w:color w:val="000000"/>
                <w:sz w:val="18"/>
                <w:szCs w:val="18"/>
              </w:rPr>
              <w:t>PosResourceSet</w:t>
            </w:r>
            <w:proofErr w:type="spellEnd"/>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proofErr w:type="spellStart"/>
            <w:r w:rsidRPr="00A10713">
              <w:rPr>
                <w:i/>
                <w:sz w:val="18"/>
                <w:szCs w:val="18"/>
              </w:rPr>
              <w:t>ssb-Ncell</w:t>
            </w:r>
            <w:proofErr w:type="spellEnd"/>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proofErr w:type="spellStart"/>
            <w:ins w:id="142" w:author="作者" w:date="2023-04-19T18:16:00Z">
              <w:r w:rsidRPr="00A10713">
                <w:rPr>
                  <w:rFonts w:hint="eastAsia"/>
                  <w:i/>
                  <w:iCs/>
                  <w:color w:val="FF0000"/>
                  <w:sz w:val="18"/>
                  <w:szCs w:val="18"/>
                  <w:lang w:eastAsia="zh-CN"/>
                </w:rPr>
                <w:t>ul</w:t>
              </w:r>
              <w:proofErr w:type="spellEnd"/>
              <w:r w:rsidRPr="00A10713">
                <w:rPr>
                  <w:i/>
                  <w:iCs/>
                  <w:color w:val="FF0000"/>
                  <w:sz w:val="18"/>
                  <w:szCs w:val="18"/>
                </w:rPr>
                <w:t>-TCI-</w:t>
              </w:r>
              <w:proofErr w:type="spellStart"/>
              <w:r w:rsidRPr="00A10713">
                <w:rPr>
                  <w:i/>
                  <w:iCs/>
                  <w:color w:val="FF0000"/>
                  <w:sz w:val="18"/>
                  <w:szCs w:val="18"/>
                </w:rPr>
                <w:t>StateList</w:t>
              </w:r>
            </w:ins>
            <w:proofErr w:type="spellEnd"/>
            <w:del w:id="143"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1"/>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AA20" w14:textId="77777777" w:rsidR="00CF4849" w:rsidRDefault="00CF4849" w:rsidP="0012501F">
      <w:pPr>
        <w:spacing w:after="0" w:line="240" w:lineRule="auto"/>
      </w:pPr>
      <w:r>
        <w:separator/>
      </w:r>
    </w:p>
  </w:endnote>
  <w:endnote w:type="continuationSeparator" w:id="0">
    <w:p w14:paraId="1A8A3A5E" w14:textId="77777777" w:rsidR="00CF4849" w:rsidRDefault="00CF4849"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DD8F" w14:textId="77777777" w:rsidR="00CF4849" w:rsidRDefault="00CF4849" w:rsidP="0012501F">
      <w:pPr>
        <w:spacing w:after="0" w:line="240" w:lineRule="auto"/>
      </w:pPr>
      <w:r>
        <w:separator/>
      </w:r>
    </w:p>
  </w:footnote>
  <w:footnote w:type="continuationSeparator" w:id="0">
    <w:p w14:paraId="3A300BE6" w14:textId="77777777" w:rsidR="00CF4849" w:rsidRDefault="00CF4849"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12336695">
    <w:abstractNumId w:val="5"/>
  </w:num>
  <w:num w:numId="2" w16cid:durableId="1291205270">
    <w:abstractNumId w:val="1"/>
  </w:num>
  <w:num w:numId="3" w16cid:durableId="1896425902">
    <w:abstractNumId w:val="2"/>
  </w:num>
  <w:num w:numId="4" w16cid:durableId="1938557137">
    <w:abstractNumId w:val="3"/>
  </w:num>
  <w:num w:numId="5" w16cid:durableId="1792043499">
    <w:abstractNumId w:val="7"/>
  </w:num>
  <w:num w:numId="6" w16cid:durableId="1848667243">
    <w:abstractNumId w:val="16"/>
  </w:num>
  <w:num w:numId="7" w16cid:durableId="943269785">
    <w:abstractNumId w:val="10"/>
  </w:num>
  <w:num w:numId="8" w16cid:durableId="1544177750">
    <w:abstractNumId w:val="18"/>
  </w:num>
  <w:num w:numId="9" w16cid:durableId="1655067779">
    <w:abstractNumId w:val="11"/>
  </w:num>
  <w:num w:numId="10" w16cid:durableId="1162502716">
    <w:abstractNumId w:val="12"/>
  </w:num>
  <w:num w:numId="11" w16cid:durableId="1686519605">
    <w:abstractNumId w:val="13"/>
  </w:num>
  <w:num w:numId="12" w16cid:durableId="1166555298">
    <w:abstractNumId w:val="4"/>
  </w:num>
  <w:num w:numId="13" w16cid:durableId="1873299520">
    <w:abstractNumId w:val="9"/>
  </w:num>
  <w:num w:numId="14" w16cid:durableId="735779284">
    <w:abstractNumId w:val="17"/>
  </w:num>
  <w:num w:numId="15" w16cid:durableId="1274165870">
    <w:abstractNumId w:val="19"/>
  </w:num>
  <w:num w:numId="16" w16cid:durableId="796294805">
    <w:abstractNumId w:val="6"/>
  </w:num>
  <w:num w:numId="17" w16cid:durableId="1114832992">
    <w:abstractNumId w:val="0"/>
  </w:num>
  <w:num w:numId="18" w16cid:durableId="1323313048">
    <w:abstractNumId w:val="10"/>
  </w:num>
  <w:num w:numId="19" w16cid:durableId="1875460549">
    <w:abstractNumId w:val="10"/>
  </w:num>
  <w:num w:numId="20" w16cid:durableId="1833790297">
    <w:abstractNumId w:val="10"/>
  </w:num>
  <w:num w:numId="21" w16cid:durableId="1230572642">
    <w:abstractNumId w:val="10"/>
  </w:num>
  <w:num w:numId="22" w16cid:durableId="265306774">
    <w:abstractNumId w:val="10"/>
  </w:num>
  <w:num w:numId="23" w16cid:durableId="1112287696">
    <w:abstractNumId w:val="10"/>
  </w:num>
  <w:num w:numId="24" w16cid:durableId="1767310568">
    <w:abstractNumId w:val="14"/>
  </w:num>
  <w:num w:numId="25" w16cid:durableId="1947348536">
    <w:abstractNumId w:val="10"/>
  </w:num>
  <w:num w:numId="26" w16cid:durableId="2140419401">
    <w:abstractNumId w:val="8"/>
  </w:num>
  <w:num w:numId="27" w16cid:durableId="1265501655">
    <w:abstractNumId w:val="10"/>
  </w:num>
  <w:num w:numId="28" w16cid:durableId="1672638818">
    <w:abstractNumId w:val="10"/>
  </w:num>
  <w:num w:numId="29" w16cid:durableId="1680740663">
    <w:abstractNumId w:val="10"/>
  </w:num>
  <w:num w:numId="30" w16cid:durableId="1929925216">
    <w:abstractNumId w:val="10"/>
  </w:num>
  <w:num w:numId="31" w16cid:durableId="1788235000">
    <w:abstractNumId w:val="15"/>
  </w:num>
  <w:num w:numId="32" w16cid:durableId="37125300">
    <w:abstractNumId w:val="10"/>
  </w:num>
  <w:num w:numId="33" w16cid:durableId="16331011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01"/>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4849"/>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264C"/>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B32"/>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755A9B-386D-4023-89CC-30E73CBF19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6533</Words>
  <Characters>37239</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Lee Guo</cp:lastModifiedBy>
  <cp:revision>2</cp:revision>
  <cp:lastPrinted>2021-10-06T09:28:00Z</cp:lastPrinted>
  <dcterms:created xsi:type="dcterms:W3CDTF">2023-04-20T19:35:00Z</dcterms:created>
  <dcterms:modified xsi:type="dcterms:W3CDTF">2023-04-20T19:35:00Z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