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Heading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Heading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ListParagraph"/>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ListParagraph"/>
        <w:numPr>
          <w:ilvl w:val="1"/>
          <w:numId w:val="7"/>
        </w:numPr>
      </w:pPr>
      <w:r>
        <w:t>Support: Oppo [4], CATT [6], Qualcomm [13]</w:t>
      </w:r>
    </w:p>
    <w:p w14:paraId="47B5F555" w14:textId="77777777" w:rsidR="00E64A40" w:rsidRDefault="004E4189">
      <w:pPr>
        <w:pStyle w:val="ListParagraph"/>
        <w:numPr>
          <w:ilvl w:val="1"/>
          <w:numId w:val="7"/>
        </w:numPr>
      </w:pPr>
      <w:r>
        <w:t>Draft CR in [5] (TP CA-1-oppo)</w:t>
      </w:r>
    </w:p>
    <w:p w14:paraId="2A91A91A" w14:textId="77777777" w:rsidR="00E64A40" w:rsidRDefault="004E4189">
      <w:pPr>
        <w:pStyle w:val="ListParagraph"/>
        <w:numPr>
          <w:ilvl w:val="1"/>
          <w:numId w:val="7"/>
        </w:numPr>
      </w:pPr>
      <w:r>
        <w:t>Draft CR in [7] (TP CA-1-CATT)</w:t>
      </w:r>
    </w:p>
    <w:p w14:paraId="31112183" w14:textId="77777777" w:rsidR="00E64A40" w:rsidRDefault="004E4189">
      <w:pPr>
        <w:pStyle w:val="ListParagraph"/>
      </w:pPr>
      <w:r>
        <w:t xml:space="preserve">Alt 2: Assume UE is aware of local regulation, and UE determines if Type 2 LBT is needed to share the gNB COT </w:t>
      </w:r>
    </w:p>
    <w:p w14:paraId="793F7AF9" w14:textId="77777777" w:rsidR="00E64A40" w:rsidRDefault="004E4189">
      <w:pPr>
        <w:pStyle w:val="ListParagraph"/>
        <w:numPr>
          <w:ilvl w:val="1"/>
          <w:numId w:val="7"/>
        </w:numPr>
      </w:pPr>
      <w:r>
        <w:t>Support: ZTE [8], Nokia [10], HW [15]</w:t>
      </w:r>
    </w:p>
    <w:p w14:paraId="135DA13D" w14:textId="77777777" w:rsidR="00E64A40" w:rsidRDefault="004E4189">
      <w:pPr>
        <w:pStyle w:val="ListParagraph"/>
        <w:numPr>
          <w:ilvl w:val="1"/>
          <w:numId w:val="7"/>
        </w:numPr>
      </w:pPr>
      <w:r>
        <w:t>Draft CR in [9] (TP CA-1-ZTE)</w:t>
      </w:r>
    </w:p>
    <w:p w14:paraId="09FF6187" w14:textId="77777777" w:rsidR="00E64A40" w:rsidRDefault="004E4189">
      <w:pPr>
        <w:pStyle w:val="ListParagraph"/>
        <w:numPr>
          <w:ilvl w:val="1"/>
          <w:numId w:val="7"/>
        </w:numPr>
      </w:pPr>
      <w:r>
        <w:t>Draft CR in [11] (TP CA-1-Nokia)</w:t>
      </w:r>
    </w:p>
    <w:p w14:paraId="254D2CA5" w14:textId="77777777" w:rsidR="00E64A40" w:rsidRDefault="004E4189">
      <w:pPr>
        <w:pStyle w:val="ListParagraph"/>
        <w:numPr>
          <w:ilvl w:val="1"/>
          <w:numId w:val="7"/>
        </w:numPr>
      </w:pPr>
      <w:r>
        <w:t>Draft CR in [15] (TP CA-1-HW)</w:t>
      </w:r>
    </w:p>
    <w:p w14:paraId="1CB67D0D" w14:textId="77777777" w:rsidR="00E64A40" w:rsidRDefault="004E4189">
      <w:pPr>
        <w:pStyle w:val="ListParagraph"/>
      </w:pPr>
      <w:r>
        <w:t>Alt 3: Concludes to not support the Type 1 LBT to Type 2 or Type 3 LBT in R17</w:t>
      </w:r>
    </w:p>
    <w:p w14:paraId="1FE81DA9" w14:textId="77777777" w:rsidR="00E64A40" w:rsidRDefault="004E4189">
      <w:pPr>
        <w:pStyle w:val="ListParagraph"/>
        <w:numPr>
          <w:ilvl w:val="1"/>
          <w:numId w:val="7"/>
        </w:numPr>
      </w:pPr>
      <w:r>
        <w:t>Support: Qualcomm [13]</w:t>
      </w:r>
    </w:p>
    <w:p w14:paraId="26C6B03E" w14:textId="77777777" w:rsidR="00E64A40" w:rsidRDefault="004E4189">
      <w:pPr>
        <w:pStyle w:val="List2"/>
        <w:numPr>
          <w:ilvl w:val="0"/>
          <w:numId w:val="35"/>
        </w:numPr>
        <w:spacing w:after="120"/>
        <w:ind w:leftChars="0" w:firstLineChars="0"/>
      </w:pPr>
      <w:r>
        <w:t xml:space="preserve">Alt 4: </w:t>
      </w:r>
    </w:p>
    <w:p w14:paraId="2F63F7D1" w14:textId="77777777" w:rsidR="00E64A40" w:rsidRDefault="004E4189">
      <w:pPr>
        <w:pStyle w:val="List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ListParagraph"/>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ListParagraph"/>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ListParagraph"/>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ListParagraph"/>
      </w:pPr>
      <w:r>
        <w:t>Alt 5: reuse ra-ChannelAccess-r17 to control if Type 1 LBT can be upgraded to Type 2 or Type 3 LBT</w:t>
      </w:r>
    </w:p>
    <w:p w14:paraId="6FFB87BF" w14:textId="77777777" w:rsidR="00E64A40" w:rsidRDefault="004E4189">
      <w:pPr>
        <w:pStyle w:val="ListParagraph"/>
        <w:numPr>
          <w:ilvl w:val="1"/>
          <w:numId w:val="7"/>
        </w:numPr>
      </w:pPr>
      <w:proofErr w:type="spellStart"/>
      <w:r>
        <w:t>Suport</w:t>
      </w:r>
      <w:proofErr w:type="spellEnd"/>
      <w:r>
        <w:t xml:space="preserve">: </w:t>
      </w:r>
      <w:proofErr w:type="gramStart"/>
      <w:r>
        <w:t>vivo[</w:t>
      </w:r>
      <w:proofErr w:type="gramEnd"/>
      <w:r>
        <w:t xml:space="preserve">1], </w:t>
      </w:r>
      <w:proofErr w:type="spellStart"/>
      <w:r>
        <w:t>Wilus</w:t>
      </w:r>
      <w:proofErr w:type="spellEnd"/>
      <w:r>
        <w:t xml:space="preserve"> [16]</w:t>
      </w:r>
    </w:p>
    <w:p w14:paraId="1F939A7B" w14:textId="77777777" w:rsidR="00E64A40" w:rsidRDefault="004E4189">
      <w:pPr>
        <w:pStyle w:val="ListParagraph"/>
        <w:numPr>
          <w:ilvl w:val="1"/>
          <w:numId w:val="7"/>
        </w:numPr>
      </w:pPr>
      <w:r>
        <w:t>Draft CR in [2] (TP CA-1-vivo)</w:t>
      </w:r>
    </w:p>
    <w:p w14:paraId="7C9A3054" w14:textId="77777777" w:rsidR="00E64A40" w:rsidRDefault="004E4189">
      <w:pPr>
        <w:pStyle w:val="ListParagraph"/>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Heading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 xml:space="preserve">Huawei, </w:t>
            </w:r>
            <w:proofErr w:type="spellStart"/>
            <w:r>
              <w:rPr>
                <w:lang w:eastAsia="zh-CN"/>
              </w:rPr>
              <w:t>HiSilicon</w:t>
            </w:r>
            <w:proofErr w:type="spellEnd"/>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Malgun Gothic"/>
              </w:rPr>
            </w:pPr>
            <w:r>
              <w:rPr>
                <w:rFonts w:eastAsia="Malgun Gothic" w:hint="eastAsia"/>
              </w:rPr>
              <w:t>LG</w:t>
            </w:r>
          </w:p>
        </w:tc>
        <w:tc>
          <w:tcPr>
            <w:tcW w:w="1654" w:type="dxa"/>
          </w:tcPr>
          <w:p w14:paraId="7FCD4025" w14:textId="34520DF7" w:rsidR="00440BA1" w:rsidRPr="00440BA1" w:rsidRDefault="00440BA1">
            <w:pPr>
              <w:rPr>
                <w:rFonts w:eastAsia="Malgun Gothic"/>
              </w:rPr>
            </w:pPr>
            <w:r>
              <w:rPr>
                <w:rFonts w:eastAsia="Malgun Gothic" w:hint="eastAsia"/>
              </w:rPr>
              <w:t>N</w:t>
            </w:r>
          </w:p>
        </w:tc>
        <w:tc>
          <w:tcPr>
            <w:tcW w:w="1654" w:type="dxa"/>
          </w:tcPr>
          <w:p w14:paraId="0022CFAA" w14:textId="4AEE9D76" w:rsidR="00440BA1" w:rsidRPr="00440BA1" w:rsidRDefault="00440BA1">
            <w:pPr>
              <w:rPr>
                <w:rFonts w:eastAsia="Malgun Gothic"/>
              </w:rPr>
            </w:pPr>
            <w:r>
              <w:rPr>
                <w:rFonts w:eastAsia="Malgun Gothic" w:hint="eastAsia"/>
              </w:rPr>
              <w:t>N</w:t>
            </w:r>
          </w:p>
        </w:tc>
        <w:tc>
          <w:tcPr>
            <w:tcW w:w="1654" w:type="dxa"/>
          </w:tcPr>
          <w:p w14:paraId="52856FD1" w14:textId="3F1BA4D0" w:rsidR="00440BA1" w:rsidRPr="00440BA1" w:rsidRDefault="00440BA1">
            <w:pPr>
              <w:rPr>
                <w:rFonts w:eastAsia="Malgun Gothic"/>
              </w:rPr>
            </w:pPr>
            <w:r>
              <w:rPr>
                <w:rFonts w:eastAsia="Malgun Gothic" w:hint="eastAsia"/>
              </w:rPr>
              <w:t>N</w:t>
            </w:r>
          </w:p>
        </w:tc>
        <w:tc>
          <w:tcPr>
            <w:tcW w:w="1655" w:type="dxa"/>
          </w:tcPr>
          <w:p w14:paraId="641F9492" w14:textId="16FB22C4" w:rsidR="00440BA1" w:rsidRPr="00440BA1" w:rsidRDefault="00440BA1">
            <w:pPr>
              <w:rPr>
                <w:rFonts w:eastAsia="Malgun Gothic"/>
              </w:rPr>
            </w:pPr>
            <w:r>
              <w:rPr>
                <w:rFonts w:eastAsia="Malgun Gothic" w:hint="eastAsia"/>
              </w:rPr>
              <w:t>Y</w:t>
            </w:r>
          </w:p>
        </w:tc>
        <w:tc>
          <w:tcPr>
            <w:tcW w:w="1655" w:type="dxa"/>
          </w:tcPr>
          <w:p w14:paraId="2A937FA1" w14:textId="7AA5AFB6" w:rsidR="00440BA1" w:rsidRPr="00440BA1" w:rsidRDefault="00440BA1">
            <w:pPr>
              <w:rPr>
                <w:rFonts w:eastAsia="Malgun Gothic"/>
              </w:rPr>
            </w:pPr>
            <w:r>
              <w:rPr>
                <w:rFonts w:eastAsia="Malgun Gothic" w:hint="eastAsia"/>
              </w:rPr>
              <w:t>Y</w:t>
            </w:r>
          </w:p>
        </w:tc>
      </w:tr>
      <w:tr w:rsidR="00D27BB7" w14:paraId="00CA9914" w14:textId="77777777">
        <w:tc>
          <w:tcPr>
            <w:tcW w:w="1654" w:type="dxa"/>
          </w:tcPr>
          <w:p w14:paraId="11B53ED8" w14:textId="74065282" w:rsidR="00D27BB7" w:rsidRDefault="00D27BB7" w:rsidP="00D27BB7">
            <w:pPr>
              <w:rPr>
                <w:rFonts w:eastAsia="Malgun Gothic"/>
              </w:rPr>
            </w:pPr>
            <w:r>
              <w:rPr>
                <w:rFonts w:eastAsia="Malgun Gothic" w:hint="eastAsia"/>
              </w:rPr>
              <w:t>W</w:t>
            </w:r>
            <w:r>
              <w:rPr>
                <w:rFonts w:eastAsia="Malgun Gothic"/>
              </w:rPr>
              <w:t>ILUS</w:t>
            </w:r>
          </w:p>
        </w:tc>
        <w:tc>
          <w:tcPr>
            <w:tcW w:w="1654" w:type="dxa"/>
          </w:tcPr>
          <w:p w14:paraId="7138A9B3" w14:textId="5176A94F" w:rsidR="00D27BB7" w:rsidRDefault="00D27BB7" w:rsidP="00D27BB7">
            <w:pPr>
              <w:rPr>
                <w:rFonts w:eastAsia="Malgun Gothic"/>
              </w:rPr>
            </w:pPr>
            <w:r>
              <w:rPr>
                <w:rFonts w:eastAsia="Malgun Gothic" w:hint="eastAsia"/>
              </w:rPr>
              <w:t>Y</w:t>
            </w:r>
          </w:p>
        </w:tc>
        <w:tc>
          <w:tcPr>
            <w:tcW w:w="1654" w:type="dxa"/>
          </w:tcPr>
          <w:p w14:paraId="25D331F0" w14:textId="504A16A9" w:rsidR="00D27BB7" w:rsidRDefault="00D27BB7" w:rsidP="00D27BB7">
            <w:pPr>
              <w:rPr>
                <w:rFonts w:eastAsia="Malgun Gothic"/>
              </w:rPr>
            </w:pPr>
            <w:r>
              <w:rPr>
                <w:rFonts w:eastAsia="Malgun Gothic" w:hint="eastAsia"/>
              </w:rPr>
              <w:t>N</w:t>
            </w:r>
          </w:p>
        </w:tc>
        <w:tc>
          <w:tcPr>
            <w:tcW w:w="1654" w:type="dxa"/>
          </w:tcPr>
          <w:p w14:paraId="322F8C0B" w14:textId="3198334C" w:rsidR="00D27BB7" w:rsidRDefault="00D27BB7" w:rsidP="00D27BB7">
            <w:pPr>
              <w:rPr>
                <w:rFonts w:eastAsia="Malgun Gothic"/>
              </w:rPr>
            </w:pPr>
            <w:r>
              <w:rPr>
                <w:rFonts w:eastAsia="Malgun Gothic" w:hint="eastAsia"/>
              </w:rPr>
              <w:t>N</w:t>
            </w:r>
          </w:p>
        </w:tc>
        <w:tc>
          <w:tcPr>
            <w:tcW w:w="1655" w:type="dxa"/>
          </w:tcPr>
          <w:p w14:paraId="651C6340" w14:textId="79E3D31C" w:rsidR="00D27BB7" w:rsidRDefault="00D27BB7" w:rsidP="00D27BB7">
            <w:pPr>
              <w:rPr>
                <w:rFonts w:eastAsia="Malgun Gothic"/>
              </w:rPr>
            </w:pPr>
            <w:r>
              <w:rPr>
                <w:rFonts w:eastAsia="Malgun Gothic" w:hint="eastAsia"/>
              </w:rPr>
              <w:t>Y</w:t>
            </w:r>
          </w:p>
        </w:tc>
        <w:tc>
          <w:tcPr>
            <w:tcW w:w="1655" w:type="dxa"/>
          </w:tcPr>
          <w:p w14:paraId="0D18859D" w14:textId="3426D99A" w:rsidR="00D27BB7" w:rsidRDefault="00D27BB7" w:rsidP="00D27BB7">
            <w:pPr>
              <w:rPr>
                <w:rFonts w:eastAsia="Malgun Gothic"/>
              </w:rPr>
            </w:pPr>
            <w:r>
              <w:rPr>
                <w:rFonts w:eastAsia="Malgun Gothic" w:hint="eastAsia"/>
              </w:rPr>
              <w:t>Y</w:t>
            </w:r>
          </w:p>
        </w:tc>
      </w:tr>
      <w:tr w:rsidR="00F92C93" w14:paraId="0F48F3CB" w14:textId="77777777">
        <w:tc>
          <w:tcPr>
            <w:tcW w:w="1654" w:type="dxa"/>
          </w:tcPr>
          <w:p w14:paraId="56C9A26B" w14:textId="0AD1D7D7" w:rsidR="00F92C93" w:rsidRPr="00F92C93" w:rsidRDefault="00F92C93" w:rsidP="00D27BB7">
            <w:pPr>
              <w:rPr>
                <w:lang w:eastAsia="zh-CN"/>
              </w:rPr>
            </w:pPr>
            <w:r>
              <w:rPr>
                <w:rFonts w:hint="eastAsia"/>
                <w:lang w:eastAsia="zh-CN"/>
              </w:rPr>
              <w:t>O</w:t>
            </w:r>
            <w:r>
              <w:rPr>
                <w:lang w:eastAsia="zh-CN"/>
              </w:rPr>
              <w:t>PPO</w:t>
            </w:r>
          </w:p>
        </w:tc>
        <w:tc>
          <w:tcPr>
            <w:tcW w:w="1654" w:type="dxa"/>
          </w:tcPr>
          <w:p w14:paraId="1068CE19" w14:textId="2F521CE9" w:rsidR="00F92C93" w:rsidRPr="00F92C93" w:rsidRDefault="00F92C93" w:rsidP="00D27BB7">
            <w:pPr>
              <w:rPr>
                <w:lang w:eastAsia="zh-CN"/>
              </w:rPr>
            </w:pPr>
            <w:r>
              <w:rPr>
                <w:rFonts w:hint="eastAsia"/>
                <w:lang w:eastAsia="zh-CN"/>
              </w:rPr>
              <w:t>Y</w:t>
            </w:r>
          </w:p>
        </w:tc>
        <w:tc>
          <w:tcPr>
            <w:tcW w:w="1654" w:type="dxa"/>
          </w:tcPr>
          <w:p w14:paraId="1FB745CA" w14:textId="7C2BED42" w:rsidR="00F92C93" w:rsidRPr="00F92C93" w:rsidRDefault="00F92C93" w:rsidP="00D27BB7">
            <w:pPr>
              <w:rPr>
                <w:lang w:eastAsia="zh-CN"/>
              </w:rPr>
            </w:pPr>
            <w:r>
              <w:rPr>
                <w:rFonts w:hint="eastAsia"/>
                <w:lang w:eastAsia="zh-CN"/>
              </w:rPr>
              <w:t>Y</w:t>
            </w:r>
          </w:p>
        </w:tc>
        <w:tc>
          <w:tcPr>
            <w:tcW w:w="1654" w:type="dxa"/>
          </w:tcPr>
          <w:p w14:paraId="54FD0C68" w14:textId="3C39FC48" w:rsidR="00F92C93" w:rsidRPr="00F92C93" w:rsidRDefault="00F92C93" w:rsidP="00D27BB7">
            <w:pPr>
              <w:rPr>
                <w:lang w:eastAsia="zh-CN"/>
              </w:rPr>
            </w:pPr>
            <w:r>
              <w:rPr>
                <w:rFonts w:hint="eastAsia"/>
                <w:lang w:eastAsia="zh-CN"/>
              </w:rPr>
              <w:t>N</w:t>
            </w:r>
          </w:p>
        </w:tc>
        <w:tc>
          <w:tcPr>
            <w:tcW w:w="1655" w:type="dxa"/>
          </w:tcPr>
          <w:p w14:paraId="0AD1CA33" w14:textId="17902103" w:rsidR="00F92C93" w:rsidRPr="00F92C93" w:rsidRDefault="00F92C93" w:rsidP="00D27BB7">
            <w:pPr>
              <w:rPr>
                <w:lang w:eastAsia="zh-CN"/>
              </w:rPr>
            </w:pPr>
            <w:r>
              <w:rPr>
                <w:rFonts w:hint="eastAsia"/>
                <w:lang w:eastAsia="zh-CN"/>
              </w:rPr>
              <w:t>Y</w:t>
            </w:r>
          </w:p>
        </w:tc>
        <w:tc>
          <w:tcPr>
            <w:tcW w:w="1655" w:type="dxa"/>
          </w:tcPr>
          <w:p w14:paraId="2D46C6E4" w14:textId="0F4F352D" w:rsidR="00F92C93" w:rsidRPr="00F92C93" w:rsidRDefault="00F92C93" w:rsidP="00D27BB7">
            <w:pPr>
              <w:rPr>
                <w:lang w:eastAsia="zh-CN"/>
              </w:rPr>
            </w:pPr>
            <w:r>
              <w:rPr>
                <w:rFonts w:hint="eastAsia"/>
                <w:lang w:eastAsia="zh-CN"/>
              </w:rPr>
              <w:t>N</w:t>
            </w:r>
          </w:p>
        </w:tc>
      </w:tr>
      <w:tr w:rsidR="00D71815" w14:paraId="0F97419A" w14:textId="77777777" w:rsidTr="00D71815">
        <w:tc>
          <w:tcPr>
            <w:tcW w:w="1654" w:type="dxa"/>
          </w:tcPr>
          <w:p w14:paraId="53250E6B" w14:textId="77777777" w:rsidR="00D71815" w:rsidRDefault="00D71815" w:rsidP="00B6670C">
            <w:pPr>
              <w:rPr>
                <w:rFonts w:eastAsia="Malgun Gothic" w:hint="eastAsia"/>
              </w:rPr>
            </w:pPr>
            <w:r>
              <w:rPr>
                <w:rFonts w:eastAsia="Malgun Gothic"/>
              </w:rPr>
              <w:t>Nokia, NSB</w:t>
            </w:r>
          </w:p>
        </w:tc>
        <w:tc>
          <w:tcPr>
            <w:tcW w:w="1654" w:type="dxa"/>
          </w:tcPr>
          <w:p w14:paraId="4FA6F065" w14:textId="77777777" w:rsidR="00D71815" w:rsidRDefault="00D71815" w:rsidP="00B6670C">
            <w:pPr>
              <w:rPr>
                <w:rFonts w:eastAsia="Malgun Gothic" w:hint="eastAsia"/>
              </w:rPr>
            </w:pPr>
            <w:r>
              <w:rPr>
                <w:rFonts w:eastAsia="Malgun Gothic"/>
              </w:rPr>
              <w:t>N</w:t>
            </w:r>
          </w:p>
        </w:tc>
        <w:tc>
          <w:tcPr>
            <w:tcW w:w="1654" w:type="dxa"/>
          </w:tcPr>
          <w:p w14:paraId="52612C88" w14:textId="77777777" w:rsidR="00D71815" w:rsidRDefault="00D71815" w:rsidP="00B6670C">
            <w:pPr>
              <w:rPr>
                <w:rFonts w:eastAsia="Malgun Gothic" w:hint="eastAsia"/>
              </w:rPr>
            </w:pPr>
            <w:r>
              <w:rPr>
                <w:rFonts w:eastAsia="Malgun Gothic"/>
              </w:rPr>
              <w:t>Y(1</w:t>
            </w:r>
            <w:r w:rsidRPr="008B5131">
              <w:rPr>
                <w:rFonts w:eastAsia="Malgun Gothic"/>
                <w:vertAlign w:val="superscript"/>
              </w:rPr>
              <w:t>st</w:t>
            </w:r>
            <w:r>
              <w:rPr>
                <w:rFonts w:eastAsia="Malgun Gothic"/>
              </w:rPr>
              <w:t>)</w:t>
            </w:r>
          </w:p>
        </w:tc>
        <w:tc>
          <w:tcPr>
            <w:tcW w:w="1654" w:type="dxa"/>
          </w:tcPr>
          <w:p w14:paraId="74F62F13" w14:textId="77777777" w:rsidR="00D71815" w:rsidRDefault="00D71815" w:rsidP="00B6670C">
            <w:pPr>
              <w:rPr>
                <w:rFonts w:eastAsia="Malgun Gothic" w:hint="eastAsia"/>
              </w:rPr>
            </w:pPr>
            <w:r>
              <w:rPr>
                <w:rFonts w:eastAsia="Malgun Gothic"/>
              </w:rPr>
              <w:t>N</w:t>
            </w:r>
          </w:p>
        </w:tc>
        <w:tc>
          <w:tcPr>
            <w:tcW w:w="1655" w:type="dxa"/>
          </w:tcPr>
          <w:p w14:paraId="2378EBA8" w14:textId="77777777" w:rsidR="00D71815" w:rsidRDefault="00D71815" w:rsidP="00B6670C">
            <w:pPr>
              <w:rPr>
                <w:rFonts w:eastAsia="Malgun Gothic" w:hint="eastAsia"/>
              </w:rPr>
            </w:pPr>
            <w:r>
              <w:rPr>
                <w:rFonts w:eastAsia="Malgun Gothic"/>
              </w:rPr>
              <w:t>Y(2</w:t>
            </w:r>
            <w:r w:rsidRPr="008B5131">
              <w:rPr>
                <w:rFonts w:eastAsia="Malgun Gothic"/>
                <w:vertAlign w:val="superscript"/>
              </w:rPr>
              <w:t>nd</w:t>
            </w:r>
            <w:r>
              <w:rPr>
                <w:rFonts w:eastAsia="Malgun Gothic"/>
              </w:rPr>
              <w:t>)</w:t>
            </w:r>
          </w:p>
        </w:tc>
        <w:tc>
          <w:tcPr>
            <w:tcW w:w="1655" w:type="dxa"/>
          </w:tcPr>
          <w:p w14:paraId="70F55A54" w14:textId="77777777" w:rsidR="00D71815" w:rsidRDefault="00D71815" w:rsidP="00B6670C">
            <w:pPr>
              <w:rPr>
                <w:rFonts w:eastAsia="Malgun Gothic" w:hint="eastAsia"/>
              </w:rPr>
            </w:pPr>
            <w:r>
              <w:rPr>
                <w:rFonts w:eastAsia="Malgun Gothic"/>
              </w:rPr>
              <w:t>Y(2</w:t>
            </w:r>
            <w:r w:rsidRPr="008B5131">
              <w:rPr>
                <w:rFonts w:eastAsia="Malgun Gothic"/>
                <w:vertAlign w:val="superscript"/>
              </w:rPr>
              <w:t>nd</w:t>
            </w:r>
            <w:r>
              <w:rPr>
                <w:rFonts w:eastAsia="Malgun Gothic"/>
              </w:rPr>
              <w:t>)</w:t>
            </w:r>
          </w:p>
        </w:tc>
      </w:tr>
    </w:tbl>
    <w:p w14:paraId="7E95D5B5" w14:textId="77777777" w:rsidR="00E64A40" w:rsidRDefault="00E64A40"/>
    <w:p w14:paraId="55348DFE" w14:textId="77777777" w:rsidR="00E64A40" w:rsidRDefault="004E4189">
      <w:r>
        <w:t>Please provide additional comments below:</w:t>
      </w:r>
    </w:p>
    <w:tbl>
      <w:tblPr>
        <w:tblStyle w:val="TableGrid"/>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lastRenderedPageBreak/>
              <w:t>Qualcomm</w:t>
            </w:r>
          </w:p>
        </w:tc>
        <w:tc>
          <w:tcPr>
            <w:tcW w:w="8311" w:type="dxa"/>
          </w:tcPr>
          <w:p w14:paraId="655674DB" w14:textId="77777777" w:rsidR="00E64A40" w:rsidRDefault="004E4189">
            <w:r>
              <w:t xml:space="preserve">We don’t see a reliable way for UE to know the local regulation. </w:t>
            </w:r>
            <w:proofErr w:type="gramStart"/>
            <w:r>
              <w:t>Thus</w:t>
            </w:r>
            <w:proofErr w:type="gramEnd"/>
            <w:r>
              <w:t xml:space="preserve">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 xml:space="preserve">But if no consensus is made, we can also go </w:t>
            </w:r>
            <w:proofErr w:type="gramStart"/>
            <w:r>
              <w:rPr>
                <w:lang w:eastAsia="zh-CN"/>
              </w:rPr>
              <w:t>to  Alt</w:t>
            </w:r>
            <w:proofErr w:type="gramEnd"/>
            <w:r>
              <w:rPr>
                <w:lang w:eastAsia="zh-CN"/>
              </w:rPr>
              <w:t xml:space="preserve">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 xml:space="preserve">ZTE, </w:t>
            </w:r>
            <w:proofErr w:type="spellStart"/>
            <w:r>
              <w:rPr>
                <w:rFonts w:hint="eastAsia"/>
                <w:lang w:eastAsia="zh-CN"/>
              </w:rPr>
              <w:t>Sanechips</w:t>
            </w:r>
            <w:proofErr w:type="spellEnd"/>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Norm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w:t>
            </w:r>
            <w:r>
              <w:rPr>
                <w:lang w:eastAsia="zh-CN"/>
              </w:rPr>
              <w:lastRenderedPageBreak/>
              <w:t xml:space="preserve">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w:t>
            </w:r>
            <w:proofErr w:type="spellStart"/>
            <w:r>
              <w:rPr>
                <w:lang w:eastAsia="zh-CN"/>
              </w:rPr>
              <w:t>SCSt</w:t>
            </w:r>
            <w:proofErr w:type="spellEnd"/>
            <w:r>
              <w:rPr>
                <w:lang w:eastAsia="zh-CN"/>
              </w:rPr>
              <w:t xml:space="preserve">.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w:t>
            </w:r>
            <w:proofErr w:type="spellStart"/>
            <w:r w:rsidRPr="00614D19">
              <w:rPr>
                <w:lang w:eastAsia="zh-CN"/>
              </w:rPr>
              <w:t>SCSt</w:t>
            </w:r>
            <w:proofErr w:type="spellEnd"/>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Ok with Alt 1, Alt 2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 xml:space="preserve">or Alt. 2, UE may not obtain its location through PLMN and get local regulation in some cases. In private network, MCC code in PLMN is always set to ‘999’ and there is no location information. </w:t>
            </w:r>
            <w:proofErr w:type="gramStart"/>
            <w:r>
              <w:rPr>
                <w:lang w:eastAsia="zh-CN"/>
              </w:rPr>
              <w:t>So</w:t>
            </w:r>
            <w:proofErr w:type="gramEnd"/>
            <w:r>
              <w:rPr>
                <w:lang w:eastAsia="zh-CN"/>
              </w:rPr>
              <w:t xml:space="preserve">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proofErr w:type="gramStart"/>
            <w:r>
              <w:rPr>
                <w:lang w:eastAsia="zh-CN"/>
              </w:rPr>
              <w:t>Thus</w:t>
            </w:r>
            <w:proofErr w:type="gramEnd"/>
            <w:r>
              <w:rPr>
                <w:lang w:eastAsia="zh-CN"/>
              </w:rPr>
              <w:t xml:space="preserve">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Malgun Gothic" w:hint="eastAsia"/>
              </w:rPr>
              <w:t>LG Electronics</w:t>
            </w:r>
          </w:p>
        </w:tc>
        <w:tc>
          <w:tcPr>
            <w:tcW w:w="8311" w:type="dxa"/>
          </w:tcPr>
          <w:p w14:paraId="6927897F" w14:textId="77777777" w:rsidR="00403B9F" w:rsidRPr="00B24C03" w:rsidRDefault="00403B9F" w:rsidP="00403B9F">
            <w:pPr>
              <w:rPr>
                <w:rFonts w:eastAsia="Malgun Gothic"/>
              </w:rPr>
            </w:pPr>
            <w:r>
              <w:rPr>
                <w:rFonts w:eastAsia="Malgun Gothic" w:hint="eastAsia"/>
              </w:rPr>
              <w:t xml:space="preserve">We support Alt </w:t>
            </w:r>
            <w:r>
              <w:rPr>
                <w:rFonts w:eastAsia="Malgun Gothic"/>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t xml:space="preserve">Regarding Alt 2, </w:t>
            </w:r>
            <w:r w:rsidRPr="00B24C03">
              <w:rPr>
                <w:rFonts w:eastAsia="Yu Mincho"/>
                <w:lang w:eastAsia="ja-JP"/>
              </w:rPr>
              <w:t xml:space="preserve">Even though UE knows its geographical location and local regulations, we think that the LBT type determination within a gNB-initiated COT </w:t>
            </w:r>
            <w:r w:rsidRPr="00B24C03">
              <w:rPr>
                <w:rFonts w:eastAsia="Yu Mincho"/>
                <w:lang w:eastAsia="ja-JP"/>
              </w:rPr>
              <w:lastRenderedPageBreak/>
              <w:t>or UE-initiated COT to resume the transmission should be controlled by gNB rather 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r w:rsidR="00D27BB7" w14:paraId="058D295D" w14:textId="77777777">
        <w:tc>
          <w:tcPr>
            <w:tcW w:w="1615" w:type="dxa"/>
          </w:tcPr>
          <w:p w14:paraId="32AA2A57" w14:textId="44816541" w:rsidR="00D27BB7" w:rsidRDefault="00D27BB7" w:rsidP="00403B9F">
            <w:pPr>
              <w:rPr>
                <w:rFonts w:eastAsia="Malgun Gothic"/>
              </w:rPr>
            </w:pPr>
            <w:r>
              <w:rPr>
                <w:rFonts w:eastAsia="Malgun Gothic" w:hint="eastAsia"/>
              </w:rPr>
              <w:lastRenderedPageBreak/>
              <w:t>W</w:t>
            </w:r>
            <w:r>
              <w:rPr>
                <w:rFonts w:eastAsia="Malgun Gothic"/>
              </w:rPr>
              <w:t>ILUS</w:t>
            </w:r>
          </w:p>
        </w:tc>
        <w:tc>
          <w:tcPr>
            <w:tcW w:w="8311" w:type="dxa"/>
          </w:tcPr>
          <w:p w14:paraId="452708E6" w14:textId="36ECCD55" w:rsidR="00D27BB7" w:rsidRDefault="00D27BB7" w:rsidP="00403B9F">
            <w:pPr>
              <w:rPr>
                <w:rFonts w:eastAsia="Malgun Gothic"/>
              </w:rPr>
            </w:pPr>
            <w:r>
              <w:rPr>
                <w:rFonts w:eastAsia="Malgun Gothic" w:hint="eastAsia"/>
              </w:rPr>
              <w:t>O</w:t>
            </w:r>
            <w:r>
              <w:rPr>
                <w:rFonts w:eastAsia="Malgun Gothic"/>
              </w:rPr>
              <w:t>ur preference is to support Alt 4 or Alt 5 without any RRC</w:t>
            </w:r>
            <w:r w:rsidR="00FF18D2">
              <w:rPr>
                <w:rFonts w:eastAsia="Malgun Gothic"/>
              </w:rPr>
              <w:t xml:space="preserve">, </w:t>
            </w:r>
            <w:r>
              <w:rPr>
                <w:rFonts w:eastAsia="Malgun Gothic"/>
              </w:rPr>
              <w:t xml:space="preserve">spec impact and </w:t>
            </w:r>
            <w:r w:rsidR="007F6B25">
              <w:rPr>
                <w:rFonts w:eastAsia="Malgun Gothic"/>
              </w:rPr>
              <w:t>depending on UE’s own decision. However, we can accept to go with Alt-1</w:t>
            </w:r>
            <w:r w:rsidR="00FF18D2">
              <w:rPr>
                <w:rFonts w:eastAsia="Malgun Gothic"/>
              </w:rPr>
              <w:t xml:space="preserve"> that </w:t>
            </w:r>
            <w:r w:rsidR="00FF18D2" w:rsidRPr="00FF18D2">
              <w:rPr>
                <w:rFonts w:eastAsia="Malgun Gothic"/>
              </w:rPr>
              <w:t>Type 2 can be used if UE has indicated the corresponding capability.</w:t>
            </w:r>
          </w:p>
        </w:tc>
      </w:tr>
      <w:tr w:rsidR="00F92C93" w14:paraId="1B2BC942" w14:textId="77777777">
        <w:tc>
          <w:tcPr>
            <w:tcW w:w="1615" w:type="dxa"/>
          </w:tcPr>
          <w:p w14:paraId="1A12D516" w14:textId="5DFE0D37" w:rsidR="00F92C93" w:rsidRPr="00F92C93" w:rsidRDefault="00F92C93" w:rsidP="00403B9F">
            <w:pPr>
              <w:rPr>
                <w:lang w:eastAsia="zh-CN"/>
              </w:rPr>
            </w:pPr>
            <w:r>
              <w:rPr>
                <w:rFonts w:hint="eastAsia"/>
                <w:lang w:eastAsia="zh-CN"/>
              </w:rPr>
              <w:t>O</w:t>
            </w:r>
            <w:r>
              <w:rPr>
                <w:lang w:eastAsia="zh-CN"/>
              </w:rPr>
              <w:t>PPO</w:t>
            </w:r>
          </w:p>
        </w:tc>
        <w:tc>
          <w:tcPr>
            <w:tcW w:w="8311" w:type="dxa"/>
          </w:tcPr>
          <w:p w14:paraId="0AE48525" w14:textId="77777777" w:rsidR="00F92C93" w:rsidRDefault="00F92C93" w:rsidP="00DD0DCA">
            <w:pPr>
              <w:jc w:val="both"/>
              <w:rPr>
                <w:rFonts w:eastAsia="SimSun"/>
                <w:lang w:eastAsia="zh-CN"/>
              </w:rPr>
            </w:pPr>
            <w:r>
              <w:rPr>
                <w:lang w:eastAsia="zh-CN"/>
              </w:rPr>
              <w:t xml:space="preserve">As we pointed out in our contribution, </w:t>
            </w:r>
            <w:r w:rsidR="00DD0DCA">
              <w:rPr>
                <w:lang w:eastAsia="zh-CN"/>
              </w:rPr>
              <w:t xml:space="preserve">currently, </w:t>
            </w:r>
            <w:r w:rsidR="00DD0DCA">
              <w:rPr>
                <w:rFonts w:eastAsia="SimSun"/>
                <w:lang w:eastAsia="zh-CN"/>
              </w:rPr>
              <w:t xml:space="preserve">the DL to UL COT sharing cannot be supported for CG-PUSCH since LBT upgrade </w:t>
            </w:r>
            <w:r w:rsidR="00DD0DCA">
              <w:rPr>
                <w:lang w:eastAsia="zh-CN"/>
              </w:rPr>
              <w:t>functionality has not been introduced in FR2-2. However, we have agreed that “</w:t>
            </w:r>
            <w:r w:rsidR="00DD0DCA" w:rsidRPr="00DD0DCA">
              <w:rPr>
                <w:lang w:val="en-GB" w:eastAsia="zh-CN"/>
              </w:rPr>
              <w:t xml:space="preserve">UL to DL COT sharing is supported for FR2-2 unlicensed operation, including from </w:t>
            </w:r>
            <w:r w:rsidR="00DD0DCA" w:rsidRPr="00DD0DCA">
              <w:rPr>
                <w:color w:val="FF0000"/>
                <w:lang w:val="en-GB" w:eastAsia="zh-CN"/>
              </w:rPr>
              <w:t>dynamically scheduled UL and CG-PUSCH</w:t>
            </w:r>
            <w:r w:rsidR="00DD0DCA" w:rsidRPr="00DD0DCA">
              <w:rPr>
                <w:lang w:val="en-GB" w:eastAsia="zh-CN"/>
              </w:rPr>
              <w:t>.</w:t>
            </w:r>
            <w:r w:rsidR="00DD0DCA">
              <w:rPr>
                <w:lang w:eastAsia="zh-CN"/>
              </w:rPr>
              <w:t xml:space="preserve">” in RAN1#107-e meeting. As a result, the COT sharing mechanism in FR2-2 is incomplete and unfair to the UE side, so we suggest to introduce </w:t>
            </w:r>
            <w:r w:rsidR="00DD0DCA">
              <w:rPr>
                <w:rFonts w:eastAsia="SimSun"/>
                <w:lang w:eastAsia="zh-CN"/>
              </w:rPr>
              <w:t xml:space="preserve">LBT upgrade </w:t>
            </w:r>
            <w:r w:rsidR="00DD0DCA">
              <w:rPr>
                <w:lang w:eastAsia="zh-CN"/>
              </w:rPr>
              <w:t xml:space="preserve">functionality. </w:t>
            </w:r>
            <w:r w:rsidR="003F5FE5">
              <w:rPr>
                <w:lang w:eastAsia="zh-CN"/>
              </w:rPr>
              <w:t xml:space="preserve">To address LG’s concern, </w:t>
            </w:r>
            <w:r w:rsidR="003F5FE5">
              <w:t xml:space="preserve">Type 1 LBT to Type 2 LBT upgrade when back in gNB </w:t>
            </w:r>
            <w:proofErr w:type="gramStart"/>
            <w:r w:rsidR="003F5FE5">
              <w:t>COT(</w:t>
            </w:r>
            <w:proofErr w:type="gramEnd"/>
            <w:r w:rsidR="003F5FE5">
              <w:t xml:space="preserve">Alt 1) can </w:t>
            </w:r>
            <w:r w:rsidR="003F5FE5">
              <w:rPr>
                <w:rFonts w:eastAsia="SimSun"/>
                <w:lang w:eastAsia="zh-CN"/>
              </w:rPr>
              <w:t>guarantee the UE complying with regional regulation all the time.</w:t>
            </w:r>
          </w:p>
          <w:p w14:paraId="5F8562CA" w14:textId="216AC5EF" w:rsidR="003F5FE5" w:rsidRPr="00F92C93" w:rsidRDefault="003F5FE5" w:rsidP="00DD0DCA">
            <w:pPr>
              <w:jc w:val="both"/>
              <w:rPr>
                <w:lang w:eastAsia="zh-CN"/>
              </w:rPr>
            </w:pPr>
            <w:r>
              <w:rPr>
                <w:lang w:eastAsia="zh-CN"/>
              </w:rPr>
              <w:t>Besides, Alt 2 and Alt4 are also acceptable to us.</w:t>
            </w:r>
          </w:p>
        </w:tc>
      </w:tr>
      <w:tr w:rsidR="00D71815" w14:paraId="1FE6DBC1" w14:textId="77777777" w:rsidTr="00D71815">
        <w:tc>
          <w:tcPr>
            <w:tcW w:w="1615" w:type="dxa"/>
          </w:tcPr>
          <w:p w14:paraId="631D3152" w14:textId="77777777" w:rsidR="00D71815" w:rsidRDefault="00D71815" w:rsidP="00B6670C">
            <w:pPr>
              <w:rPr>
                <w:rFonts w:eastAsia="Malgun Gothic" w:hint="eastAsia"/>
              </w:rPr>
            </w:pPr>
            <w:r>
              <w:rPr>
                <w:rFonts w:eastAsia="Malgun Gothic"/>
              </w:rPr>
              <w:t>Nokia, NSB</w:t>
            </w:r>
          </w:p>
        </w:tc>
        <w:tc>
          <w:tcPr>
            <w:tcW w:w="8311" w:type="dxa"/>
          </w:tcPr>
          <w:p w14:paraId="71FA06E1" w14:textId="77777777" w:rsidR="00D71815" w:rsidRDefault="00D71815" w:rsidP="00B6670C">
            <w:pPr>
              <w:rPr>
                <w:rFonts w:eastAsia="Malgun Gothic" w:hint="eastAsia"/>
              </w:rPr>
            </w:pPr>
            <w:r>
              <w:rPr>
                <w:rFonts w:eastAsia="Malgun Gothic"/>
              </w:rPr>
              <w:t xml:space="preserve">In our view, it is important to support especially upgrade from Type 1 to Type 3. Type 1 </w:t>
            </w:r>
            <w:r w:rsidRPr="008B5131">
              <w:rPr>
                <w:rFonts w:eastAsia="Malgun Gothic"/>
              </w:rPr>
              <w:sym w:font="Wingdings" w:char="F0E0"/>
            </w:r>
            <w:r>
              <w:rPr>
                <w:rFonts w:eastAsia="Malgun Gothic"/>
              </w:rPr>
              <w:t xml:space="preserve"> Type 2 upgrade is less critical, but we are ok with that as well. Alt 2 would be the simplest solution. If a UE is uncertain of the regulation, it will simply not apply the LBT upgrade. Alt 1 does not provide significant benefits as the UE still needs to perform LBT in a COT. Alt 4 and Alt 5 are more complex that necessary, but we can be open to those as well.</w:t>
            </w:r>
          </w:p>
        </w:tc>
      </w:tr>
    </w:tbl>
    <w:p w14:paraId="4FB92457" w14:textId="77777777" w:rsidR="00E64A40" w:rsidRDefault="00E64A40"/>
    <w:p w14:paraId="0CB3FAE5" w14:textId="77777777" w:rsidR="00E64A40" w:rsidRDefault="004E4189">
      <w:pPr>
        <w:pStyle w:val="Heading1"/>
        <w:numPr>
          <w:ilvl w:val="0"/>
          <w:numId w:val="34"/>
        </w:numPr>
        <w:rPr>
          <w:lang w:val="en-US"/>
        </w:rPr>
      </w:pPr>
      <w:r>
        <w:t>References</w:t>
      </w:r>
    </w:p>
    <w:p w14:paraId="6FACDC22" w14:textId="77777777" w:rsidR="00E64A40" w:rsidRDefault="004E4189">
      <w:pPr>
        <w:pStyle w:val="ListParagraph"/>
        <w:numPr>
          <w:ilvl w:val="0"/>
          <w:numId w:val="37"/>
        </w:numPr>
        <w:ind w:left="360"/>
      </w:pPr>
      <w:r>
        <w:t>R1-2302466, Discussions on the support of LBT type switching in the shared COT in FR2-2, vivo</w:t>
      </w:r>
    </w:p>
    <w:p w14:paraId="5586065A" w14:textId="77777777" w:rsidR="00E64A40" w:rsidRDefault="004E4189">
      <w:pPr>
        <w:pStyle w:val="ListParagraph"/>
        <w:numPr>
          <w:ilvl w:val="0"/>
          <w:numId w:val="37"/>
        </w:numPr>
        <w:ind w:left="360"/>
      </w:pPr>
      <w:r>
        <w:t>R1-2302467, Correction on the LBT Type switching in the shared COT, vivo</w:t>
      </w:r>
    </w:p>
    <w:p w14:paraId="11AE8A3B" w14:textId="77777777" w:rsidR="00E64A40" w:rsidRDefault="004E4189">
      <w:pPr>
        <w:pStyle w:val="ListParagraph"/>
        <w:numPr>
          <w:ilvl w:val="0"/>
          <w:numId w:val="37"/>
        </w:numPr>
        <w:ind w:left="360"/>
      </w:pPr>
      <w:r>
        <w:t>Reserved</w:t>
      </w:r>
    </w:p>
    <w:p w14:paraId="6FF9C39C" w14:textId="77777777" w:rsidR="00E64A40" w:rsidRDefault="004E4189">
      <w:pPr>
        <w:pStyle w:val="ListParagraph"/>
        <w:numPr>
          <w:ilvl w:val="0"/>
          <w:numId w:val="37"/>
        </w:numPr>
        <w:ind w:left="360"/>
      </w:pPr>
      <w:r>
        <w:t>R1-2302529, Discussion on remaining issue for LBT upgrade within gNB COT, OPPO</w:t>
      </w:r>
    </w:p>
    <w:p w14:paraId="5BD23121" w14:textId="77777777" w:rsidR="00E64A40" w:rsidRDefault="004E4189">
      <w:pPr>
        <w:pStyle w:val="ListParagraph"/>
        <w:numPr>
          <w:ilvl w:val="0"/>
          <w:numId w:val="37"/>
        </w:numPr>
        <w:ind w:left="360"/>
      </w:pPr>
      <w:r>
        <w:t>R1-2302530, Draft CR on resolving issue for LBT upgrade within gNB COT, OPPO</w:t>
      </w:r>
    </w:p>
    <w:p w14:paraId="29B3A9C3" w14:textId="77777777" w:rsidR="00E64A40" w:rsidRDefault="004E4189">
      <w:pPr>
        <w:pStyle w:val="ListParagraph"/>
        <w:numPr>
          <w:ilvl w:val="0"/>
          <w:numId w:val="37"/>
        </w:numPr>
        <w:ind w:left="360"/>
      </w:pPr>
      <w:r>
        <w:t>R1-2302674, Discussion on LBT update upon detection of DCI format 2_0 for FR2-2, CATT</w:t>
      </w:r>
    </w:p>
    <w:p w14:paraId="6C847175" w14:textId="77777777" w:rsidR="00E64A40" w:rsidRDefault="004E4189">
      <w:pPr>
        <w:pStyle w:val="ListParagraph"/>
        <w:numPr>
          <w:ilvl w:val="0"/>
          <w:numId w:val="37"/>
        </w:numPr>
        <w:ind w:left="360"/>
      </w:pPr>
      <w:r>
        <w:t>R1-2302675, Draft CR on LBT update upon detection of DCI format 2_0 for FR2-2, CATT</w:t>
      </w:r>
    </w:p>
    <w:p w14:paraId="30018A9E" w14:textId="77777777" w:rsidR="00E64A40" w:rsidRDefault="004E4189">
      <w:pPr>
        <w:pStyle w:val="ListParagraph"/>
        <w:numPr>
          <w:ilvl w:val="0"/>
          <w:numId w:val="37"/>
        </w:numPr>
        <w:ind w:left="360"/>
      </w:pPr>
      <w:r>
        <w:t xml:space="preserve">R1-2302832, Discussion on LBT type update upon detection of DCI format 2-0 for FR2-2, ZTE, </w:t>
      </w:r>
      <w:proofErr w:type="spellStart"/>
      <w:r>
        <w:t>Sanechips</w:t>
      </w:r>
      <w:proofErr w:type="spellEnd"/>
    </w:p>
    <w:p w14:paraId="462FA5A4" w14:textId="77777777" w:rsidR="00E64A40" w:rsidRDefault="004E4189">
      <w:pPr>
        <w:pStyle w:val="ListParagraph"/>
        <w:numPr>
          <w:ilvl w:val="0"/>
          <w:numId w:val="37"/>
        </w:numPr>
        <w:ind w:left="360"/>
      </w:pPr>
      <w:r>
        <w:t xml:space="preserve">R1-2302833, Draft CR on LBT type update upon detection of DCI format 2-0 for FR2-2 in TS 37.213, ZTE, </w:t>
      </w:r>
      <w:proofErr w:type="spellStart"/>
      <w:r>
        <w:t>Sanechips</w:t>
      </w:r>
      <w:proofErr w:type="spellEnd"/>
    </w:p>
    <w:p w14:paraId="2CF2610B" w14:textId="77777777" w:rsidR="00E64A40" w:rsidRDefault="004E4189">
      <w:pPr>
        <w:pStyle w:val="ListParagraph"/>
        <w:numPr>
          <w:ilvl w:val="0"/>
          <w:numId w:val="37"/>
        </w:numPr>
        <w:ind w:left="360"/>
      </w:pPr>
      <w:r>
        <w:t>R1-2303093, Discussion on LBT type upgrade within a gNB COT, Nokia, Nokia Shanghai Bell</w:t>
      </w:r>
    </w:p>
    <w:p w14:paraId="69819C04" w14:textId="77777777" w:rsidR="00E64A40" w:rsidRDefault="004E4189">
      <w:pPr>
        <w:pStyle w:val="ListParagraph"/>
        <w:numPr>
          <w:ilvl w:val="0"/>
          <w:numId w:val="37"/>
        </w:numPr>
        <w:ind w:left="360"/>
      </w:pPr>
      <w:r>
        <w:t>R1-2303094, Correction on LBT Type determination within a gNB COT, Nokia, Nokia Shanghai Bell</w:t>
      </w:r>
    </w:p>
    <w:p w14:paraId="2C4B280F" w14:textId="77777777" w:rsidR="00E64A40" w:rsidRDefault="004E4189">
      <w:pPr>
        <w:pStyle w:val="ListParagraph"/>
        <w:numPr>
          <w:ilvl w:val="0"/>
          <w:numId w:val="37"/>
        </w:numPr>
        <w:ind w:left="360"/>
      </w:pPr>
      <w:r>
        <w:t>R1-2303422, Draft CR on LBT type determination within a COT for FR2-2 in TS 37.213, LG Electronics</w:t>
      </w:r>
    </w:p>
    <w:p w14:paraId="5A4CA2C9" w14:textId="77777777" w:rsidR="00E64A40" w:rsidRDefault="004E4189">
      <w:pPr>
        <w:pStyle w:val="ListParagraph"/>
        <w:numPr>
          <w:ilvl w:val="0"/>
          <w:numId w:val="37"/>
        </w:numPr>
        <w:ind w:left="360"/>
      </w:pPr>
      <w:r>
        <w:t>R1-2303566, Maintenance for channel access for FR2-2, Qualcomm Incorporated</w:t>
      </w:r>
    </w:p>
    <w:p w14:paraId="490DE2F8" w14:textId="77777777" w:rsidR="00E64A40" w:rsidRDefault="004E4189">
      <w:pPr>
        <w:pStyle w:val="ListParagraph"/>
        <w:numPr>
          <w:ilvl w:val="0"/>
          <w:numId w:val="37"/>
        </w:numPr>
        <w:ind w:left="360"/>
      </w:pPr>
      <w:r>
        <w:t>Reserved</w:t>
      </w:r>
    </w:p>
    <w:p w14:paraId="34C917CA" w14:textId="77777777" w:rsidR="00E64A40" w:rsidRDefault="004E4189">
      <w:pPr>
        <w:pStyle w:val="ListParagraph"/>
        <w:numPr>
          <w:ilvl w:val="0"/>
          <w:numId w:val="37"/>
        </w:numPr>
        <w:ind w:left="360"/>
      </w:pPr>
      <w:r>
        <w:t xml:space="preserve">R1-2303796, Corrections to UL LBT Type 1 upgrade within gNB COT in TS37.213, Huawei, </w:t>
      </w:r>
      <w:proofErr w:type="spellStart"/>
      <w:r>
        <w:t>HiSilicon</w:t>
      </w:r>
      <w:proofErr w:type="spellEnd"/>
    </w:p>
    <w:p w14:paraId="21A2761A" w14:textId="77777777" w:rsidR="00E64A40" w:rsidRDefault="004E4189">
      <w:pPr>
        <w:pStyle w:val="ListParagraph"/>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8F0A" w14:textId="77777777" w:rsidR="00634ADB" w:rsidRDefault="00634ADB" w:rsidP="0009707F">
      <w:r>
        <w:separator/>
      </w:r>
    </w:p>
  </w:endnote>
  <w:endnote w:type="continuationSeparator" w:id="0">
    <w:p w14:paraId="594DC599" w14:textId="77777777" w:rsidR="00634ADB" w:rsidRDefault="00634ADB"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2586" w14:textId="77777777" w:rsidR="00634ADB" w:rsidRDefault="00634ADB" w:rsidP="0009707F">
      <w:r>
        <w:separator/>
      </w:r>
    </w:p>
  </w:footnote>
  <w:footnote w:type="continuationSeparator" w:id="0">
    <w:p w14:paraId="1181FB8C" w14:textId="77777777" w:rsidR="00634ADB" w:rsidRDefault="00634ADB" w:rsidP="0009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86955017">
    <w:abstractNumId w:val="14"/>
  </w:num>
  <w:num w:numId="2" w16cid:durableId="439304981">
    <w:abstractNumId w:val="1"/>
  </w:num>
  <w:num w:numId="3" w16cid:durableId="1237784945">
    <w:abstractNumId w:val="0"/>
  </w:num>
  <w:num w:numId="4" w16cid:durableId="895623885">
    <w:abstractNumId w:val="22"/>
  </w:num>
  <w:num w:numId="5" w16cid:durableId="703599262">
    <w:abstractNumId w:val="34"/>
  </w:num>
  <w:num w:numId="6" w16cid:durableId="1357730640">
    <w:abstractNumId w:val="8"/>
  </w:num>
  <w:num w:numId="7" w16cid:durableId="110320587">
    <w:abstractNumId w:val="9"/>
  </w:num>
  <w:num w:numId="8" w16cid:durableId="1127158803">
    <w:abstractNumId w:val="21"/>
  </w:num>
  <w:num w:numId="9" w16cid:durableId="141384814">
    <w:abstractNumId w:val="19"/>
  </w:num>
  <w:num w:numId="10" w16cid:durableId="1478066160">
    <w:abstractNumId w:val="29"/>
  </w:num>
  <w:num w:numId="11" w16cid:durableId="82008042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410351350">
    <w:abstractNumId w:val="3"/>
  </w:num>
  <w:num w:numId="13" w16cid:durableId="1140851381">
    <w:abstractNumId w:val="10"/>
  </w:num>
  <w:num w:numId="14" w16cid:durableId="1967464667">
    <w:abstractNumId w:val="7"/>
  </w:num>
  <w:num w:numId="15" w16cid:durableId="114980456">
    <w:abstractNumId w:val="6"/>
  </w:num>
  <w:num w:numId="16" w16cid:durableId="864175153">
    <w:abstractNumId w:val="4"/>
  </w:num>
  <w:num w:numId="17" w16cid:durableId="1951932512">
    <w:abstractNumId w:val="26"/>
  </w:num>
  <w:num w:numId="18" w16cid:durableId="2095391473">
    <w:abstractNumId w:val="25"/>
  </w:num>
  <w:num w:numId="19" w16cid:durableId="1454859000">
    <w:abstractNumId w:val="33"/>
  </w:num>
  <w:num w:numId="20" w16cid:durableId="2122453504">
    <w:abstractNumId w:val="13"/>
  </w:num>
  <w:num w:numId="21" w16cid:durableId="1801193739">
    <w:abstractNumId w:val="24"/>
  </w:num>
  <w:num w:numId="22" w16cid:durableId="297298101">
    <w:abstractNumId w:val="35"/>
  </w:num>
  <w:num w:numId="23" w16cid:durableId="432289102">
    <w:abstractNumId w:val="20"/>
  </w:num>
  <w:num w:numId="24" w16cid:durableId="495845541">
    <w:abstractNumId w:val="15"/>
  </w:num>
  <w:num w:numId="25" w16cid:durableId="1620183706">
    <w:abstractNumId w:val="17"/>
  </w:num>
  <w:num w:numId="26" w16cid:durableId="305934791">
    <w:abstractNumId w:val="16"/>
  </w:num>
  <w:num w:numId="27" w16cid:durableId="562443978">
    <w:abstractNumId w:val="12"/>
  </w:num>
  <w:num w:numId="28" w16cid:durableId="1961372077">
    <w:abstractNumId w:val="5"/>
  </w:num>
  <w:num w:numId="29" w16cid:durableId="1436711944">
    <w:abstractNumId w:val="36"/>
  </w:num>
  <w:num w:numId="30" w16cid:durableId="1153642415">
    <w:abstractNumId w:val="32"/>
  </w:num>
  <w:num w:numId="31" w16cid:durableId="1704132740">
    <w:abstractNumId w:val="11"/>
  </w:num>
  <w:num w:numId="32" w16cid:durableId="2092970691">
    <w:abstractNumId w:val="28"/>
  </w:num>
  <w:num w:numId="33" w16cid:durableId="2140218739">
    <w:abstractNumId w:val="18"/>
  </w:num>
  <w:num w:numId="34" w16cid:durableId="5138332">
    <w:abstractNumId w:val="30"/>
  </w:num>
  <w:num w:numId="35" w16cid:durableId="1290891473">
    <w:abstractNumId w:val="23"/>
  </w:num>
  <w:num w:numId="36" w16cid:durableId="1039008794">
    <w:abstractNumId w:val="27"/>
  </w:num>
  <w:num w:numId="37" w16cid:durableId="136239202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5FE5"/>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4ADB"/>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8A5"/>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1DCD"/>
    <w:rsid w:val="007F23B4"/>
    <w:rsid w:val="007F2411"/>
    <w:rsid w:val="007F26ED"/>
    <w:rsid w:val="007F330B"/>
    <w:rsid w:val="007F4DC3"/>
    <w:rsid w:val="007F667E"/>
    <w:rsid w:val="007F6AC3"/>
    <w:rsid w:val="007F6B25"/>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0E5D"/>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27BB7"/>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815"/>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0DCA"/>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C93"/>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18D2"/>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DF300-98E4-4BCE-812C-DB8FB54A7926}">
  <ds:schemaRefs>
    <ds:schemaRef ds:uri="http://schemas.openxmlformats.org/officeDocument/2006/bibliography"/>
  </ds:schemaRefs>
</ds:datastoreItem>
</file>

<file path=customXml/itemProps5.xml><?xml version="1.0" encoding="utf-8"?>
<ds:datastoreItem xmlns:ds="http://schemas.openxmlformats.org/officeDocument/2006/customXml" ds:itemID="{F9E1A419-040C-44DB-A018-C30AB88452E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5016</Words>
  <Characters>28594</Characters>
  <Application>Microsoft Office Word</Application>
  <DocSecurity>0</DocSecurity>
  <Lines>238</Lines>
  <Paragraphs>67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Timo Lunttila (Nokia)</cp:lastModifiedBy>
  <cp:revision>3</cp:revision>
  <dcterms:created xsi:type="dcterms:W3CDTF">2023-04-18T06:56:00Z</dcterms:created>
  <dcterms:modified xsi:type="dcterms:W3CDTF">2023-04-18T06:56:00Z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