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8DC3" w14:textId="0F2D41F4" w:rsidR="00CF42B5" w:rsidRDefault="00100202">
      <w:pPr>
        <w:widowControl w:val="0"/>
        <w:tabs>
          <w:tab w:val="center" w:pos="4680"/>
          <w:tab w:val="right" w:pos="13892"/>
        </w:tabs>
        <w:autoSpaceDE w:val="0"/>
        <w:autoSpaceDN w:val="0"/>
        <w:adjustRightInd w:val="0"/>
        <w:snapToGrid w:val="0"/>
        <w:spacing w:after="120" w:line="259" w:lineRule="auto"/>
        <w:rPr>
          <w:rFonts w:ascii="Arial" w:eastAsia="宋体" w:hAnsi="Arial" w:cs="Arial"/>
          <w:b/>
          <w:bCs/>
          <w:sz w:val="22"/>
          <w:szCs w:val="22"/>
          <w:lang w:val="de-DE" w:eastAsia="en-US"/>
        </w:rPr>
      </w:pPr>
      <w:r>
        <w:rPr>
          <w:rFonts w:ascii="Arial" w:eastAsia="宋体" w:hAnsi="Arial" w:cs="Arial"/>
          <w:b/>
          <w:bCs/>
          <w:sz w:val="22"/>
          <w:szCs w:val="22"/>
          <w:lang w:val="de-DE" w:eastAsia="en-US"/>
        </w:rPr>
        <w:t>3GPP TSG RAN WG1#11</w:t>
      </w:r>
      <w:r w:rsidR="008102A6">
        <w:rPr>
          <w:rFonts w:ascii="Arial" w:eastAsia="宋体" w:hAnsi="Arial" w:cs="Arial"/>
          <w:b/>
          <w:bCs/>
          <w:sz w:val="22"/>
          <w:szCs w:val="22"/>
          <w:lang w:val="de-DE" w:eastAsia="en-US"/>
        </w:rPr>
        <w:t>2</w:t>
      </w:r>
      <w:r w:rsidR="00FA5A92">
        <w:rPr>
          <w:rFonts w:ascii="Arial" w:eastAsia="宋体" w:hAnsi="Arial" w:cs="Arial"/>
          <w:b/>
          <w:bCs/>
          <w:sz w:val="22"/>
          <w:szCs w:val="22"/>
          <w:lang w:val="de-DE" w:eastAsia="en-US"/>
        </w:rPr>
        <w:t>bis-e</w:t>
      </w:r>
      <w:r>
        <w:rPr>
          <w:rFonts w:ascii="Arial" w:eastAsia="宋体" w:hAnsi="Arial" w:cs="Arial"/>
          <w:b/>
          <w:bCs/>
          <w:sz w:val="22"/>
          <w:szCs w:val="22"/>
          <w:lang w:val="de-DE" w:eastAsia="en-US"/>
        </w:rPr>
        <w:tab/>
      </w:r>
      <w:r>
        <w:rPr>
          <w:rFonts w:ascii="Arial" w:eastAsia="宋体" w:hAnsi="Arial" w:cs="Arial"/>
          <w:b/>
          <w:bCs/>
          <w:sz w:val="22"/>
          <w:szCs w:val="22"/>
          <w:lang w:val="de-DE" w:eastAsia="zh-CN"/>
        </w:rPr>
        <w:tab/>
      </w:r>
      <w:r>
        <w:rPr>
          <w:rFonts w:ascii="Arial" w:eastAsia="宋体" w:hAnsi="Arial" w:cs="Arial"/>
          <w:b/>
          <w:bCs/>
          <w:sz w:val="22"/>
          <w:szCs w:val="22"/>
          <w:lang w:val="de-DE" w:eastAsia="en-US"/>
        </w:rPr>
        <w:t>R1-2</w:t>
      </w:r>
      <w:r w:rsidR="008102A6">
        <w:rPr>
          <w:rFonts w:ascii="Arial" w:eastAsia="宋体" w:hAnsi="Arial" w:cs="Arial"/>
          <w:b/>
          <w:bCs/>
          <w:sz w:val="22"/>
          <w:szCs w:val="22"/>
          <w:lang w:val="de-DE" w:eastAsia="en-US"/>
        </w:rPr>
        <w:t>3</w:t>
      </w:r>
      <w:r>
        <w:rPr>
          <w:rFonts w:ascii="Arial" w:eastAsia="宋体" w:hAnsi="Arial" w:cs="Arial"/>
          <w:b/>
          <w:bCs/>
          <w:sz w:val="22"/>
          <w:szCs w:val="22"/>
          <w:lang w:val="de-DE" w:eastAsia="en-US"/>
        </w:rPr>
        <w:t>xxxxx</w:t>
      </w:r>
    </w:p>
    <w:p w14:paraId="0D148DC4" w14:textId="6F449662" w:rsidR="00CF42B5" w:rsidRDefault="00FA5A92">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w:t>
      </w:r>
      <w:r w:rsidR="00100202">
        <w:rPr>
          <w:rFonts w:ascii="Times New Roman" w:hAnsi="Times New Roman"/>
          <w:b/>
          <w:sz w:val="24"/>
        </w:rPr>
        <w:t xml:space="preserve">, </w:t>
      </w:r>
      <w:r>
        <w:rPr>
          <w:rFonts w:ascii="Times New Roman" w:hAnsi="Times New Roman"/>
          <w:b/>
          <w:sz w:val="24"/>
        </w:rPr>
        <w:t>April</w:t>
      </w:r>
      <w:r w:rsidR="008102A6">
        <w:rPr>
          <w:rFonts w:ascii="Times New Roman" w:hAnsi="Times New Roman"/>
          <w:b/>
          <w:sz w:val="24"/>
        </w:rPr>
        <w:t xml:space="preserve"> </w:t>
      </w:r>
      <w:r>
        <w:rPr>
          <w:rFonts w:ascii="Times New Roman" w:hAnsi="Times New Roman"/>
          <w:b/>
          <w:sz w:val="24"/>
        </w:rPr>
        <w:t>1</w:t>
      </w:r>
      <w:r w:rsidR="008102A6">
        <w:rPr>
          <w:rFonts w:ascii="Times New Roman" w:hAnsi="Times New Roman"/>
          <w:b/>
          <w:sz w:val="24"/>
        </w:rPr>
        <w:t>7</w:t>
      </w:r>
      <w:r w:rsidR="008102A6" w:rsidRPr="008102A6">
        <w:rPr>
          <w:rFonts w:ascii="Times New Roman" w:hAnsi="Times New Roman"/>
          <w:b/>
          <w:sz w:val="24"/>
          <w:vertAlign w:val="superscript"/>
        </w:rPr>
        <w:t>th</w:t>
      </w:r>
      <w:r w:rsidR="008102A6">
        <w:rPr>
          <w:rFonts w:ascii="Times New Roman" w:hAnsi="Times New Roman"/>
          <w:b/>
          <w:sz w:val="24"/>
        </w:rPr>
        <w:t xml:space="preserve"> – </w:t>
      </w:r>
      <w:r>
        <w:rPr>
          <w:rFonts w:ascii="Times New Roman" w:hAnsi="Times New Roman"/>
          <w:b/>
          <w:sz w:val="24"/>
        </w:rPr>
        <w:t>April</w:t>
      </w:r>
      <w:r w:rsidR="008102A6">
        <w:rPr>
          <w:rFonts w:ascii="Times New Roman" w:hAnsi="Times New Roman"/>
          <w:b/>
          <w:sz w:val="24"/>
        </w:rPr>
        <w:t xml:space="preserve"> </w:t>
      </w:r>
      <w:r>
        <w:rPr>
          <w:rFonts w:ascii="Times New Roman" w:hAnsi="Times New Roman"/>
          <w:b/>
          <w:sz w:val="24"/>
        </w:rPr>
        <w:t>26</w:t>
      </w:r>
      <w:r w:rsidRPr="00FA5A92">
        <w:rPr>
          <w:rFonts w:ascii="Times New Roman" w:hAnsi="Times New Roman"/>
          <w:b/>
          <w:sz w:val="24"/>
          <w:vertAlign w:val="superscript"/>
        </w:rPr>
        <w:t>th</w:t>
      </w:r>
      <w:r w:rsidR="00100202">
        <w:rPr>
          <w:rFonts w:ascii="Times New Roman" w:hAnsi="Times New Roman"/>
          <w:b/>
          <w:sz w:val="24"/>
        </w:rPr>
        <w:t>, 202</w:t>
      </w:r>
      <w:bookmarkEnd w:id="0"/>
      <w:r w:rsidR="008102A6">
        <w:rPr>
          <w:rFonts w:ascii="Times New Roman" w:hAnsi="Times New Roman"/>
          <w:b/>
          <w:sz w:val="24"/>
        </w:rPr>
        <w:t>3</w:t>
      </w:r>
    </w:p>
    <w:bookmarkEnd w:id="1"/>
    <w:p w14:paraId="0D148DC5" w14:textId="77777777" w:rsidR="00CF42B5" w:rsidRDefault="00CF42B5">
      <w:pPr>
        <w:pBdr>
          <w:top w:val="single" w:sz="4" w:space="2" w:color="auto"/>
        </w:pBdr>
        <w:autoSpaceDE w:val="0"/>
        <w:autoSpaceDN w:val="0"/>
        <w:adjustRightInd w:val="0"/>
        <w:snapToGrid w:val="0"/>
        <w:spacing w:line="259" w:lineRule="auto"/>
        <w:rPr>
          <w:rFonts w:ascii="Arial" w:eastAsia="宋体" w:hAnsi="Arial" w:cs="Arial"/>
          <w:b/>
          <w:kern w:val="2"/>
          <w:szCs w:val="22"/>
          <w:highlight w:val="yellow"/>
          <w:lang w:val="en-GB" w:eastAsia="zh-CN"/>
        </w:rPr>
      </w:pPr>
    </w:p>
    <w:p w14:paraId="0D148DC6" w14:textId="7EDF8E3E"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Agenda Item:</w:t>
      </w:r>
      <w:r>
        <w:rPr>
          <w:rFonts w:ascii="Arial" w:eastAsia="宋体" w:hAnsi="Arial" w:cs="Arial"/>
          <w:b/>
          <w:bCs/>
          <w:sz w:val="22"/>
          <w:szCs w:val="20"/>
          <w:lang w:val="en-GB" w:eastAsia="zh-CN"/>
        </w:rPr>
        <w:tab/>
      </w:r>
      <w:r w:rsidR="00FA5A92">
        <w:rPr>
          <w:rFonts w:ascii="Arial" w:eastAsia="宋体" w:hAnsi="Arial" w:cs="Arial"/>
          <w:b/>
          <w:bCs/>
          <w:sz w:val="22"/>
          <w:szCs w:val="20"/>
          <w:lang w:val="en-GB" w:eastAsia="zh-CN"/>
        </w:rPr>
        <w:t>7</w:t>
      </w:r>
      <w:r>
        <w:rPr>
          <w:rFonts w:ascii="Arial" w:eastAsia="宋体" w:hAnsi="Arial" w:cs="Arial"/>
          <w:b/>
          <w:bCs/>
          <w:sz w:val="22"/>
          <w:szCs w:val="20"/>
          <w:lang w:val="en-GB" w:eastAsia="zh-CN"/>
        </w:rPr>
        <w:t>.2</w:t>
      </w:r>
    </w:p>
    <w:p w14:paraId="0D148DC7" w14:textId="063E5829"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Source:</w:t>
      </w:r>
      <w:r>
        <w:rPr>
          <w:rFonts w:ascii="Arial" w:eastAsia="宋体" w:hAnsi="Arial" w:cs="Arial"/>
          <w:b/>
          <w:bCs/>
          <w:sz w:val="22"/>
          <w:szCs w:val="20"/>
          <w:lang w:val="en-GB" w:eastAsia="zh-CN"/>
        </w:rPr>
        <w:tab/>
      </w:r>
      <w:r w:rsidR="00BB005D">
        <w:rPr>
          <w:rFonts w:ascii="Arial" w:eastAsia="宋体" w:hAnsi="Arial" w:cs="Arial"/>
          <w:b/>
          <w:bCs/>
          <w:sz w:val="22"/>
          <w:szCs w:val="20"/>
          <w:lang w:val="en-GB" w:eastAsia="zh-CN"/>
        </w:rPr>
        <w:t>Qualcomm (Mo</w:t>
      </w:r>
      <w:r>
        <w:rPr>
          <w:rFonts w:ascii="Arial" w:eastAsia="宋体" w:hAnsi="Arial" w:cs="Arial"/>
          <w:b/>
          <w:bCs/>
          <w:sz w:val="22"/>
          <w:szCs w:val="20"/>
          <w:lang w:val="en-GB" w:eastAsia="zh-CN"/>
        </w:rPr>
        <w:t>derator)</w:t>
      </w:r>
    </w:p>
    <w:p w14:paraId="0D148DC8" w14:textId="20C8CD13"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Title:</w:t>
      </w:r>
      <w:r>
        <w:rPr>
          <w:rFonts w:ascii="Arial" w:eastAsia="宋体" w:hAnsi="Arial" w:cs="Arial"/>
          <w:b/>
          <w:bCs/>
          <w:sz w:val="22"/>
          <w:szCs w:val="20"/>
          <w:lang w:val="en-GB" w:eastAsia="zh-CN"/>
        </w:rPr>
        <w:tab/>
      </w:r>
      <w:r w:rsidR="00BB005D">
        <w:rPr>
          <w:rFonts w:ascii="Arial" w:eastAsia="宋体" w:hAnsi="Arial" w:cs="Arial"/>
          <w:b/>
          <w:bCs/>
          <w:sz w:val="22"/>
          <w:szCs w:val="20"/>
          <w:lang w:val="en-GB" w:eastAsia="zh-CN"/>
        </w:rPr>
        <w:t>E</w:t>
      </w:r>
      <w:r w:rsidR="00BE18EE">
        <w:rPr>
          <w:rFonts w:ascii="Arial" w:eastAsia="宋体" w:hAnsi="Arial" w:cs="Arial"/>
          <w:b/>
          <w:bCs/>
          <w:sz w:val="22"/>
          <w:szCs w:val="20"/>
          <w:lang w:val="en-GB" w:eastAsia="zh-CN"/>
        </w:rPr>
        <w:t xml:space="preserve">mail discussion on issue CA-1 of </w:t>
      </w:r>
      <w:r w:rsidR="00F44F1D">
        <w:rPr>
          <w:rFonts w:ascii="Arial" w:eastAsia="宋体" w:hAnsi="Arial" w:cs="Arial"/>
          <w:b/>
          <w:bCs/>
          <w:sz w:val="22"/>
          <w:szCs w:val="20"/>
          <w:lang w:val="en-GB" w:eastAsia="zh-CN"/>
        </w:rPr>
        <w:t xml:space="preserve">channel access of Rel.17 </w:t>
      </w:r>
      <w:r>
        <w:rPr>
          <w:rFonts w:ascii="Arial" w:eastAsia="宋体" w:hAnsi="Arial" w:cs="Arial"/>
          <w:b/>
          <w:bCs/>
          <w:sz w:val="22"/>
          <w:szCs w:val="20"/>
          <w:lang w:val="en-GB" w:eastAsia="zh-CN"/>
        </w:rPr>
        <w:t xml:space="preserve">FR2-2 </w:t>
      </w:r>
    </w:p>
    <w:p w14:paraId="0D148DC9" w14:textId="77777777" w:rsidR="00CF42B5" w:rsidRDefault="00100202">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Document for:</w:t>
      </w:r>
      <w:r>
        <w:rPr>
          <w:rFonts w:ascii="Arial" w:eastAsia="宋体" w:hAnsi="Arial" w:cs="Arial"/>
          <w:b/>
          <w:bCs/>
          <w:sz w:val="22"/>
          <w:szCs w:val="20"/>
          <w:lang w:val="en-GB" w:eastAsia="zh-CN"/>
        </w:rPr>
        <w:tab/>
        <w:t>Discussion, Decision</w:t>
      </w:r>
    </w:p>
    <w:p w14:paraId="0D148DCA" w14:textId="77777777" w:rsidR="00CF42B5" w:rsidRDefault="00CF42B5">
      <w:pPr>
        <w:ind w:left="360" w:hanging="360"/>
      </w:pPr>
    </w:p>
    <w:p w14:paraId="0D148DCB" w14:textId="77777777" w:rsidR="00CF42B5" w:rsidRDefault="00100202">
      <w:pPr>
        <w:pStyle w:val="1"/>
        <w:numPr>
          <w:ilvl w:val="0"/>
          <w:numId w:val="33"/>
        </w:numPr>
      </w:pPr>
      <w:r>
        <w:t>Introduction</w:t>
      </w:r>
    </w:p>
    <w:p w14:paraId="1E596350" w14:textId="3B9DD7CC" w:rsidR="00941D04" w:rsidRDefault="00BE18EE">
      <w:pPr>
        <w:snapToGrid w:val="0"/>
        <w:spacing w:after="60" w:line="288" w:lineRule="auto"/>
        <w:jc w:val="both"/>
        <w:rPr>
          <w:lang w:val="en-GB"/>
        </w:rPr>
      </w:pPr>
      <w:r>
        <w:rPr>
          <w:lang w:val="en-GB"/>
        </w:rPr>
        <w:t>This document summarizes the email discussion for the following thread:</w:t>
      </w:r>
    </w:p>
    <w:p w14:paraId="4B4E0F08" w14:textId="77777777" w:rsidR="00BE18EE" w:rsidRPr="00E47BF3" w:rsidRDefault="00BE18EE" w:rsidP="00BE18EE">
      <w:pPr>
        <w:rPr>
          <w:highlight w:val="cyan"/>
          <w:lang w:eastAsia="x-none"/>
        </w:rPr>
      </w:pPr>
      <w:r w:rsidRPr="00E47BF3">
        <w:rPr>
          <w:highlight w:val="cyan"/>
          <w:lang w:eastAsia="x-none"/>
        </w:rPr>
        <w:t>[112bis-e-R17-FR2_2-01] Email discussion on Rel-17 FR2_2 maintenance for channel access mechanism issue CA-1 (from RAN1#112) by April 20 – Jing (Qualcomm)</w:t>
      </w:r>
    </w:p>
    <w:p w14:paraId="2D1CF775" w14:textId="77777777" w:rsidR="00BE18EE" w:rsidRDefault="00BE18EE">
      <w:pPr>
        <w:snapToGrid w:val="0"/>
        <w:spacing w:after="60" w:line="288" w:lineRule="auto"/>
        <w:jc w:val="both"/>
        <w:rPr>
          <w:lang w:val="en-GB"/>
        </w:rPr>
      </w:pPr>
    </w:p>
    <w:p w14:paraId="591F8444" w14:textId="77777777" w:rsidR="00995DAE" w:rsidRDefault="00995DAE">
      <w:pPr>
        <w:snapToGrid w:val="0"/>
        <w:spacing w:after="60" w:line="288" w:lineRule="auto"/>
        <w:jc w:val="both"/>
        <w:rPr>
          <w:lang w:val="en-GB"/>
        </w:rPr>
      </w:pPr>
    </w:p>
    <w:p w14:paraId="19BE7A32" w14:textId="30681890" w:rsidR="00995DAE" w:rsidRPr="004206CE" w:rsidRDefault="00995DAE">
      <w:pPr>
        <w:pStyle w:val="1"/>
        <w:numPr>
          <w:ilvl w:val="0"/>
          <w:numId w:val="33"/>
        </w:numPr>
        <w:rPr>
          <w:lang w:val="en-US"/>
        </w:rPr>
      </w:pPr>
      <w:r w:rsidRPr="004206CE">
        <w:rPr>
          <w:lang w:val="en-US"/>
        </w:rPr>
        <w:t>Issue CA-1</w:t>
      </w:r>
    </w:p>
    <w:p w14:paraId="24831E70" w14:textId="68990A3D" w:rsidR="00995DAE" w:rsidRDefault="00CC6AE3" w:rsidP="00995DAE">
      <w:r>
        <w:t xml:space="preserve">This issue is about </w:t>
      </w:r>
      <w:r w:rsidR="005F2507" w:rsidRPr="00CC6AE3">
        <w:t>Type 1 LBT to Type 2</w:t>
      </w:r>
      <w:r w:rsidR="005F2507">
        <w:t xml:space="preserve"> or Type 3</w:t>
      </w:r>
      <w:r w:rsidR="005F2507" w:rsidRPr="00CC6AE3">
        <w:t xml:space="preserve"> LBT upgrade when back in gNB COT for FR2-2 unlicensed operation in R17</w:t>
      </w:r>
      <w:r w:rsidRPr="00CC6AE3">
        <w:t>.</w:t>
      </w:r>
      <w:r w:rsidR="000232D9">
        <w:t xml:space="preserve"> The following proposals are collected in the submitted papers</w:t>
      </w:r>
    </w:p>
    <w:p w14:paraId="32671ABC" w14:textId="2C40F192" w:rsidR="00961829" w:rsidRDefault="00961829" w:rsidP="00995DAE"/>
    <w:p w14:paraId="528031EC" w14:textId="3B36B7A0" w:rsidR="00961829" w:rsidRPr="00961829" w:rsidRDefault="00961829" w:rsidP="00961829">
      <w:pPr>
        <w:pStyle w:val="Proposal"/>
        <w:rPr>
          <w:rStyle w:val="apple-converted-space"/>
        </w:rPr>
      </w:pPr>
      <w:r w:rsidRPr="00961829">
        <w:rPr>
          <w:rStyle w:val="apple-converted-space"/>
        </w:rPr>
        <w:t>Discussion CA-1</w:t>
      </w:r>
    </w:p>
    <w:p w14:paraId="18F5F043" w14:textId="522AB008" w:rsidR="00961829" w:rsidRPr="00AD27C6" w:rsidRDefault="005F2507" w:rsidP="005F2507">
      <w:r w:rsidRPr="00AD27C6">
        <w:t>On Type 1 LBT to Type 2 or Type 3 LBT upgrade when back in gNB COT for FR2-2 unlicensed operation in R17</w:t>
      </w:r>
    </w:p>
    <w:p w14:paraId="44940006" w14:textId="761522B5" w:rsidR="000232D9" w:rsidRPr="00AD27C6" w:rsidRDefault="000232D9" w:rsidP="00141863">
      <w:pPr>
        <w:pStyle w:val="a0"/>
      </w:pPr>
      <w:r w:rsidRPr="00AD27C6">
        <w:t>Alt 1: Type 1 LBT to Type 2 LBT upgrade when back in gNB COT for FR2-2 unlicensed operation in R17</w:t>
      </w:r>
      <w:r w:rsidR="0003621E" w:rsidRPr="00AD27C6">
        <w:t>, if UE supports Type 2 LBT</w:t>
      </w:r>
      <w:r w:rsidR="00DB0679" w:rsidRPr="00AD27C6">
        <w:t>. Otherwise, if UE does not support Type 2 LBT, Type 1 LBT upgrade when back in gNB COT is not supported</w:t>
      </w:r>
    </w:p>
    <w:p w14:paraId="4D7162EB" w14:textId="050E22F4" w:rsidR="00A645BA" w:rsidRPr="0044792F" w:rsidRDefault="00A645BA" w:rsidP="00A645BA">
      <w:pPr>
        <w:pStyle w:val="a0"/>
        <w:numPr>
          <w:ilvl w:val="1"/>
          <w:numId w:val="36"/>
        </w:numPr>
      </w:pPr>
      <w:r w:rsidRPr="0044792F">
        <w:t>Support: Oppo [</w:t>
      </w:r>
      <w:r w:rsidR="00AD27C6" w:rsidRPr="0044792F">
        <w:t>4</w:t>
      </w:r>
      <w:r w:rsidRPr="0044792F">
        <w:t>], CATT [</w:t>
      </w:r>
      <w:r w:rsidR="0044792F" w:rsidRPr="0044792F">
        <w:t>6</w:t>
      </w:r>
      <w:r w:rsidRPr="0044792F">
        <w:t>]</w:t>
      </w:r>
      <w:r w:rsidR="00D216AB">
        <w:t>, Qualcomm [13]</w:t>
      </w:r>
    </w:p>
    <w:p w14:paraId="4E8D9103" w14:textId="02E83627" w:rsidR="00C10BD0" w:rsidRPr="00AD27C6" w:rsidRDefault="00C10BD0" w:rsidP="00C10BD0">
      <w:pPr>
        <w:pStyle w:val="a0"/>
        <w:numPr>
          <w:ilvl w:val="1"/>
          <w:numId w:val="36"/>
        </w:numPr>
      </w:pPr>
      <w:r w:rsidRPr="00AD27C6">
        <w:t>Draft CR in [</w:t>
      </w:r>
      <w:r w:rsidR="00AD27C6" w:rsidRPr="00AD27C6">
        <w:t>5</w:t>
      </w:r>
      <w:r w:rsidRPr="00AD27C6">
        <w:t>]</w:t>
      </w:r>
      <w:r w:rsidR="000E517B" w:rsidRPr="00AD27C6">
        <w:t xml:space="preserve"> </w:t>
      </w:r>
      <w:r w:rsidR="0038088C" w:rsidRPr="00AD27C6">
        <w:t>(</w:t>
      </w:r>
      <w:r w:rsidR="00AC70A6" w:rsidRPr="00AD27C6">
        <w:t>TP CA-1-</w:t>
      </w:r>
      <w:r w:rsidR="00AD27C6" w:rsidRPr="00AD27C6">
        <w:t>oppo</w:t>
      </w:r>
      <w:r w:rsidR="0038088C" w:rsidRPr="00AD27C6">
        <w:t>)</w:t>
      </w:r>
    </w:p>
    <w:p w14:paraId="47502043" w14:textId="0473DA3F" w:rsidR="001E7B8B" w:rsidRPr="0044792F" w:rsidRDefault="001E7B8B" w:rsidP="00C10BD0">
      <w:pPr>
        <w:pStyle w:val="a0"/>
        <w:numPr>
          <w:ilvl w:val="1"/>
          <w:numId w:val="36"/>
        </w:numPr>
      </w:pPr>
      <w:r w:rsidRPr="0044792F">
        <w:t>Draft CR in [</w:t>
      </w:r>
      <w:r w:rsidR="0044792F" w:rsidRPr="0044792F">
        <w:t>7</w:t>
      </w:r>
      <w:r w:rsidRPr="0044792F">
        <w:t>]</w:t>
      </w:r>
      <w:r w:rsidR="00F21A06" w:rsidRPr="0044792F">
        <w:t xml:space="preserve"> </w:t>
      </w:r>
      <w:r w:rsidR="0038088C" w:rsidRPr="0044792F">
        <w:t>(</w:t>
      </w:r>
      <w:r w:rsidR="00F21A06" w:rsidRPr="0044792F">
        <w:t>TP CA-1-</w:t>
      </w:r>
      <w:r w:rsidR="0044792F" w:rsidRPr="0044792F">
        <w:t>CATT</w:t>
      </w:r>
      <w:r w:rsidR="0038088C" w:rsidRPr="0044792F">
        <w:t>)</w:t>
      </w:r>
    </w:p>
    <w:p w14:paraId="020A1499" w14:textId="77777777" w:rsidR="0038088C" w:rsidRPr="00745C7E" w:rsidRDefault="00333CEB" w:rsidP="00333CEB">
      <w:pPr>
        <w:pStyle w:val="a0"/>
      </w:pPr>
      <w:r w:rsidRPr="00745C7E">
        <w:t>Alt 2: Assume UE is aware of local regulation</w:t>
      </w:r>
      <w:r w:rsidR="00A84546" w:rsidRPr="00745C7E">
        <w:t>, and UE determines if Type 2 LBT is needed to share the gNB COT</w:t>
      </w:r>
      <w:r w:rsidR="00A53D6B" w:rsidRPr="00745C7E">
        <w:t xml:space="preserve"> </w:t>
      </w:r>
    </w:p>
    <w:p w14:paraId="1ED8AA85" w14:textId="48A705CD" w:rsidR="00333CEB" w:rsidRPr="00745C7E" w:rsidRDefault="0038088C" w:rsidP="0038088C">
      <w:pPr>
        <w:pStyle w:val="a0"/>
        <w:numPr>
          <w:ilvl w:val="1"/>
          <w:numId w:val="36"/>
        </w:numPr>
      </w:pPr>
      <w:r w:rsidRPr="00745C7E">
        <w:t xml:space="preserve">Support: ZTE </w:t>
      </w:r>
      <w:r w:rsidR="00A53D6B" w:rsidRPr="00745C7E">
        <w:t>[</w:t>
      </w:r>
      <w:r w:rsidR="00745C7E" w:rsidRPr="00745C7E">
        <w:t>8</w:t>
      </w:r>
      <w:r w:rsidR="00A53D6B" w:rsidRPr="00745C7E">
        <w:t>]</w:t>
      </w:r>
      <w:r w:rsidR="00D0263E">
        <w:t>, Nokia [10]</w:t>
      </w:r>
      <w:r w:rsidR="00CE27E4">
        <w:t>, HW [</w:t>
      </w:r>
      <w:r w:rsidR="00740052">
        <w:t>15]</w:t>
      </w:r>
    </w:p>
    <w:p w14:paraId="07E6126A" w14:textId="281ACAC2" w:rsidR="0038088C" w:rsidRDefault="0038088C" w:rsidP="0038088C">
      <w:pPr>
        <w:pStyle w:val="a0"/>
        <w:numPr>
          <w:ilvl w:val="1"/>
          <w:numId w:val="36"/>
        </w:numPr>
      </w:pPr>
      <w:r w:rsidRPr="00745C7E">
        <w:t>Draft CR in [</w:t>
      </w:r>
      <w:r w:rsidR="00745C7E" w:rsidRPr="00745C7E">
        <w:t>9</w:t>
      </w:r>
      <w:r w:rsidRPr="00745C7E">
        <w:t>] (TP CA-1-</w:t>
      </w:r>
      <w:r w:rsidR="00745C7E" w:rsidRPr="00745C7E">
        <w:t>ZTE</w:t>
      </w:r>
      <w:r w:rsidRPr="00745C7E">
        <w:t>)</w:t>
      </w:r>
    </w:p>
    <w:p w14:paraId="6EB8A5F6" w14:textId="285BB302" w:rsidR="001608C7" w:rsidRDefault="001608C7" w:rsidP="0038088C">
      <w:pPr>
        <w:pStyle w:val="a0"/>
        <w:numPr>
          <w:ilvl w:val="1"/>
          <w:numId w:val="36"/>
        </w:numPr>
      </w:pPr>
      <w:r>
        <w:t>Draft CR in [11] (TP CA-1-Nokia)</w:t>
      </w:r>
    </w:p>
    <w:p w14:paraId="07C5B638" w14:textId="2D630DA0" w:rsidR="00740052" w:rsidRPr="00745C7E" w:rsidRDefault="00740052" w:rsidP="0038088C">
      <w:pPr>
        <w:pStyle w:val="a0"/>
        <w:numPr>
          <w:ilvl w:val="1"/>
          <w:numId w:val="36"/>
        </w:numPr>
      </w:pPr>
      <w:r>
        <w:t>Draft CR in [15] (TP CA-1-HW)</w:t>
      </w:r>
    </w:p>
    <w:p w14:paraId="4A031E68" w14:textId="30FC62FA" w:rsidR="00107F26" w:rsidRPr="00D216AB" w:rsidRDefault="00107F26" w:rsidP="00107F26">
      <w:pPr>
        <w:pStyle w:val="a0"/>
      </w:pPr>
      <w:r w:rsidRPr="00D216AB">
        <w:t xml:space="preserve">Alt 3: </w:t>
      </w:r>
      <w:r w:rsidR="00CF2E3F" w:rsidRPr="00D216AB">
        <w:t>Concludes to not support the Type 1 LBT to Type 2 or Type 3 LBT in R17</w:t>
      </w:r>
    </w:p>
    <w:p w14:paraId="5D6DD71A" w14:textId="0EEBD179" w:rsidR="00CF2E3F" w:rsidRPr="00D216AB" w:rsidRDefault="00CF2E3F" w:rsidP="00CF2E3F">
      <w:pPr>
        <w:pStyle w:val="a0"/>
        <w:numPr>
          <w:ilvl w:val="1"/>
          <w:numId w:val="36"/>
        </w:numPr>
      </w:pPr>
      <w:r w:rsidRPr="00D216AB">
        <w:t>Support: Qualcomm [1</w:t>
      </w:r>
      <w:r w:rsidR="00D216AB" w:rsidRPr="00D216AB">
        <w:t>3</w:t>
      </w:r>
      <w:r w:rsidR="00141D12" w:rsidRPr="00D216AB">
        <w:t>]</w:t>
      </w:r>
    </w:p>
    <w:p w14:paraId="0205B84D" w14:textId="77777777" w:rsidR="00B745AE" w:rsidRPr="00D216AB" w:rsidRDefault="00A41489" w:rsidP="00675E6A">
      <w:pPr>
        <w:pStyle w:val="23"/>
        <w:numPr>
          <w:ilvl w:val="0"/>
          <w:numId w:val="39"/>
        </w:numPr>
        <w:spacing w:after="120"/>
        <w:ind w:leftChars="0" w:firstLineChars="0"/>
        <w:divId w:val="2008944256"/>
      </w:pPr>
      <w:r w:rsidRPr="00D216AB">
        <w:t xml:space="preserve">Alt </w:t>
      </w:r>
      <w:r w:rsidR="000B6536" w:rsidRPr="00D216AB">
        <w:t xml:space="preserve">4: </w:t>
      </w:r>
    </w:p>
    <w:p w14:paraId="52419E6A" w14:textId="569A8C50" w:rsidR="00297B46" w:rsidRPr="00D216AB" w:rsidRDefault="00297B46" w:rsidP="00D767CA">
      <w:pPr>
        <w:pStyle w:val="23"/>
        <w:numPr>
          <w:ilvl w:val="1"/>
          <w:numId w:val="39"/>
        </w:numPr>
        <w:spacing w:after="120"/>
        <w:ind w:leftChars="0" w:firstLineChars="0"/>
        <w:divId w:val="2008944256"/>
      </w:pPr>
      <w:r w:rsidRPr="00D216AB">
        <w:rPr>
          <w:rFonts w:ascii="Arial" w:hAnsi="Arial" w:cs="Arial"/>
          <w:color w:val="000000"/>
          <w:sz w:val="20"/>
          <w:szCs w:val="20"/>
        </w:rPr>
        <w:t xml:space="preserve">channel access procedures can be used only if Type 2 has been configured as a table entry by any of the higher layer parameters </w:t>
      </w:r>
      <w:r w:rsidRPr="00D216AB">
        <w:rPr>
          <w:rFonts w:ascii="Arial" w:hAnsi="Arial" w:cs="Arial"/>
          <w:i/>
          <w:iCs/>
          <w:color w:val="000000"/>
          <w:sz w:val="20"/>
          <w:szCs w:val="20"/>
        </w:rPr>
        <w:t>ul-AccessConfigListDCI-0-1</w:t>
      </w:r>
      <w:r w:rsidRPr="00D216AB">
        <w:rPr>
          <w:rFonts w:ascii="Arial" w:hAnsi="Arial" w:cs="Arial"/>
          <w:color w:val="000000"/>
          <w:sz w:val="20"/>
          <w:szCs w:val="20"/>
        </w:rPr>
        <w:t xml:space="preserve"> </w:t>
      </w:r>
      <w:r w:rsidRPr="00D216AB">
        <w:rPr>
          <w:rFonts w:ascii="Arial" w:hAnsi="Arial" w:cs="Arial"/>
          <w:i/>
          <w:iCs/>
          <w:color w:val="000000"/>
          <w:sz w:val="20"/>
          <w:szCs w:val="20"/>
        </w:rPr>
        <w:t xml:space="preserve">ul-AccessConfigListDCI-0-2 </w:t>
      </w:r>
      <w:r w:rsidRPr="00D216AB">
        <w:rPr>
          <w:rFonts w:ascii="Arial" w:hAnsi="Arial" w:cs="Arial"/>
          <w:color w:val="000000"/>
          <w:sz w:val="20"/>
          <w:szCs w:val="20"/>
        </w:rPr>
        <w:t xml:space="preserve">or </w:t>
      </w:r>
      <w:r w:rsidRPr="00D216AB">
        <w:rPr>
          <w:rFonts w:ascii="Arial" w:hAnsi="Arial" w:cs="Arial"/>
          <w:i/>
          <w:iCs/>
          <w:color w:val="000000"/>
          <w:sz w:val="20"/>
          <w:szCs w:val="20"/>
        </w:rPr>
        <w:t>ul-AccessConfigListDCI-1-1 or ul-AccessConfigListDCI-1-2.</w:t>
      </w:r>
    </w:p>
    <w:p w14:paraId="6CFEB8CF" w14:textId="3A672B0A" w:rsidR="00A41489" w:rsidRPr="00D216AB" w:rsidRDefault="00297B46" w:rsidP="00D767CA">
      <w:pPr>
        <w:pStyle w:val="a0"/>
        <w:numPr>
          <w:ilvl w:val="1"/>
          <w:numId w:val="36"/>
        </w:numPr>
      </w:pPr>
      <w:r w:rsidRPr="00D216AB">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sidRPr="00D216AB">
        <w:rPr>
          <w:rFonts w:ascii="Arial" w:eastAsia="Times New Roman" w:hAnsi="Arial" w:cs="Arial"/>
          <w:i/>
          <w:iCs/>
          <w:color w:val="000000"/>
          <w:sz w:val="20"/>
          <w:szCs w:val="20"/>
        </w:rPr>
        <w:t>ul-AccessConfigListDCI-0-1</w:t>
      </w:r>
      <w:r w:rsidRPr="00D216AB">
        <w:rPr>
          <w:rFonts w:ascii="Arial" w:eastAsia="Times New Roman" w:hAnsi="Arial" w:cs="Arial"/>
          <w:color w:val="000000"/>
          <w:sz w:val="20"/>
          <w:szCs w:val="20"/>
        </w:rPr>
        <w:t xml:space="preserve"> </w:t>
      </w:r>
      <w:r w:rsidRPr="00D216AB">
        <w:rPr>
          <w:rFonts w:ascii="Arial" w:eastAsia="Times New Roman" w:hAnsi="Arial" w:cs="Arial"/>
          <w:i/>
          <w:iCs/>
          <w:color w:val="000000"/>
          <w:sz w:val="20"/>
          <w:szCs w:val="20"/>
        </w:rPr>
        <w:t xml:space="preserve">ul-AccessConfigListDCI-0-2 </w:t>
      </w:r>
      <w:r w:rsidRPr="00D216AB">
        <w:rPr>
          <w:rFonts w:ascii="Arial" w:eastAsia="Times New Roman" w:hAnsi="Arial" w:cs="Arial"/>
          <w:color w:val="000000"/>
          <w:sz w:val="20"/>
          <w:szCs w:val="20"/>
        </w:rPr>
        <w:t xml:space="preserve">or </w:t>
      </w:r>
      <w:r w:rsidRPr="00D216AB">
        <w:rPr>
          <w:rFonts w:ascii="Arial" w:eastAsia="Times New Roman" w:hAnsi="Arial" w:cs="Arial"/>
          <w:i/>
          <w:iCs/>
          <w:color w:val="000000"/>
          <w:sz w:val="20"/>
          <w:szCs w:val="20"/>
        </w:rPr>
        <w:t>ul-AccessConfigListDCI-1-1 or ul-AccessConfigListDCI-1-2</w:t>
      </w:r>
    </w:p>
    <w:p w14:paraId="4C98EE33" w14:textId="083E5F96" w:rsidR="007216E4" w:rsidRPr="00D216AB" w:rsidRDefault="00AD2ADF" w:rsidP="007216E4">
      <w:pPr>
        <w:pStyle w:val="a0"/>
        <w:numPr>
          <w:ilvl w:val="1"/>
          <w:numId w:val="36"/>
        </w:numPr>
      </w:pPr>
      <w:r w:rsidRPr="00D216AB">
        <w:rPr>
          <w:rFonts w:ascii="Arial" w:eastAsia="Times New Roman" w:hAnsi="Arial" w:cs="Arial"/>
          <w:color w:val="000000"/>
          <w:sz w:val="20"/>
          <w:szCs w:val="20"/>
        </w:rPr>
        <w:t>Support</w:t>
      </w:r>
      <w:r w:rsidR="007216E4" w:rsidRPr="00D216AB">
        <w:rPr>
          <w:rFonts w:ascii="Arial" w:eastAsia="Times New Roman" w:hAnsi="Arial" w:cs="Arial"/>
          <w:color w:val="000000"/>
          <w:sz w:val="20"/>
          <w:szCs w:val="20"/>
        </w:rPr>
        <w:t>: LGE</w:t>
      </w:r>
      <w:r w:rsidR="00D216AB" w:rsidRPr="00D216AB">
        <w:rPr>
          <w:rFonts w:ascii="Arial" w:eastAsia="Times New Roman" w:hAnsi="Arial" w:cs="Arial"/>
          <w:color w:val="000000"/>
          <w:sz w:val="20"/>
          <w:szCs w:val="20"/>
        </w:rPr>
        <w:t xml:space="preserve"> [12], Qualcomm [13]</w:t>
      </w:r>
    </w:p>
    <w:p w14:paraId="757F33D2" w14:textId="35250D4D" w:rsidR="007216E4" w:rsidRPr="00D216AB" w:rsidRDefault="007216E4" w:rsidP="007216E4">
      <w:pPr>
        <w:pStyle w:val="a0"/>
        <w:numPr>
          <w:ilvl w:val="1"/>
          <w:numId w:val="36"/>
        </w:numPr>
      </w:pPr>
      <w:r w:rsidRPr="00D216AB">
        <w:rPr>
          <w:rFonts w:ascii="Arial" w:eastAsia="Times New Roman" w:hAnsi="Arial" w:cs="Arial"/>
          <w:color w:val="000000"/>
          <w:sz w:val="20"/>
          <w:szCs w:val="20"/>
        </w:rPr>
        <w:t xml:space="preserve">Draft CR in </w:t>
      </w:r>
      <w:r w:rsidR="00CA520C" w:rsidRPr="00D216AB">
        <w:rPr>
          <w:rFonts w:ascii="Arial" w:eastAsia="Times New Roman" w:hAnsi="Arial" w:cs="Arial"/>
          <w:color w:val="000000"/>
          <w:sz w:val="20"/>
          <w:szCs w:val="20"/>
        </w:rPr>
        <w:t>[1</w:t>
      </w:r>
      <w:r w:rsidR="00D216AB" w:rsidRPr="00D216AB">
        <w:rPr>
          <w:rFonts w:ascii="Arial" w:eastAsia="Times New Roman" w:hAnsi="Arial" w:cs="Arial"/>
          <w:color w:val="000000"/>
          <w:sz w:val="20"/>
          <w:szCs w:val="20"/>
        </w:rPr>
        <w:t>2</w:t>
      </w:r>
      <w:r w:rsidR="00CA520C" w:rsidRPr="00D216AB">
        <w:rPr>
          <w:rFonts w:ascii="Arial" w:eastAsia="Times New Roman" w:hAnsi="Arial" w:cs="Arial"/>
          <w:color w:val="000000"/>
          <w:sz w:val="20"/>
          <w:szCs w:val="20"/>
        </w:rPr>
        <w:t xml:space="preserve">] </w:t>
      </w:r>
      <w:r w:rsidR="00462656" w:rsidRPr="00D216AB">
        <w:rPr>
          <w:rFonts w:ascii="Arial" w:eastAsia="Times New Roman" w:hAnsi="Arial" w:cs="Arial"/>
          <w:color w:val="000000"/>
          <w:sz w:val="20"/>
          <w:szCs w:val="20"/>
        </w:rPr>
        <w:t>(TP</w:t>
      </w:r>
      <w:r w:rsidR="009D2F92" w:rsidRPr="00D216AB">
        <w:rPr>
          <w:rFonts w:ascii="Arial" w:eastAsia="Times New Roman" w:hAnsi="Arial" w:cs="Arial"/>
          <w:color w:val="000000"/>
          <w:sz w:val="20"/>
          <w:szCs w:val="20"/>
        </w:rPr>
        <w:t xml:space="preserve"> </w:t>
      </w:r>
      <w:r w:rsidR="00462656" w:rsidRPr="00D216AB">
        <w:rPr>
          <w:rFonts w:ascii="Arial" w:eastAsia="Times New Roman" w:hAnsi="Arial" w:cs="Arial"/>
          <w:color w:val="000000"/>
          <w:sz w:val="20"/>
          <w:szCs w:val="20"/>
        </w:rPr>
        <w:t>CA-1-</w:t>
      </w:r>
      <w:r w:rsidR="00D216AB" w:rsidRPr="00D216AB">
        <w:rPr>
          <w:rFonts w:ascii="Arial" w:eastAsia="Times New Roman" w:hAnsi="Arial" w:cs="Arial"/>
          <w:color w:val="000000"/>
          <w:sz w:val="20"/>
          <w:szCs w:val="20"/>
        </w:rPr>
        <w:t>LGE</w:t>
      </w:r>
      <w:r w:rsidR="00462656" w:rsidRPr="00D216AB">
        <w:rPr>
          <w:rFonts w:ascii="Arial" w:eastAsia="Times New Roman" w:hAnsi="Arial" w:cs="Arial"/>
          <w:color w:val="000000"/>
          <w:sz w:val="20"/>
          <w:szCs w:val="20"/>
        </w:rPr>
        <w:t>)</w:t>
      </w:r>
    </w:p>
    <w:p w14:paraId="0EA3D2A6" w14:textId="084AF828" w:rsidR="00E61C03" w:rsidRPr="00980447" w:rsidRDefault="00E61C03" w:rsidP="00E61C03">
      <w:pPr>
        <w:pStyle w:val="a0"/>
      </w:pPr>
      <w:r w:rsidRPr="00980447">
        <w:t>Alt 5</w:t>
      </w:r>
      <w:r w:rsidR="00C23D35" w:rsidRPr="00980447">
        <w:t xml:space="preserve">: reuse ra-ChannelAccess-r17 to control if Type 1 LBT </w:t>
      </w:r>
      <w:r w:rsidR="00082848" w:rsidRPr="00980447">
        <w:t>can be upgraded to Type 2 or Type 3 LBT</w:t>
      </w:r>
    </w:p>
    <w:p w14:paraId="3F1EC2BD" w14:textId="248F89A6" w:rsidR="00082848" w:rsidRPr="00980447" w:rsidRDefault="005A5F69" w:rsidP="009736C4">
      <w:pPr>
        <w:pStyle w:val="a0"/>
        <w:numPr>
          <w:ilvl w:val="1"/>
          <w:numId w:val="36"/>
        </w:numPr>
      </w:pPr>
      <w:proofErr w:type="spellStart"/>
      <w:r w:rsidRPr="00980447">
        <w:t>Suport</w:t>
      </w:r>
      <w:proofErr w:type="spellEnd"/>
      <w:r w:rsidRPr="00980447">
        <w:t xml:space="preserve">: </w:t>
      </w:r>
      <w:r w:rsidR="00A45034">
        <w:t>vivo</w:t>
      </w:r>
      <w:r w:rsidR="00971220">
        <w:t>[1]</w:t>
      </w:r>
      <w:r w:rsidR="00A45034">
        <w:t xml:space="preserve">, </w:t>
      </w:r>
      <w:proofErr w:type="spellStart"/>
      <w:r w:rsidRPr="000420A2">
        <w:t>Wil</w:t>
      </w:r>
      <w:r w:rsidR="000420A2">
        <w:t>us</w:t>
      </w:r>
      <w:proofErr w:type="spellEnd"/>
      <w:r w:rsidR="000420A2">
        <w:t xml:space="preserve"> [16]</w:t>
      </w:r>
    </w:p>
    <w:p w14:paraId="6D8E2E79" w14:textId="01666430" w:rsidR="005A5F69" w:rsidRDefault="005A5F69" w:rsidP="009736C4">
      <w:pPr>
        <w:pStyle w:val="a0"/>
        <w:numPr>
          <w:ilvl w:val="1"/>
          <w:numId w:val="36"/>
        </w:numPr>
      </w:pPr>
      <w:r w:rsidRPr="00980447">
        <w:t xml:space="preserve">Draft CR in </w:t>
      </w:r>
      <w:r w:rsidR="00AB775F" w:rsidRPr="00980447">
        <w:t>[</w:t>
      </w:r>
      <w:r w:rsidR="00A45034">
        <w:t>2</w:t>
      </w:r>
      <w:r w:rsidR="00AB775F" w:rsidRPr="00980447">
        <w:t>] (TP CA-1-</w:t>
      </w:r>
      <w:r w:rsidR="00A45034">
        <w:t>vivo</w:t>
      </w:r>
      <w:r w:rsidR="00AB775F" w:rsidRPr="00980447">
        <w:t>)</w:t>
      </w:r>
    </w:p>
    <w:p w14:paraId="01D9F523" w14:textId="15C9A673" w:rsidR="000420A2" w:rsidRPr="00980447" w:rsidRDefault="000420A2" w:rsidP="009736C4">
      <w:pPr>
        <w:pStyle w:val="a0"/>
        <w:numPr>
          <w:ilvl w:val="1"/>
          <w:numId w:val="36"/>
        </w:numPr>
      </w:pPr>
      <w:r>
        <w:t>Draft CR in [16] (TP cA-1-Wilus)</w:t>
      </w:r>
    </w:p>
    <w:p w14:paraId="260FD06D" w14:textId="68041F30" w:rsidR="0043341F" w:rsidRDefault="0043341F" w:rsidP="00AC70A6"/>
    <w:p w14:paraId="5ABB09A1" w14:textId="253CBEB0" w:rsidR="00AD27C6" w:rsidRPr="00B30C6E" w:rsidRDefault="00AD27C6" w:rsidP="00AD27C6">
      <w:pPr>
        <w:pStyle w:val="Proposal"/>
      </w:pPr>
      <w:r w:rsidRPr="00B30C6E">
        <w:t>TP CA-1-</w:t>
      </w:r>
      <w:r>
        <w:t>oppo</w:t>
      </w:r>
    </w:p>
    <w:p w14:paraId="36087C45" w14:textId="77777777" w:rsidR="00AD27C6" w:rsidRDefault="00AD27C6" w:rsidP="00AC70A6"/>
    <w:p w14:paraId="57196E88" w14:textId="77777777" w:rsidR="001375C7" w:rsidRDefault="001375C7" w:rsidP="001375C7">
      <w:r>
        <w:t>4.4.4</w:t>
      </w:r>
      <w:r>
        <w:tab/>
        <w:t>Channel access procedures in an initiated channel occupancy</w:t>
      </w:r>
    </w:p>
    <w:p w14:paraId="05B235E5" w14:textId="77777777" w:rsidR="001375C7" w:rsidRDefault="001375C7" w:rsidP="001375C7">
      <w:pPr>
        <w:spacing w:after="180"/>
        <w:rPr>
          <w:rFonts w:eastAsia="等线"/>
          <w:szCs w:val="20"/>
          <w:lang w:eastAsia="zh-CN"/>
        </w:rPr>
      </w:pPr>
      <w:r>
        <w:rPr>
          <w:rFonts w:eastAsia="等线"/>
          <w:szCs w:val="20"/>
          <w:lang w:eastAsia="zh-CN"/>
        </w:rPr>
        <w:t xml:space="preserve">If a gNB/UE initiates a channel occupancy using the channel access procedures described in clause 4.4.1 on a channel, the gNB/UE may </w:t>
      </w:r>
      <w:r>
        <w:rPr>
          <w:rFonts w:eastAsia="等线"/>
          <w:szCs w:val="20"/>
        </w:rPr>
        <w:t>transmit a DL/UL transmission(s) that is followed by a</w:t>
      </w:r>
      <w:r>
        <w:rPr>
          <w:rFonts w:eastAsia="等线"/>
          <w:szCs w:val="20"/>
          <w:lang w:eastAsia="zh-CN"/>
        </w:rPr>
        <w:t xml:space="preserve"> UL/DL transmission(s) within the maximum </w:t>
      </w:r>
      <w:r>
        <w:rPr>
          <w:rFonts w:eastAsia="等线"/>
          <w:i/>
          <w:iCs/>
          <w:szCs w:val="20"/>
          <w:lang w:eastAsia="zh-CN"/>
        </w:rPr>
        <w:t xml:space="preserve">Channel Occupancy Time </w:t>
      </w:r>
      <w:r>
        <w:rPr>
          <w:rFonts w:eastAsia="等线"/>
          <w:szCs w:val="20"/>
          <w:lang w:eastAsia="zh-CN"/>
        </w:rPr>
        <w:t>described in Clause 4.4.1. The followings are applicable to the UL/DL transmission(s):</w:t>
      </w:r>
    </w:p>
    <w:p w14:paraId="20CA478B" w14:textId="77777777" w:rsidR="001375C7" w:rsidRDefault="001375C7" w:rsidP="001375C7">
      <w:pPr>
        <w:spacing w:after="180"/>
        <w:ind w:left="568" w:hanging="284"/>
        <w:rPr>
          <w:rFonts w:eastAsia="等线"/>
          <w:szCs w:val="20"/>
          <w:lang w:eastAsia="zh-CN"/>
        </w:rPr>
      </w:pPr>
      <w:r>
        <w:rPr>
          <w:rFonts w:eastAsia="等线"/>
          <w:szCs w:val="20"/>
        </w:rPr>
        <w:t>-</w:t>
      </w:r>
      <w:r>
        <w:rPr>
          <w:rFonts w:eastAsia="等线"/>
          <w:szCs w:val="20"/>
        </w:rPr>
        <w:tab/>
        <w:t>The transmission bandwidth(s) corresponding to the UL/DL transmission(s) shall be within the DL/UL bandwidth part(s) where in the channel occupancy is initiated</w:t>
      </w:r>
      <w:r>
        <w:rPr>
          <w:rFonts w:eastAsia="等线"/>
          <w:szCs w:val="20"/>
          <w:lang w:eastAsia="zh-CN"/>
        </w:rPr>
        <w:t>:</w:t>
      </w:r>
    </w:p>
    <w:p w14:paraId="0B275F90" w14:textId="77777777" w:rsidR="001375C7" w:rsidRDefault="001375C7" w:rsidP="001375C7">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t xml:space="preserve">Regardless of the duration of the gap between the UL/DL transmission(s) and previous DL/UL transmission(s) on the channel, </w:t>
      </w:r>
      <w:r>
        <w:rPr>
          <w:rFonts w:eastAsia="等线"/>
          <w:szCs w:val="20"/>
          <w:lang w:eastAsia="zh-CN"/>
        </w:rPr>
        <w:t>the UL/DL transmission(s) occurs following the procedures described in Clause 4.4.3; or</w:t>
      </w:r>
    </w:p>
    <w:p w14:paraId="0089D668" w14:textId="77777777" w:rsidR="001375C7" w:rsidRDefault="001375C7" w:rsidP="001375C7">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t xml:space="preserve">if the gap between the </w:t>
      </w:r>
      <w:r>
        <w:rPr>
          <w:rFonts w:eastAsia="等线"/>
          <w:szCs w:val="20"/>
          <w:lang w:eastAsia="zh-CN"/>
        </w:rPr>
        <w:t xml:space="preserve">UL/DL transmission(s) and previous DL/UL transmission(s) on the channel is more than a threshold that is determined by the gNB and is at least </w:t>
      </w:r>
      <m:oMath>
        <m:r>
          <w:rPr>
            <w:rFonts w:ascii="Cambria Math" w:eastAsia="等线" w:hAnsi="Cambria Math"/>
            <w:szCs w:val="20"/>
            <w:lang w:val="en-GB"/>
          </w:rPr>
          <m:t>8μs</m:t>
        </m:r>
      </m:oMath>
      <w:r>
        <w:rPr>
          <w:rFonts w:eastAsia="等线"/>
          <w:szCs w:val="20"/>
          <w:lang w:eastAsia="zh-CN"/>
        </w:rPr>
        <w:t xml:space="preserve">, </w:t>
      </w:r>
      <w:r>
        <w:rPr>
          <w:rFonts w:eastAsia="等线"/>
          <w:szCs w:val="20"/>
          <w:lang w:val="en-GB" w:eastAsia="zh-CN"/>
        </w:rPr>
        <w:t xml:space="preserve">the </w:t>
      </w:r>
      <w:r>
        <w:rPr>
          <w:rFonts w:eastAsia="等线"/>
          <w:szCs w:val="20"/>
          <w:lang w:eastAsia="zh-CN"/>
        </w:rPr>
        <w:t xml:space="preserve">UL/DL transmission(s) occurs following the procedures described in Clause 4.4.2. Otherwise, </w:t>
      </w:r>
      <w:r>
        <w:rPr>
          <w:rFonts w:eastAsia="等线"/>
          <w:szCs w:val="20"/>
          <w:lang w:val="en-GB" w:eastAsia="zh-CN"/>
        </w:rPr>
        <w:t xml:space="preserve">the </w:t>
      </w:r>
      <w:r>
        <w:rPr>
          <w:rFonts w:eastAsia="等线"/>
          <w:szCs w:val="20"/>
          <w:lang w:eastAsia="zh-CN"/>
        </w:rPr>
        <w:t>UL/DL transmission(s) occurs following the procedures described in Clause 4.4.3.</w:t>
      </w:r>
    </w:p>
    <w:p w14:paraId="42F30502" w14:textId="77777777" w:rsidR="001375C7" w:rsidRDefault="001375C7" w:rsidP="001375C7">
      <w:pPr>
        <w:spacing w:after="180"/>
        <w:rPr>
          <w:rFonts w:eastAsia="等线"/>
          <w:szCs w:val="20"/>
          <w:lang w:eastAsia="zh-CN"/>
        </w:rPr>
      </w:pPr>
      <w:r>
        <w:rPr>
          <w:rFonts w:eastAsia="等线"/>
          <w:szCs w:val="20"/>
          <w:lang w:eastAsia="zh-CN"/>
        </w:rPr>
        <w:t xml:space="preserve">If a gNB initiates a channel occupancy using the channel access procedures described in clause 4.4.1 on a channel, the gNB may </w:t>
      </w:r>
      <w:r>
        <w:rPr>
          <w:rFonts w:eastAsia="等线"/>
          <w:szCs w:val="20"/>
        </w:rPr>
        <w:t>transmit a</w:t>
      </w:r>
      <w:r>
        <w:rPr>
          <w:rFonts w:eastAsia="等线"/>
          <w:szCs w:val="20"/>
          <w:lang w:eastAsia="zh-CN"/>
        </w:rPr>
        <w:t xml:space="preserve"> DL transmission(s) on the channel within the maximum </w:t>
      </w:r>
      <w:r>
        <w:rPr>
          <w:rFonts w:eastAsia="等线"/>
          <w:i/>
          <w:iCs/>
          <w:szCs w:val="20"/>
          <w:lang w:eastAsia="zh-CN"/>
        </w:rPr>
        <w:t xml:space="preserve">Channel Occupancy Time </w:t>
      </w:r>
      <w:r>
        <w:rPr>
          <w:rFonts w:eastAsia="等线"/>
          <w:szCs w:val="20"/>
          <w:lang w:eastAsia="zh-CN"/>
        </w:rPr>
        <w:t xml:space="preserve">described in Clause 4.4.1 on the channel </w:t>
      </w:r>
      <w:r>
        <w:rPr>
          <w:rFonts w:eastAsia="等线"/>
          <w:szCs w:val="20"/>
        </w:rPr>
        <w:t>after the DL transmission(s) initiating the channel occupancy</w:t>
      </w:r>
      <w:r>
        <w:rPr>
          <w:rFonts w:eastAsia="等线"/>
          <w:szCs w:val="20"/>
          <w:lang w:eastAsia="zh-CN"/>
        </w:rPr>
        <w:t>. The followings are applicable to the DL transmission(s):</w:t>
      </w:r>
    </w:p>
    <w:p w14:paraId="00140489" w14:textId="77777777" w:rsidR="001375C7" w:rsidRDefault="001375C7" w:rsidP="001375C7">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t xml:space="preserve">Regardless of the duration of the gap between the DL transmission(s) and any previous transmission(s) corresponding to the channel occupancy initiated by the gNB, </w:t>
      </w:r>
      <w:r>
        <w:rPr>
          <w:rFonts w:eastAsia="等线"/>
          <w:szCs w:val="20"/>
          <w:lang w:eastAsia="zh-CN"/>
        </w:rPr>
        <w:t>the DL transmission(s) occurs following the procedures described in Clause 4.4.3; or</w:t>
      </w:r>
    </w:p>
    <w:p w14:paraId="1AFE9C71" w14:textId="77777777" w:rsidR="001375C7" w:rsidRDefault="001375C7" w:rsidP="001375C7">
      <w:pPr>
        <w:spacing w:after="180"/>
        <w:ind w:left="568" w:hanging="284"/>
        <w:rPr>
          <w:rFonts w:eastAsia="等线"/>
          <w:szCs w:val="20"/>
        </w:rPr>
      </w:pPr>
      <w:r>
        <w:rPr>
          <w:rFonts w:eastAsia="等线"/>
          <w:szCs w:val="20"/>
          <w:lang w:val="en-GB"/>
        </w:rPr>
        <w:t>-</w:t>
      </w:r>
      <w:r>
        <w:rPr>
          <w:rFonts w:eastAsia="等线"/>
          <w:szCs w:val="20"/>
          <w:lang w:val="en-GB"/>
        </w:rPr>
        <w:tab/>
        <w:t xml:space="preserve">if the gap between the </w:t>
      </w:r>
      <w:r>
        <w:rPr>
          <w:rFonts w:eastAsia="等线"/>
          <w:szCs w:val="20"/>
        </w:rPr>
        <w:t xml:space="preserve">DL transmission(s) and </w:t>
      </w:r>
      <w:r>
        <w:rPr>
          <w:rFonts w:eastAsia="等线"/>
          <w:szCs w:val="20"/>
          <w:lang w:val="en-GB" w:eastAsia="zh-CN"/>
        </w:rPr>
        <w:t>any previous transmission(s) corresponding to the channel occupancy initiated by the gNB</w:t>
      </w:r>
      <w:r>
        <w:rPr>
          <w:rFonts w:eastAsia="等线"/>
          <w:szCs w:val="20"/>
        </w:rPr>
        <w:t xml:space="preserve"> is more than a threshold that is determined by the gNB and is at least </w:t>
      </w:r>
      <m:oMath>
        <m:r>
          <w:rPr>
            <w:rFonts w:ascii="Cambria Math" w:eastAsia="等线" w:hAnsi="Cambria Math"/>
            <w:szCs w:val="20"/>
            <w:lang w:val="en-GB"/>
          </w:rPr>
          <m:t>8μs</m:t>
        </m:r>
      </m:oMath>
      <w:r>
        <w:rPr>
          <w:rFonts w:eastAsia="等线"/>
          <w:szCs w:val="20"/>
        </w:rPr>
        <w:t xml:space="preserve">, </w:t>
      </w:r>
      <w:r>
        <w:rPr>
          <w:rFonts w:eastAsia="等线"/>
          <w:szCs w:val="20"/>
          <w:lang w:val="en-GB"/>
        </w:rPr>
        <w:t xml:space="preserve">the </w:t>
      </w:r>
      <w:r>
        <w:rPr>
          <w:rFonts w:eastAsia="等线"/>
          <w:szCs w:val="20"/>
        </w:rPr>
        <w:t>DL transmission(s) occurs following the procedures described in Clause 4.4.2.</w:t>
      </w:r>
    </w:p>
    <w:p w14:paraId="34C45606" w14:textId="77777777" w:rsidR="001375C7" w:rsidRDefault="001375C7" w:rsidP="001375C7">
      <w:pPr>
        <w:spacing w:after="180"/>
        <w:rPr>
          <w:rFonts w:eastAsia="等线"/>
          <w:szCs w:val="20"/>
          <w:lang w:val="en-GB"/>
        </w:rPr>
      </w:pPr>
      <w:r>
        <w:rPr>
          <w:rFonts w:eastAsia="等线"/>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6B24E36B" w14:textId="77777777" w:rsidR="001375C7" w:rsidRDefault="001375C7" w:rsidP="001375C7">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01356567" w14:textId="77777777" w:rsidR="001375C7" w:rsidRDefault="001375C7" w:rsidP="001375C7">
      <w:pPr>
        <w:spacing w:after="180"/>
        <w:rPr>
          <w:rFonts w:eastAsia="等线"/>
          <w:szCs w:val="20"/>
          <w:lang w:val="en-GB"/>
        </w:rPr>
      </w:pPr>
      <w:r>
        <w:rPr>
          <w:rFonts w:eastAsia="等线"/>
          <w:szCs w:val="20"/>
          <w:lang w:eastAsia="zh-CN"/>
        </w:rPr>
        <w:t xml:space="preserve">When a </w:t>
      </w:r>
      <w:r>
        <w:rPr>
          <w:rFonts w:eastAsia="等线"/>
          <w:szCs w:val="20"/>
          <w:lang w:val="en-GB"/>
        </w:rPr>
        <w:t xml:space="preserve">UE is provided </w:t>
      </w:r>
      <w:r>
        <w:rPr>
          <w:rFonts w:eastAsia="等线"/>
          <w:i/>
          <w:iCs/>
          <w:szCs w:val="20"/>
          <w:lang w:val="en-GB"/>
        </w:rPr>
        <w:t>cg-COT-SharingList-r17</w:t>
      </w:r>
      <w:r>
        <w:rPr>
          <w:rFonts w:eastAsia="等线"/>
          <w:szCs w:val="20"/>
          <w:lang w:val="en-GB"/>
        </w:rPr>
        <w:t xml:space="preserve"> by higher layers, the UE is configured with</w:t>
      </w:r>
      <w:r>
        <w:rPr>
          <w:rFonts w:eastAsia="等线"/>
          <w:iCs/>
          <w:szCs w:val="20"/>
          <w:lang w:val="en-GB"/>
        </w:rPr>
        <w:t xml:space="preserve"> a </w:t>
      </w:r>
      <w:r>
        <w:rPr>
          <w:rFonts w:eastAsia="等线"/>
          <w:szCs w:val="20"/>
          <w:lang w:val="en-GB"/>
        </w:rPr>
        <w:t xml:space="preserve">table wherein each row is given by higher layer parameter </w:t>
      </w:r>
      <w:r>
        <w:rPr>
          <w:rFonts w:eastAsia="等线"/>
          <w:i/>
          <w:szCs w:val="20"/>
          <w:lang w:val="en-GB"/>
        </w:rPr>
        <w:t>CG-COT-Sharing-r17</w:t>
      </w:r>
      <w:r>
        <w:rPr>
          <w:rFonts w:eastAsia="等线"/>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787FD8B0" w14:textId="77777777" w:rsidR="001375C7" w:rsidRDefault="001375C7" w:rsidP="001375C7">
      <w:pPr>
        <w:spacing w:after="180"/>
        <w:rPr>
          <w:rFonts w:eastAsia="等线"/>
          <w:szCs w:val="20"/>
          <w:lang w:val="en-GB"/>
        </w:rPr>
      </w:pPr>
      <w:r>
        <w:rPr>
          <w:rFonts w:eastAsia="等线"/>
          <w:szCs w:val="20"/>
          <w:lang w:val="en-GB"/>
        </w:rPr>
        <w:t xml:space="preserve">If a gNB shares a channel occupancy initiated by a UE using configured grant PUSCH transmission and the UE is configured by </w:t>
      </w:r>
      <w:r>
        <w:rPr>
          <w:rFonts w:eastAsia="等线"/>
          <w:i/>
          <w:iCs/>
          <w:szCs w:val="20"/>
          <w:lang w:val="en-GB"/>
        </w:rPr>
        <w:t>cg-COT-SharingList-r17</w:t>
      </w:r>
      <w:r>
        <w:rPr>
          <w:rFonts w:eastAsia="等线"/>
          <w:szCs w:val="20"/>
          <w:lang w:val="en-GB"/>
        </w:rPr>
        <w:t xml:space="preserve">, the gNB may transmit a transmission that follows the configured grant PUSCH transmission by the UE if the following conditions are satisfied: </w:t>
      </w:r>
    </w:p>
    <w:p w14:paraId="5BA8C196" w14:textId="77777777" w:rsidR="001375C7" w:rsidRDefault="001375C7" w:rsidP="001375C7">
      <w:pPr>
        <w:spacing w:after="180"/>
        <w:ind w:left="568" w:hanging="284"/>
        <w:rPr>
          <w:rFonts w:eastAsia="等线"/>
          <w:szCs w:val="20"/>
          <w:lang w:val="en-GB"/>
        </w:rPr>
      </w:pPr>
      <w:r>
        <w:rPr>
          <w:rFonts w:eastAsia="等线"/>
          <w:szCs w:val="20"/>
          <w:lang w:val="en-GB"/>
        </w:rPr>
        <w:t>-</w:t>
      </w:r>
      <w:r>
        <w:rPr>
          <w:rFonts w:eastAsia="等线"/>
          <w:szCs w:val="20"/>
          <w:lang w:val="en-GB"/>
        </w:rPr>
        <w:tab/>
        <w:t xml:space="preserve">If the gNB determines that the 'COT sharing information' in CG-UCI in slot </w:t>
      </w:r>
      <w:r>
        <w:rPr>
          <w:rFonts w:eastAsia="等线"/>
          <w:i/>
          <w:iCs/>
          <w:szCs w:val="20"/>
          <w:lang w:val="en-GB"/>
        </w:rPr>
        <w:t>n</w:t>
      </w:r>
      <w:r>
        <w:rPr>
          <w:rFonts w:eastAsia="等线"/>
          <w:szCs w:val="20"/>
          <w:lang w:val="en-GB"/>
        </w:rPr>
        <w:t xml:space="preserve"> indicates a row index that corresponds to a </w:t>
      </w:r>
      <w:r>
        <w:rPr>
          <w:rFonts w:eastAsia="等线"/>
          <w:i/>
          <w:szCs w:val="20"/>
          <w:lang w:val="en-GB"/>
        </w:rPr>
        <w:t xml:space="preserve">CG-COT-Sharing-r17 </w:t>
      </w:r>
      <w:r>
        <w:rPr>
          <w:rFonts w:eastAsia="等线"/>
          <w:szCs w:val="20"/>
          <w:lang w:val="en-GB"/>
        </w:rPr>
        <w:t xml:space="preserve">that provides channel occupancy sharing information, the gNB can share the UE channel occupancy starting from slot </w:t>
      </w:r>
      <m:oMath>
        <m:r>
          <w:rPr>
            <w:rFonts w:ascii="Cambria Math" w:eastAsia="等线" w:hAnsi="Cambria Math"/>
            <w:szCs w:val="20"/>
          </w:rPr>
          <m:t>n+O</m:t>
        </m:r>
      </m:oMath>
      <w:r>
        <w:rPr>
          <w:rFonts w:eastAsia="等线"/>
          <w:szCs w:val="20"/>
          <w:lang w:val="en-GB"/>
        </w:rPr>
        <w:t xml:space="preserve">, where </w:t>
      </w:r>
      <m:oMath>
        <m:r>
          <w:rPr>
            <w:rFonts w:ascii="Cambria Math" w:eastAsia="等线" w:hAnsi="Cambria Math"/>
            <w:szCs w:val="20"/>
          </w:rPr>
          <m:t>O=</m:t>
        </m:r>
      </m:oMath>
      <w:r>
        <w:rPr>
          <w:rFonts w:eastAsia="等线"/>
          <w:i/>
          <w:szCs w:val="20"/>
          <w:lang w:val="en-GB"/>
        </w:rPr>
        <w:t xml:space="preserve"> offset-r17 </w:t>
      </w:r>
      <w:r>
        <w:rPr>
          <w:rFonts w:eastAsia="等线"/>
          <w:szCs w:val="20"/>
          <w:lang w:val="en-GB"/>
        </w:rPr>
        <w:t xml:space="preserve">slots, for a duration of </w:t>
      </w:r>
      <m:oMath>
        <m:r>
          <w:rPr>
            <w:rFonts w:ascii="Cambria Math" w:eastAsia="等线" w:hAnsi="Cambria Math"/>
            <w:szCs w:val="20"/>
          </w:rPr>
          <m:t>D=</m:t>
        </m:r>
      </m:oMath>
      <w:r>
        <w:rPr>
          <w:rFonts w:eastAsia="等线"/>
          <w:i/>
          <w:szCs w:val="20"/>
          <w:lang w:val="en-GB"/>
        </w:rPr>
        <w:t>duration -r17</w:t>
      </w:r>
      <w:r>
        <w:rPr>
          <w:rFonts w:eastAsia="等线"/>
          <w:szCs w:val="20"/>
          <w:lang w:val="en-GB"/>
        </w:rPr>
        <w:t xml:space="preserve"> slots where </w:t>
      </w:r>
      <w:r>
        <w:rPr>
          <w:rFonts w:eastAsia="等线"/>
          <w:i/>
          <w:szCs w:val="20"/>
          <w:lang w:val="en-GB"/>
        </w:rPr>
        <w:t>duration-r17</w:t>
      </w:r>
      <w:r>
        <w:rPr>
          <w:rFonts w:eastAsia="等线"/>
          <w:szCs w:val="20"/>
          <w:lang w:val="en-GB"/>
        </w:rPr>
        <w:t xml:space="preserve">, and </w:t>
      </w:r>
      <w:r>
        <w:rPr>
          <w:rFonts w:eastAsia="等线"/>
          <w:i/>
          <w:szCs w:val="20"/>
          <w:lang w:val="en-GB"/>
        </w:rPr>
        <w:t>offset-r17</w:t>
      </w:r>
      <w:r>
        <w:rPr>
          <w:rFonts w:eastAsia="等线"/>
          <w:szCs w:val="20"/>
          <w:lang w:val="en-GB"/>
        </w:rPr>
        <w:t xml:space="preserve"> are higher layer parameters provided by </w:t>
      </w:r>
      <w:r>
        <w:rPr>
          <w:rFonts w:eastAsia="等线"/>
          <w:i/>
          <w:szCs w:val="20"/>
          <w:lang w:val="en-GB"/>
        </w:rPr>
        <w:t>CG-COT-Sharing-r17</w:t>
      </w:r>
      <w:r>
        <w:rPr>
          <w:rFonts w:eastAsia="等线"/>
          <w:szCs w:val="20"/>
          <w:lang w:val="en-GB"/>
        </w:rPr>
        <w:t xml:space="preserve">. </w:t>
      </w:r>
    </w:p>
    <w:p w14:paraId="74178137" w14:textId="77777777" w:rsidR="001375C7" w:rsidRDefault="001375C7" w:rsidP="001375C7">
      <w:pPr>
        <w:jc w:val="both"/>
        <w:rPr>
          <w:ins w:id="2" w:author="Nande Zhao" w:date="2023-02-07T10:13:00Z"/>
        </w:rPr>
      </w:pPr>
      <w:ins w:id="3" w:author="Nande Zhao" w:date="2023-02-07T10:13:00Z">
        <w:r>
          <w:t>If a UE determines the duration in time domain and the location in frequency domain of a remaining channel occupancy initiated by the gNB from a DCI format 2_0 as described in clause 11.1.1 of [7], the following is applicable:</w:t>
        </w:r>
      </w:ins>
    </w:p>
    <w:p w14:paraId="44C50022" w14:textId="77777777" w:rsidR="001375C7" w:rsidRDefault="001375C7" w:rsidP="001375C7">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6C97D1C6" w14:textId="573414FF" w:rsidR="00E061D7" w:rsidRPr="00B30C6E" w:rsidRDefault="00E061D7" w:rsidP="00E061D7">
      <w:pPr>
        <w:pStyle w:val="Proposal"/>
      </w:pPr>
      <w:r w:rsidRPr="00B30C6E">
        <w:t>TP CA-1-</w:t>
      </w:r>
      <w:r>
        <w:t>CATT</w:t>
      </w:r>
    </w:p>
    <w:p w14:paraId="1D2328A8" w14:textId="77777777" w:rsidR="00AD27C6" w:rsidRDefault="00AD27C6" w:rsidP="00AC70A6"/>
    <w:p w14:paraId="14062F17" w14:textId="77777777" w:rsidR="00AD27C6" w:rsidRDefault="00AD27C6" w:rsidP="00AC70A6"/>
    <w:p w14:paraId="68F7A1D9" w14:textId="77777777" w:rsidR="00E061D7" w:rsidRDefault="00E061D7" w:rsidP="00E061D7">
      <w:pPr>
        <w:rPr>
          <w:lang w:eastAsia="zh-CN"/>
        </w:rPr>
      </w:pPr>
      <w:bookmarkStart w:id="6" w:name="_Toc106011668"/>
      <w:r w:rsidRPr="00692A66">
        <w:t>4.4</w:t>
      </w:r>
      <w:r w:rsidRPr="00692A66">
        <w:tab/>
        <w:t>Channel access procedures for frequency range 2-2</w:t>
      </w:r>
      <w:bookmarkEnd w:id="6"/>
    </w:p>
    <w:p w14:paraId="7F08F4C5" w14:textId="77777777" w:rsidR="00E061D7" w:rsidRPr="003C07A8" w:rsidRDefault="00E061D7" w:rsidP="00E061D7">
      <w:pPr>
        <w:rPr>
          <w:ins w:id="7" w:author="CATT" w:date="2023-04-03T16:04:00Z"/>
          <w:lang w:eastAsia="zh-CN"/>
        </w:rPr>
      </w:pPr>
      <w:ins w:id="8" w:author="CATT" w:date="2023-04-03T16:04:00Z">
        <w:r w:rsidRPr="003C07A8">
          <w:rPr>
            <w:rFonts w:hint="eastAsia"/>
          </w:rPr>
          <w:t xml:space="preserve">4.4.8 </w:t>
        </w:r>
        <w:r w:rsidRPr="003C07A8">
          <w:t>Channel access procedures upon detection of a DCI</w:t>
        </w:r>
        <w:r w:rsidRPr="003C07A8">
          <w:rPr>
            <w:rFonts w:eastAsia="等线" w:hint="eastAsia"/>
            <w:lang w:eastAsia="zh-CN"/>
          </w:rPr>
          <w:t xml:space="preserve"> format 2_0</w:t>
        </w:r>
      </w:ins>
    </w:p>
    <w:p w14:paraId="15A31BD6" w14:textId="77777777" w:rsidR="00E061D7" w:rsidRPr="003C07A8" w:rsidRDefault="00E061D7" w:rsidP="00E061D7">
      <w:pPr>
        <w:widowControl w:val="0"/>
        <w:rPr>
          <w:ins w:id="9" w:author="CATT" w:date="2023-04-03T16:04:00Z"/>
        </w:rPr>
      </w:pPr>
      <w:ins w:id="10" w:author="CATT" w:date="2023-04-03T16:04:00Z">
        <w:r w:rsidRPr="003C07A8">
          <w:t>If a UE determines the duration in time domain and the location in frequency domain of a remaining channel occupancy initiated by the gNB from a DCI format 2_0 as described in clause 11.1.1 of [7], the following is applicable:</w:t>
        </w:r>
      </w:ins>
    </w:p>
    <w:p w14:paraId="2D6F945F" w14:textId="77777777" w:rsidR="00E061D7" w:rsidRPr="00364991" w:rsidRDefault="00E061D7" w:rsidP="00E061D7">
      <w:pPr>
        <w:widowControl w:val="0"/>
        <w:numPr>
          <w:ilvl w:val="0"/>
          <w:numId w:val="37"/>
        </w:numPr>
        <w:spacing w:after="200" w:line="276" w:lineRule="auto"/>
        <w:contextualSpacing/>
        <w:jc w:val="both"/>
        <w:rPr>
          <w:ins w:id="11" w:author="CATT" w:date="2023-04-03T16:04:00Z"/>
          <w:rFonts w:eastAsia="等线"/>
        </w:rPr>
      </w:pPr>
      <w:ins w:id="12" w:author="CATT" w:date="2023-04-03T16:04:00Z">
        <w:r w:rsidRPr="003C07A8">
          <w:t>The UE may switch from Type 1 channel access procedures as described in clause 4.</w:t>
        </w:r>
        <w:r w:rsidRPr="003C07A8">
          <w:rPr>
            <w:rFonts w:hint="eastAsia"/>
          </w:rPr>
          <w:t>4.</w:t>
        </w:r>
        <w:r w:rsidRPr="003C07A8">
          <w:t xml:space="preserve">1 to Type </w:t>
        </w:r>
        <w:r w:rsidRPr="003C07A8">
          <w:rPr>
            <w:rFonts w:hint="eastAsia"/>
            <w:lang w:eastAsia="zh-CN"/>
          </w:rPr>
          <w:t>2</w:t>
        </w:r>
        <w:r>
          <w:rPr>
            <w:rFonts w:hint="eastAsia"/>
            <w:lang w:eastAsia="zh-CN"/>
          </w:rPr>
          <w:t xml:space="preserve"> </w:t>
        </w:r>
        <w:r w:rsidRPr="003C07A8">
          <w:t xml:space="preserve">channel access procedures as described in clause </w:t>
        </w:r>
        <w:r w:rsidRPr="003C07A8">
          <w:rPr>
            <w:rFonts w:hint="eastAsia"/>
            <w:lang w:eastAsia="zh-CN"/>
          </w:rPr>
          <w:t xml:space="preserve">4.4.2 </w:t>
        </w:r>
        <w:r w:rsidRPr="003C07A8">
          <w:t xml:space="preserve">for its corresponding UL transmissions within the determined duration in time and </w:t>
        </w:r>
        <w:r w:rsidRPr="003C07A8">
          <w:rPr>
            <w:rFonts w:eastAsia="等线" w:hint="eastAsia"/>
            <w:lang w:eastAsia="zh-CN"/>
          </w:rPr>
          <w:t xml:space="preserve">determined </w:t>
        </w:r>
        <w:r w:rsidRPr="003C07A8">
          <w:t>location in frequency domain of the remaining channel occupancy</w:t>
        </w:r>
        <w:r w:rsidRPr="003C07A8">
          <w:rPr>
            <w:rFonts w:hint="eastAsia"/>
          </w:rPr>
          <w:t xml:space="preserve"> if </w:t>
        </w:r>
        <w:r>
          <w:rPr>
            <w:rFonts w:hint="eastAsia"/>
            <w:lang w:eastAsia="zh-CN"/>
          </w:rPr>
          <w:t>a UE indicates the capability of Type 2 channel access.</w:t>
        </w:r>
        <w:r>
          <w:rPr>
            <w:rFonts w:eastAsia="等线" w:hint="eastAsia"/>
            <w:lang w:eastAsia="zh-CN"/>
          </w:rPr>
          <w:t xml:space="preserve"> </w:t>
        </w:r>
        <w:r w:rsidRPr="003C07A8">
          <w:rPr>
            <w:rFonts w:hint="eastAsia"/>
            <w:lang w:eastAsia="zh-CN"/>
          </w:rPr>
          <w:t>In this case, i</w:t>
        </w:r>
        <w:r w:rsidRPr="003C07A8">
          <w:t>f the UL transmissions are PUSCH transmissions on configured resources, the UE may assume the channel occupancy is shared with the gNB.</w:t>
        </w:r>
      </w:ins>
    </w:p>
    <w:p w14:paraId="2CDB0265" w14:textId="77777777" w:rsidR="00E061D7" w:rsidRDefault="00E061D7" w:rsidP="00AC70A6"/>
    <w:p w14:paraId="71F18C7B" w14:textId="77777777" w:rsidR="00571A98" w:rsidRDefault="00571A98" w:rsidP="00AC70A6"/>
    <w:p w14:paraId="3EC7DABD" w14:textId="7EAFFDAD" w:rsidR="00571A98" w:rsidRPr="00B30C6E" w:rsidRDefault="00571A98" w:rsidP="00571A98">
      <w:pPr>
        <w:pStyle w:val="Proposal"/>
      </w:pPr>
      <w:r w:rsidRPr="00B30C6E">
        <w:t>TP CA-1-</w:t>
      </w:r>
      <w:r>
        <w:t>ZTE</w:t>
      </w:r>
    </w:p>
    <w:p w14:paraId="281B6A40" w14:textId="77777777" w:rsidR="00571A98" w:rsidRDefault="00571A98" w:rsidP="00AC70A6"/>
    <w:p w14:paraId="02147078" w14:textId="77777777" w:rsidR="00571A98" w:rsidRDefault="00571A98" w:rsidP="00571A98">
      <w:pPr>
        <w:rPr>
          <w:lang w:eastAsia="zh-CN"/>
        </w:rPr>
      </w:pPr>
      <w:r>
        <w:t>4.4</w:t>
      </w:r>
      <w:r>
        <w:tab/>
        <w:t>Channel access procedures for frequency range 2-2</w:t>
      </w:r>
    </w:p>
    <w:p w14:paraId="652B6044" w14:textId="77777777" w:rsidR="00571A98" w:rsidRDefault="00571A98" w:rsidP="00571A98">
      <w:pPr>
        <w:spacing w:after="120"/>
        <w:jc w:val="center"/>
        <w:rPr>
          <w:ins w:id="13" w:author="CATT" w:date="2022-11-07T14:21:00Z"/>
          <w:rFonts w:eastAsia="宋体"/>
          <w:szCs w:val="22"/>
          <w:lang w:eastAsia="zh-CN"/>
        </w:rPr>
      </w:pPr>
      <w:r>
        <w:rPr>
          <w:rFonts w:eastAsia="宋体"/>
          <w:szCs w:val="22"/>
          <w:lang w:eastAsia="zh-CN"/>
        </w:rPr>
        <w:t>&lt;Unchanged part is omitted&gt;</w:t>
      </w:r>
    </w:p>
    <w:p w14:paraId="4C190525" w14:textId="77777777" w:rsidR="00571A98" w:rsidRDefault="00571A98" w:rsidP="00571A98">
      <w:pPr>
        <w:rPr>
          <w:ins w:id="14" w:author="ZTE-Ling Yang" w:date="2023-02-15T12:22:00Z"/>
          <w:lang w:eastAsia="zh-CN"/>
        </w:rPr>
      </w:pPr>
      <w:ins w:id="15" w:author="ZTE-Ling Yang" w:date="2023-02-15T12:22:00Z">
        <w:r>
          <w:rPr>
            <w:rFonts w:hint="eastAsia"/>
            <w:lang w:eastAsia="zh-CN"/>
          </w:rPr>
          <w:t>4.4.X Channel access procedures upon detection of a common DCI</w:t>
        </w:r>
      </w:ins>
    </w:p>
    <w:p w14:paraId="76E73142" w14:textId="77777777" w:rsidR="00571A98" w:rsidRDefault="00571A98" w:rsidP="00571A98">
      <w:pPr>
        <w:pStyle w:val="B1"/>
        <w:ind w:left="0" w:firstLine="0"/>
        <w:rPr>
          <w:ins w:id="16" w:author="ZTE-Ling Yang" w:date="2023-02-15T12:23:00Z"/>
          <w:lang w:val="en-US"/>
        </w:rPr>
      </w:pPr>
      <w:ins w:id="17" w:author="ZTE-Ling Yang" w:date="2023-02-15T12:23:00Z">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ins>
    </w:p>
    <w:p w14:paraId="1E59A27F" w14:textId="77777777" w:rsidR="00571A98" w:rsidRDefault="00571A98" w:rsidP="008416AF">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宋体"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1565EBD1" w14:textId="77777777" w:rsidR="00571A98" w:rsidRDefault="00571A98" w:rsidP="00AC70A6"/>
    <w:p w14:paraId="688A96AC" w14:textId="56DEC473" w:rsidR="00462AB5" w:rsidRPr="00B30C6E" w:rsidRDefault="00462AB5" w:rsidP="00462AB5">
      <w:pPr>
        <w:pStyle w:val="Proposal"/>
      </w:pPr>
      <w:r w:rsidRPr="00B30C6E">
        <w:t>TP CA-1-</w:t>
      </w:r>
      <w:r>
        <w:t>Nokia</w:t>
      </w:r>
    </w:p>
    <w:p w14:paraId="5E7DBD62" w14:textId="77777777" w:rsidR="00571A98" w:rsidRDefault="00571A98" w:rsidP="00AC70A6"/>
    <w:p w14:paraId="396E594E" w14:textId="77777777" w:rsidR="00462AB5" w:rsidRPr="00ED3A03" w:rsidRDefault="00462AB5" w:rsidP="00462AB5">
      <w:r w:rsidRPr="00ED3A03">
        <w:t>4.4</w:t>
      </w:r>
      <w:r w:rsidRPr="00ED3A03">
        <w:tab/>
        <w:t>Channel access procedures for frequency range 2-2</w:t>
      </w:r>
    </w:p>
    <w:p w14:paraId="0E0370D3" w14:textId="77777777" w:rsidR="00462AB5" w:rsidRDefault="00462AB5" w:rsidP="00462AB5">
      <w:pPr>
        <w:spacing w:before="240"/>
        <w:jc w:val="center"/>
        <w:rPr>
          <w:b/>
          <w:color w:val="FF0000"/>
        </w:rPr>
      </w:pPr>
      <w:r>
        <w:rPr>
          <w:b/>
          <w:color w:val="FF0000"/>
        </w:rPr>
        <w:t>&lt;Unchanged parts omitted&gt;</w:t>
      </w:r>
    </w:p>
    <w:p w14:paraId="350C0859" w14:textId="77777777" w:rsidR="00462AB5" w:rsidRPr="00287633" w:rsidRDefault="00462AB5" w:rsidP="00462AB5">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4.4.2 and Clause 4.4.3, respectively, is applicable. </w:t>
      </w:r>
      <w:ins w:id="27" w:author="Timo Lunttila (Nokia)" w:date="2023-04-03T14:27:00Z">
        <w:r>
          <w:t xml:space="preserve">If the UE determines that the scheduled UL transmission(s) occur within the channel occupancy initiated by the gNB,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29944D83" w14:textId="77777777" w:rsidR="00462AB5" w:rsidRDefault="00462AB5" w:rsidP="00AC70A6"/>
    <w:p w14:paraId="69D30A16" w14:textId="77777777" w:rsidR="00EA4431" w:rsidRDefault="00EA4431" w:rsidP="00AC70A6"/>
    <w:p w14:paraId="1A2B95BB" w14:textId="015E197C" w:rsidR="00EA4431" w:rsidRPr="00B30C6E" w:rsidRDefault="00EA4431" w:rsidP="00EA4431">
      <w:pPr>
        <w:pStyle w:val="Proposal"/>
      </w:pPr>
      <w:r w:rsidRPr="00B30C6E">
        <w:t>TP CA-1-</w:t>
      </w:r>
      <w:r>
        <w:t>LGE</w:t>
      </w:r>
    </w:p>
    <w:p w14:paraId="45A2EA5C" w14:textId="77777777" w:rsidR="00EA4431" w:rsidRPr="00ED3A03" w:rsidRDefault="00EA4431" w:rsidP="00EA4431">
      <w:r w:rsidRPr="00ED3A03">
        <w:t>4.4.4</w:t>
      </w:r>
      <w:r w:rsidRPr="00ED3A03">
        <w:tab/>
        <w:t>Channel access procedures in a</w:t>
      </w:r>
      <w:r>
        <w:t>n</w:t>
      </w:r>
      <w:r w:rsidRPr="00ED3A03">
        <w:t xml:space="preserve"> </w:t>
      </w:r>
      <w:r>
        <w:t>initiated</w:t>
      </w:r>
      <w:r w:rsidRPr="00ED3A03">
        <w:t xml:space="preserve"> </w:t>
      </w:r>
      <w:ins w:id="30" w:author="Sechang" w:date="2023-02-16T20:41:00Z">
        <w:r>
          <w:t xml:space="preserve">or a shared </w:t>
        </w:r>
      </w:ins>
      <w:r w:rsidRPr="00ED3A03">
        <w:t>channel occupancy</w:t>
      </w:r>
    </w:p>
    <w:p w14:paraId="1605B29A" w14:textId="77777777" w:rsidR="00EA4431" w:rsidRDefault="00EA4431" w:rsidP="00EA4431">
      <w:pPr>
        <w:rPr>
          <w:lang w:eastAsia="x-none"/>
        </w:rPr>
      </w:pPr>
      <w:r w:rsidRPr="00ED3A03">
        <w:rPr>
          <w:lang w:eastAsia="x-none"/>
        </w:rPr>
        <w:t xml:space="preserve">If a gNB/UE initiates a channel occupancy using the channel access procedures described in clause 4.4.1 on a channel, the gNB/UE may </w:t>
      </w:r>
      <w:r w:rsidRPr="00ED3A03">
        <w:t>transmit a DL/UL transmission(s) that is followed by a</w:t>
      </w:r>
      <w:r w:rsidRPr="00ED3A03">
        <w:rPr>
          <w:lang w:eastAsia="x-none"/>
        </w:rPr>
        <w:t xml:space="preserve"> UL/DL transmission(s) within the maximum </w:t>
      </w:r>
      <w:r w:rsidRPr="00ED3A03">
        <w:rPr>
          <w:i/>
          <w:iCs/>
          <w:lang w:eastAsia="x-none"/>
        </w:rPr>
        <w:t xml:space="preserve">Channel Occupancy Time </w:t>
      </w:r>
      <w:r w:rsidRPr="00ED3A03">
        <w:rPr>
          <w:lang w:eastAsia="x-none"/>
        </w:rPr>
        <w:t>described in Clause 4.4.1.</w:t>
      </w:r>
      <w:r>
        <w:rPr>
          <w:lang w:eastAsia="x-none"/>
        </w:rPr>
        <w:t xml:space="preserve"> The followings are applicable to the </w:t>
      </w:r>
      <w:r w:rsidRPr="00ED3A03">
        <w:rPr>
          <w:lang w:eastAsia="x-none"/>
        </w:rPr>
        <w:t>UL/DL transmission(s)</w:t>
      </w:r>
      <w:r>
        <w:rPr>
          <w:lang w:eastAsia="x-none"/>
        </w:rPr>
        <w:t>:</w:t>
      </w:r>
    </w:p>
    <w:p w14:paraId="73A175FD" w14:textId="77777777" w:rsidR="00EA4431" w:rsidRPr="00ED3A03" w:rsidRDefault="00EA4431" w:rsidP="00EA4431">
      <w:pPr>
        <w:pStyle w:val="B1"/>
        <w:rPr>
          <w:lang w:val="en-US" w:eastAsia="x-none"/>
        </w:rPr>
      </w:pPr>
      <w:r>
        <w:rPr>
          <w:lang w:val="en-US"/>
        </w:rPr>
        <w:t>-</w:t>
      </w:r>
      <w:r>
        <w:rPr>
          <w:lang w:val="en-US"/>
        </w:rPr>
        <w:tab/>
        <w:t>The transmission bandwidth(s) corresponding to the UL/DL transmission(s) shall be within the DL/UL bandwidth part(s) where in the channel occupancy is initiated</w:t>
      </w:r>
      <w:r w:rsidRPr="00ED3A03">
        <w:rPr>
          <w:lang w:val="en-US" w:eastAsia="x-none"/>
        </w:rPr>
        <w:t>:</w:t>
      </w:r>
    </w:p>
    <w:p w14:paraId="14386605" w14:textId="77777777" w:rsidR="00EA4431" w:rsidRPr="00ED3A03" w:rsidRDefault="00EA4431" w:rsidP="00EA4431">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UL/DL transmission(s) and previous DL/UL transmission(s) on the channel, </w:t>
      </w:r>
      <w:r w:rsidRPr="00ED3A03">
        <w:rPr>
          <w:lang w:val="en-US" w:eastAsia="x-none"/>
        </w:rPr>
        <w:t>the UL/DL transmission(s) occurs following the procedures described in Clause 4.4.3; or</w:t>
      </w:r>
    </w:p>
    <w:p w14:paraId="52AE9213" w14:textId="77777777" w:rsidR="00EA4431" w:rsidRDefault="00EA4431" w:rsidP="00EA4431">
      <w:pPr>
        <w:pStyle w:val="B1"/>
        <w:rPr>
          <w:lang w:val="en-US" w:eastAsia="x-none"/>
        </w:rPr>
      </w:pPr>
      <w:r w:rsidRPr="00ED3A03">
        <w:rPr>
          <w:lang w:eastAsia="x-none"/>
        </w:rPr>
        <w:t>-</w:t>
      </w:r>
      <w:r w:rsidRPr="00ED3A03">
        <w:rPr>
          <w:lang w:eastAsia="x-none"/>
        </w:rPr>
        <w:tab/>
        <w:t xml:space="preserve">if the gap between the </w:t>
      </w:r>
      <w:r w:rsidRPr="00ED3A03">
        <w:rPr>
          <w:lang w:val="en-US" w:eastAsia="x-none"/>
        </w:rPr>
        <w:t xml:space="preserve">UL/DL transmission(s) and previous DL/UL transmission(s) on the channel is more than a threshold that is determined by the gNB and is at least </w:t>
      </w:r>
      <m:oMath>
        <m:r>
          <w:rPr>
            <w:rFonts w:ascii="Cambria Math" w:hAnsi="Cambria Math"/>
          </w:rPr>
          <m:t>8μs</m:t>
        </m:r>
      </m:oMath>
      <w:r w:rsidRPr="00ED3A03">
        <w:rPr>
          <w:lang w:val="en-US" w:eastAsia="x-none"/>
        </w:rPr>
        <w:t xml:space="preserve">, </w:t>
      </w:r>
      <w:r w:rsidRPr="00ED3A03">
        <w:rPr>
          <w:lang w:eastAsia="x-none"/>
        </w:rPr>
        <w:t xml:space="preserve">the </w:t>
      </w:r>
      <w:r w:rsidRPr="00ED3A03">
        <w:rPr>
          <w:lang w:val="en-US" w:eastAsia="x-none"/>
        </w:rPr>
        <w:t xml:space="preserve">UL/DL transmission(s) occurs following the procedures described in Clause 4.4.2. Otherwise, </w:t>
      </w:r>
      <w:r w:rsidRPr="00ED3A03">
        <w:rPr>
          <w:lang w:eastAsia="x-none"/>
        </w:rPr>
        <w:t xml:space="preserve">the </w:t>
      </w:r>
      <w:r w:rsidRPr="00ED3A03">
        <w:rPr>
          <w:lang w:val="en-US" w:eastAsia="x-none"/>
        </w:rPr>
        <w:t>UL/DL transmission(s) occurs following the procedures described in Clause 4.4.3.</w:t>
      </w:r>
    </w:p>
    <w:p w14:paraId="0E26CEF4" w14:textId="77777777" w:rsidR="00EA4431" w:rsidRPr="00ED3A03" w:rsidRDefault="00EA4431" w:rsidP="00EA4431">
      <w:pPr>
        <w:rPr>
          <w:lang w:eastAsia="x-none"/>
        </w:rPr>
      </w:pPr>
      <w:r w:rsidRPr="00ED3A03">
        <w:rPr>
          <w:lang w:eastAsia="x-none"/>
        </w:rPr>
        <w:t xml:space="preserve">If a gNB initiates a channel occupancy using the channel access procedures described in clause 4.4.1 on a channel, the gNB may </w:t>
      </w:r>
      <w:r w:rsidRPr="00ED3A03">
        <w:t>transmit a</w:t>
      </w:r>
      <w:r w:rsidRPr="00ED3A03">
        <w:rPr>
          <w:lang w:eastAsia="x-none"/>
        </w:rPr>
        <w:t xml:space="preserve"> DL transmission(s) </w:t>
      </w:r>
      <w:r>
        <w:rPr>
          <w:lang w:eastAsia="x-none"/>
        </w:rPr>
        <w:t xml:space="preserve">on the channel </w:t>
      </w:r>
      <w:r w:rsidRPr="00ED3A03">
        <w:rPr>
          <w:lang w:eastAsia="x-none"/>
        </w:rPr>
        <w:t xml:space="preserve">within the maximum </w:t>
      </w:r>
      <w:r w:rsidRPr="00ED3A03">
        <w:rPr>
          <w:i/>
          <w:iCs/>
          <w:lang w:eastAsia="x-none"/>
        </w:rPr>
        <w:t xml:space="preserve">Channel Occupancy Time </w:t>
      </w:r>
      <w:r w:rsidRPr="00ED3A03">
        <w:rPr>
          <w:lang w:eastAsia="x-none"/>
        </w:rPr>
        <w:t>described in Clause 4.4.1</w:t>
      </w:r>
      <w:r>
        <w:rPr>
          <w:lang w:eastAsia="x-none"/>
        </w:rPr>
        <w:t xml:space="preserve"> on the channel </w:t>
      </w:r>
      <w:r>
        <w:t>after the</w:t>
      </w:r>
      <w:r w:rsidRPr="00ED3A03">
        <w:t xml:space="preserve"> DL transmission(s) </w:t>
      </w:r>
      <w:r>
        <w:t>initiating the channel occupancy</w:t>
      </w:r>
      <w:r>
        <w:rPr>
          <w:lang w:eastAsia="x-none"/>
        </w:rPr>
        <w:t xml:space="preserve">. The followings are applicable to the </w:t>
      </w:r>
      <w:r w:rsidRPr="00ED3A03">
        <w:rPr>
          <w:lang w:eastAsia="x-none"/>
        </w:rPr>
        <w:t>DL transmission(s)</w:t>
      </w:r>
      <w:r>
        <w:rPr>
          <w:lang w:eastAsia="x-none"/>
        </w:rPr>
        <w:t>:</w:t>
      </w:r>
    </w:p>
    <w:p w14:paraId="01DE1746" w14:textId="77777777" w:rsidR="00EA4431" w:rsidRPr="00ED3A03" w:rsidRDefault="00EA4431" w:rsidP="00EA4431">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402F877C" w14:textId="77777777" w:rsidR="00EA4431" w:rsidRPr="00287633" w:rsidRDefault="00EA4431" w:rsidP="00EA4431">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7A6D7C95" w14:textId="77777777" w:rsidR="00EA4431" w:rsidRPr="00287633" w:rsidRDefault="00EA4431" w:rsidP="00EA4431">
      <w:r w:rsidRPr="00287633">
        <w:lastRenderedPageBreak/>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55515D7C" w14:textId="77777777" w:rsidR="00EA4431" w:rsidRPr="00287633" w:rsidRDefault="00EA4431" w:rsidP="00EA4431">
      <w:pPr>
        <w:pStyle w:val="B1"/>
        <w:rPr>
          <w:rFonts w:eastAsia="Calibri"/>
        </w:rPr>
      </w:pPr>
      <w:r>
        <w:rPr>
          <w:rFonts w:eastAsia="Calibri"/>
          <w:lang w:eastAsia="zh-CN"/>
        </w:rPr>
        <w:t>-</w:t>
      </w:r>
      <w:r>
        <w:rPr>
          <w:rFonts w:eastAsia="Calibri"/>
          <w:lang w:eastAsia="zh-CN"/>
        </w:rPr>
        <w:tab/>
      </w:r>
      <w:r w:rsidRPr="00287633">
        <w:rPr>
          <w:rFonts w:eastAsia="Calibri"/>
          <w:lang w:eastAsia="zh-CN"/>
        </w:rPr>
        <w:t xml:space="preserve">The DL transmission </w:t>
      </w:r>
      <w:r w:rsidRPr="00287633">
        <w:rPr>
          <w:rFonts w:eastAsia="Calibri"/>
        </w:rPr>
        <w:t>shall contain transmission to the UE that initiated the channel occupancy</w:t>
      </w:r>
      <w:r w:rsidRPr="00287633">
        <w:rPr>
          <w:rFonts w:eastAsia="Calibri"/>
          <w:lang w:eastAsia="zh-CN"/>
        </w:rPr>
        <w:t xml:space="preserve"> and can include </w:t>
      </w:r>
      <w:r w:rsidRPr="00287633">
        <w:rPr>
          <w:rFonts w:eastAsia="Calibri"/>
        </w:rPr>
        <w:t>non-unicast and/or unicast transmissions where any unicast transmission that includes user plane data is only transmitted to the UE that initiated the channel occupancy.</w:t>
      </w:r>
    </w:p>
    <w:p w14:paraId="2D7C338B" w14:textId="77777777" w:rsidR="00EA4431" w:rsidRPr="00287633" w:rsidRDefault="00EA4431" w:rsidP="00EA4431">
      <w:r w:rsidRPr="00287633">
        <w:rPr>
          <w:lang w:eastAsia="x-none"/>
        </w:rPr>
        <w:t xml:space="preserve">When a </w:t>
      </w:r>
      <w:r w:rsidRPr="00287633">
        <w:t xml:space="preserve">UE is provided </w:t>
      </w:r>
      <w:r w:rsidRPr="00287633">
        <w:rPr>
          <w:i/>
          <w:iCs/>
        </w:rPr>
        <w:t>cg-COT-SharingList-r17</w:t>
      </w:r>
      <w:r w:rsidRPr="00287633">
        <w:t xml:space="preserve"> by higher layers, the UE is configured with</w:t>
      </w:r>
      <w:r w:rsidRPr="00287633">
        <w:rPr>
          <w:iCs/>
        </w:rPr>
        <w:t xml:space="preserve"> a </w:t>
      </w:r>
      <w:r w:rsidRPr="00287633">
        <w:t xml:space="preserve">table wherein each row is given by higher layer parameter </w:t>
      </w:r>
      <w:r w:rsidRPr="00287633">
        <w:rPr>
          <w:i/>
        </w:rPr>
        <w:t>CG-COT-Sharing-r17</w:t>
      </w:r>
      <w:r w:rsidRPr="00287633">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10D218A4" w14:textId="77777777" w:rsidR="00EA4431" w:rsidRPr="00287633" w:rsidRDefault="00EA4431" w:rsidP="00EA4431">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67080772" w14:textId="77777777" w:rsidR="00EA4431" w:rsidRPr="00BB67C6" w:rsidRDefault="00EA4431" w:rsidP="00EA4431">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3A127F46" w14:textId="77777777" w:rsidR="00EA4431" w:rsidRDefault="00EA4431" w:rsidP="00EA4431">
      <w:pPr>
        <w:rPr>
          <w:ins w:id="31" w:author="Sechang" w:date="2023-02-16T20:42:00Z"/>
        </w:rPr>
      </w:pPr>
      <w:ins w:id="32" w:author="Sechang" w:date="2023-02-16T20:42:00Z">
        <w:r>
          <w:t>If a UE determines the duration in time domain and the location in frequency domain of a remaining channel occupancy initiated by the gNB from a DCI format 2_0 as described in clause 11.1.1 of [7], the following is applicable:</w:t>
        </w:r>
      </w:ins>
    </w:p>
    <w:p w14:paraId="72A9789E" w14:textId="77777777" w:rsidR="00EA4431" w:rsidRPr="00F73F60" w:rsidRDefault="00EA4431" w:rsidP="00EA4431">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sidRPr="00E13491">
          <w:rPr>
            <w:lang w:val="en-US" w:eastAsia="x-none"/>
          </w:rPr>
          <w:t xml:space="preserve">if configured </w:t>
        </w:r>
        <w:r>
          <w:rPr>
            <w:lang w:val="en-US" w:eastAsia="x-none"/>
          </w:rPr>
          <w:t xml:space="preserve">among the entries provided by </w:t>
        </w:r>
        <w:r w:rsidRPr="00E13491">
          <w:rPr>
            <w:lang w:val="en-US" w:eastAsia="x-none"/>
          </w:rPr>
          <w:t xml:space="preserve">any of the higher layer parameters </w:t>
        </w:r>
        <w:r w:rsidRPr="00FD372A">
          <w:rPr>
            <w:i/>
            <w:lang w:val="en-US" w:eastAsia="x-none"/>
          </w:rPr>
          <w:t>ul-AccessConfigListDCI-0-1</w:t>
        </w:r>
        <w:r w:rsidRPr="00E13491">
          <w:rPr>
            <w:lang w:val="en-US" w:eastAsia="x-none"/>
          </w:rPr>
          <w:t xml:space="preserve"> or </w:t>
        </w:r>
        <w:r w:rsidRPr="00FD372A">
          <w:rPr>
            <w:i/>
            <w:lang w:val="en-US" w:eastAsia="x-none"/>
          </w:rPr>
          <w:t>ul-AccessConfigListDCI-1-1</w:t>
        </w:r>
        <w:r>
          <w:rPr>
            <w:i/>
            <w:lang w:val="en-US" w:eastAsia="x-none"/>
          </w:rPr>
          <w:t xml:space="preserve">, </w:t>
        </w:r>
        <w:r>
          <w:t>for its corresponding UL transmissions within the determined duration in time and location in frequency domain of the remaining channel occupancy.</w:t>
        </w:r>
      </w:ins>
    </w:p>
    <w:p w14:paraId="6A853D95" w14:textId="77777777" w:rsidR="00EA4431" w:rsidRDefault="00EA4431" w:rsidP="00EA4431">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sidRPr="00E13491">
          <w:rPr>
            <w:lang w:val="en-US" w:eastAsia="x-none"/>
          </w:rPr>
          <w:t xml:space="preserve">configured </w:t>
        </w:r>
        <w:r>
          <w:rPr>
            <w:lang w:val="en-US" w:eastAsia="x-none"/>
          </w:rPr>
          <w:t xml:space="preserve">among the entries provided by </w:t>
        </w:r>
        <w:r w:rsidRPr="00E13491">
          <w:rPr>
            <w:lang w:val="en-US" w:eastAsia="x-none"/>
          </w:rPr>
          <w:t xml:space="preserve">any of the higher layer parameters </w:t>
        </w:r>
      </w:ins>
      <w:ins w:id="39" w:author="Sechang" w:date="2023-02-17T12:42:00Z">
        <w:r w:rsidRPr="00FD372A">
          <w:rPr>
            <w:i/>
            <w:lang w:val="en-US" w:eastAsia="x-none"/>
          </w:rPr>
          <w:t>ul-AccessConfigListDCI-0-1</w:t>
        </w:r>
        <w:r w:rsidRPr="00E13491">
          <w:rPr>
            <w:lang w:val="en-US" w:eastAsia="x-none"/>
          </w:rPr>
          <w:t xml:space="preserve"> or </w:t>
        </w:r>
        <w:r w:rsidRPr="00FD372A">
          <w:rPr>
            <w:i/>
            <w:lang w:val="en-US" w:eastAsia="x-none"/>
          </w:rPr>
          <w:t>ul-AccessConfigListDCI-1-1</w:t>
        </w:r>
      </w:ins>
      <w:ins w:id="40" w:author="Sechang" w:date="2023-02-16T20:42:00Z">
        <w:r>
          <w:rPr>
            <w:i/>
            <w:lang w:val="en-US" w:eastAsia="x-none"/>
          </w:rPr>
          <w:t xml:space="preserve">, </w:t>
        </w:r>
        <w:r>
          <w:t xml:space="preserve">for its corresponding UL transmissions within the determined duration in time and location in frequency domain of the remaining channel occupancy. </w:t>
        </w:r>
      </w:ins>
    </w:p>
    <w:p w14:paraId="7CBE7D07" w14:textId="77777777" w:rsidR="00EA4431" w:rsidRDefault="00EA4431" w:rsidP="00AC70A6"/>
    <w:p w14:paraId="5DCABC33" w14:textId="77777777" w:rsidR="00EA4431" w:rsidRDefault="00EA4431" w:rsidP="00AC70A6"/>
    <w:p w14:paraId="144EC2C0" w14:textId="2DA3F573" w:rsidR="00740052" w:rsidRPr="00B30C6E" w:rsidRDefault="00740052" w:rsidP="00740052">
      <w:pPr>
        <w:pStyle w:val="Proposal"/>
      </w:pPr>
      <w:r w:rsidRPr="00B30C6E">
        <w:t>TP CA-1</w:t>
      </w:r>
      <w:r>
        <w:t>-HW</w:t>
      </w:r>
    </w:p>
    <w:p w14:paraId="621C88EE" w14:textId="77777777" w:rsidR="00740052" w:rsidRPr="00250288" w:rsidRDefault="00740052" w:rsidP="00740052">
      <w:r w:rsidRPr="00250288">
        <w:t>4.4.4</w:t>
      </w:r>
      <w:r w:rsidRPr="00250288">
        <w:tab/>
        <w:t>Channel access procedures in an initiated channel occupancy</w:t>
      </w:r>
    </w:p>
    <w:p w14:paraId="7BBE0745" w14:textId="77777777" w:rsidR="00740052" w:rsidRPr="00250288" w:rsidRDefault="00740052" w:rsidP="00740052">
      <w:pPr>
        <w:rPr>
          <w:rFonts w:eastAsia="Times New Roman"/>
          <w:lang w:eastAsia="x-none"/>
        </w:rPr>
      </w:pPr>
      <w:r w:rsidRPr="00250288">
        <w:rPr>
          <w:rFonts w:eastAsia="Times New Roman"/>
          <w:lang w:eastAsia="x-none"/>
        </w:rPr>
        <w:t xml:space="preserve">If a gNB/UE initiates a channel occupancy using the channel access procedures described in clause 4.4.1 on a channel, the gNB/UE may </w:t>
      </w:r>
      <w:r w:rsidRPr="00250288">
        <w:rPr>
          <w:rFonts w:eastAsia="Times New Roman"/>
        </w:rPr>
        <w:t>transmit a DL/UL transmission(s) that is followed by a</w:t>
      </w:r>
      <w:r w:rsidRPr="00250288">
        <w:rPr>
          <w:rFonts w:eastAsia="Times New Roman"/>
          <w:lang w:eastAsia="x-none"/>
        </w:rPr>
        <w:t xml:space="preserve"> UL/DL transmission(s) within the maximum </w:t>
      </w:r>
      <w:r w:rsidRPr="00250288">
        <w:rPr>
          <w:rFonts w:eastAsia="Times New Roman"/>
          <w:i/>
          <w:iCs/>
          <w:lang w:eastAsia="x-none"/>
        </w:rPr>
        <w:t xml:space="preserve">Channel Occupancy Time </w:t>
      </w:r>
      <w:r w:rsidRPr="00250288">
        <w:rPr>
          <w:rFonts w:eastAsia="Times New Roman"/>
          <w:lang w:eastAsia="x-none"/>
        </w:rPr>
        <w:t>described in Clause 4.4.1. The followings are applicable to the UL/DL transmission(s):</w:t>
      </w:r>
    </w:p>
    <w:p w14:paraId="4429E916" w14:textId="77777777" w:rsidR="00740052" w:rsidRPr="00250288" w:rsidRDefault="00740052" w:rsidP="00740052">
      <w:pPr>
        <w:ind w:left="568" w:hanging="284"/>
        <w:rPr>
          <w:rFonts w:eastAsia="Times New Roman"/>
          <w:lang w:eastAsia="x-none"/>
        </w:rPr>
      </w:pPr>
      <w:r w:rsidRPr="00250288">
        <w:rPr>
          <w:rFonts w:eastAsia="Times New Roman"/>
        </w:rPr>
        <w:t>-</w:t>
      </w:r>
      <w:r w:rsidRPr="00250288">
        <w:rPr>
          <w:rFonts w:eastAsia="Times New Roman"/>
        </w:rPr>
        <w:tab/>
        <w:t>The transmission bandwidth(s) corresponding to the UL/DL transmission(s) shall be within the DL/UL bandwidth part(s) where in the channel occupancy is initiated</w:t>
      </w:r>
      <w:r w:rsidRPr="00250288">
        <w:rPr>
          <w:rFonts w:eastAsia="Times New Roman"/>
          <w:lang w:eastAsia="x-none"/>
        </w:rPr>
        <w:t>:</w:t>
      </w:r>
    </w:p>
    <w:p w14:paraId="16DFD71F" w14:textId="77777777" w:rsidR="00740052" w:rsidRPr="00250288" w:rsidRDefault="00740052" w:rsidP="00740052">
      <w:pPr>
        <w:ind w:left="568" w:hanging="284"/>
        <w:rPr>
          <w:rFonts w:eastAsia="Times New Roman"/>
          <w:lang w:eastAsia="x-none"/>
        </w:rPr>
      </w:pPr>
      <w:r w:rsidRPr="00250288">
        <w:rPr>
          <w:rFonts w:eastAsia="Times New Roman"/>
          <w:lang w:eastAsia="x-none"/>
        </w:rPr>
        <w:t>-</w:t>
      </w:r>
      <w:r w:rsidRPr="00250288">
        <w:rPr>
          <w:rFonts w:eastAsia="Times New Roman"/>
          <w:lang w:eastAsia="x-none"/>
        </w:rPr>
        <w:tab/>
        <w:t>Regardless of the duration of the gap between the UL/DL transmission(s) and previous DL/UL transmission(s) on the channel, the UL/DL transmission(s) occurs following the procedures described in Clause 4.4.3; or</w:t>
      </w:r>
    </w:p>
    <w:p w14:paraId="244C89D8" w14:textId="77777777" w:rsidR="00740052" w:rsidRPr="00250288" w:rsidRDefault="00740052" w:rsidP="00740052">
      <w:pPr>
        <w:ind w:left="568" w:hanging="284"/>
        <w:rPr>
          <w:rFonts w:eastAsia="Times New Roman"/>
          <w:lang w:eastAsia="x-none"/>
        </w:rPr>
      </w:pPr>
      <w:r w:rsidRPr="00250288">
        <w:rPr>
          <w:rFonts w:eastAsia="Times New Roman"/>
          <w:lang w:eastAsia="x-none"/>
        </w:rPr>
        <w:t>-</w:t>
      </w:r>
      <w:r w:rsidRPr="00250288">
        <w:rPr>
          <w:rFonts w:eastAsia="Times New Roman"/>
          <w:lang w:eastAsia="x-none"/>
        </w:rPr>
        <w:tab/>
        <w:t xml:space="preserve">if the gap between the UL/DL transmission(s) and previous DL/UL transmission(s) on the channel is more than a threshold that is determined by the gNB and is at least </w:t>
      </w:r>
      <m:oMath>
        <m:r>
          <w:rPr>
            <w:rFonts w:ascii="Cambria Math" w:eastAsia="Times New Roman" w:hAnsi="Cambria Math"/>
          </w:rPr>
          <m:t>8μs</m:t>
        </m:r>
      </m:oMath>
      <w:r w:rsidRPr="00250288">
        <w:rPr>
          <w:rFonts w:eastAsia="Times New Roman"/>
          <w:lang w:eastAsia="x-none"/>
        </w:rPr>
        <w:t>, the UL/DL transmission(s) occurs following the procedures described in Clause 4.4.2. Otherwise, the UL/DL transmission(s) occurs following the procedures described in Clause 4.4.3.</w:t>
      </w:r>
    </w:p>
    <w:p w14:paraId="2750E52F" w14:textId="77777777" w:rsidR="00740052" w:rsidRPr="00250288" w:rsidRDefault="00740052" w:rsidP="00740052">
      <w:pPr>
        <w:rPr>
          <w:rFonts w:eastAsia="Times New Roman"/>
          <w:lang w:eastAsia="x-none"/>
        </w:rPr>
      </w:pPr>
      <w:r w:rsidRPr="00250288">
        <w:rPr>
          <w:rFonts w:eastAsia="Times New Roman"/>
          <w:lang w:eastAsia="x-none"/>
        </w:rPr>
        <w:lastRenderedPageBreak/>
        <w:t xml:space="preserve">If a gNB initiates a channel occupancy using the channel access procedures described in clause 4.4.1 on a channel, the gNB may </w:t>
      </w:r>
      <w:r w:rsidRPr="00250288">
        <w:rPr>
          <w:rFonts w:eastAsia="Times New Roman"/>
        </w:rPr>
        <w:t>transmit a</w:t>
      </w:r>
      <w:r w:rsidRPr="00250288">
        <w:rPr>
          <w:rFonts w:eastAsia="Times New Roman"/>
          <w:lang w:eastAsia="x-none"/>
        </w:rPr>
        <w:t xml:space="preserve"> DL transmission(s) on the channel within the maximum </w:t>
      </w:r>
      <w:r w:rsidRPr="00250288">
        <w:rPr>
          <w:rFonts w:eastAsia="Times New Roman"/>
          <w:i/>
          <w:iCs/>
          <w:lang w:eastAsia="x-none"/>
        </w:rPr>
        <w:t xml:space="preserve">Channel Occupancy Time </w:t>
      </w:r>
      <w:r w:rsidRPr="00250288">
        <w:rPr>
          <w:rFonts w:eastAsia="Times New Roman"/>
          <w:lang w:eastAsia="x-none"/>
        </w:rPr>
        <w:t xml:space="preserve">described in Clause 4.4.1 on the channel </w:t>
      </w:r>
      <w:r w:rsidRPr="00250288">
        <w:rPr>
          <w:rFonts w:eastAsia="Times New Roman"/>
        </w:rPr>
        <w:t>after the DL transmission(s) initiating the channel occupancy</w:t>
      </w:r>
      <w:r w:rsidRPr="00250288">
        <w:rPr>
          <w:rFonts w:eastAsia="Times New Roman"/>
          <w:lang w:eastAsia="x-none"/>
        </w:rPr>
        <w:t>. The followings are applicable to the DL transmission(s):</w:t>
      </w:r>
    </w:p>
    <w:p w14:paraId="6574FB03" w14:textId="77777777" w:rsidR="00740052" w:rsidRPr="00250288" w:rsidRDefault="00740052" w:rsidP="00740052">
      <w:pPr>
        <w:ind w:left="568" w:hanging="284"/>
        <w:rPr>
          <w:rFonts w:eastAsia="Times New Roman"/>
          <w:lang w:eastAsia="x-none"/>
        </w:rPr>
      </w:pPr>
      <w:r w:rsidRPr="00250288">
        <w:rPr>
          <w:rFonts w:eastAsia="Times New Roman"/>
          <w:lang w:eastAsia="x-none"/>
        </w:rPr>
        <w:t>-</w:t>
      </w:r>
      <w:r w:rsidRPr="00250288">
        <w:rPr>
          <w:rFonts w:eastAsia="Times New Roman"/>
          <w:lang w:eastAsia="x-none"/>
        </w:rPr>
        <w:tab/>
        <w:t>Regardless of the duration of the gap between the DL transmission(s) and any previous transmission(s) corresponding to the channel occupancy initiated by the gNB, the DL transmission(s) occurs following the procedures described in Clause 4.4.3; or</w:t>
      </w:r>
    </w:p>
    <w:p w14:paraId="53CE921B" w14:textId="77777777" w:rsidR="00740052" w:rsidRPr="00250288" w:rsidRDefault="00740052" w:rsidP="00740052">
      <w:pPr>
        <w:ind w:left="568" w:hanging="284"/>
        <w:rPr>
          <w:rFonts w:eastAsia="Times New Roman"/>
        </w:rPr>
      </w:pPr>
      <w:r w:rsidRPr="00250288">
        <w:rPr>
          <w:rFonts w:eastAsia="Times New Roman"/>
        </w:rPr>
        <w:t>-</w:t>
      </w:r>
      <w:r w:rsidRPr="00250288">
        <w:rPr>
          <w:rFonts w:eastAsia="Times New Roman"/>
        </w:rPr>
        <w:tab/>
        <w:t xml:space="preserve">if the gap between the DL transmission(s) and </w:t>
      </w:r>
      <w:r w:rsidRPr="00250288">
        <w:rPr>
          <w:rFonts w:eastAsia="Times New Roman"/>
          <w:lang w:eastAsia="x-none"/>
        </w:rPr>
        <w:t>any previous transmission(s) corresponding to the channel occupancy initiated by the gNB</w:t>
      </w:r>
      <w:r w:rsidRPr="00250288">
        <w:rPr>
          <w:rFonts w:eastAsia="Times New Roman"/>
        </w:rPr>
        <w:t xml:space="preserve"> is more than a threshold that is determined by the gNB and is at least </w:t>
      </w:r>
      <m:oMath>
        <m:r>
          <w:rPr>
            <w:rFonts w:ascii="Cambria Math" w:eastAsia="Times New Roman" w:hAnsi="Cambria Math"/>
          </w:rPr>
          <m:t>8μs</m:t>
        </m:r>
      </m:oMath>
      <w:r w:rsidRPr="00250288">
        <w:rPr>
          <w:rFonts w:eastAsia="Times New Roman"/>
        </w:rPr>
        <w:t>, the DL transmission(s) occurs following the procedures described in Clause 4.4.2.</w:t>
      </w:r>
    </w:p>
    <w:p w14:paraId="36C804DA" w14:textId="77777777" w:rsidR="00740052" w:rsidRPr="00250288" w:rsidRDefault="00740052" w:rsidP="00740052">
      <w:pPr>
        <w:rPr>
          <w:ins w:id="41" w:author="Huawei" w:date="2023-03-27T12:12:00Z"/>
          <w:rFonts w:eastAsia="Times New Roman"/>
        </w:rPr>
      </w:pPr>
      <w:ins w:id="42" w:author="Huawei" w:date="2023-03-27T12:12:00Z">
        <w:r w:rsidRPr="00250288">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14:paraId="326F0061" w14:textId="77777777" w:rsidR="00740052" w:rsidRPr="00250288" w:rsidRDefault="00740052" w:rsidP="00740052">
      <w:pPr>
        <w:ind w:left="568" w:hanging="284"/>
        <w:rPr>
          <w:rFonts w:eastAsia="Times New Roman"/>
        </w:rPr>
      </w:pPr>
      <w:ins w:id="43" w:author="Huawei" w:date="2023-03-27T12:12:00Z">
        <w:r>
          <w:rPr>
            <w:rFonts w:eastAsia="Times New Roman"/>
          </w:rPr>
          <w:t>-</w:t>
        </w:r>
        <w:r>
          <w:rPr>
            <w:rFonts w:eastAsia="Times New Roman"/>
          </w:rPr>
          <w:tab/>
          <w:t>The UE may switch from the</w:t>
        </w:r>
        <w:r w:rsidRPr="00250288">
          <w:rPr>
            <w:rFonts w:eastAsia="Times New Roman"/>
          </w:rPr>
          <w:t xml:space="preserve"> channel access procedures described in clause 4.</w:t>
        </w:r>
      </w:ins>
      <w:ins w:id="44" w:author="Huawei" w:date="2023-03-27T12:13:00Z">
        <w:r>
          <w:rPr>
            <w:rFonts w:eastAsia="Times New Roman"/>
          </w:rPr>
          <w:t>4</w:t>
        </w:r>
      </w:ins>
      <w:ins w:id="45" w:author="Huawei" w:date="2023-03-27T12:12:00Z">
        <w:r>
          <w:rPr>
            <w:rFonts w:eastAsia="Times New Roman"/>
          </w:rPr>
          <w:t xml:space="preserve">.1 to the channel access procedures </w:t>
        </w:r>
        <w:r w:rsidRPr="00250288">
          <w:rPr>
            <w:rFonts w:eastAsia="Times New Roman"/>
          </w:rPr>
          <w:t>described in clause 4.</w:t>
        </w:r>
      </w:ins>
      <w:ins w:id="46" w:author="Huawei" w:date="2023-03-27T12:18:00Z">
        <w:r>
          <w:rPr>
            <w:rFonts w:eastAsia="Times New Roman"/>
          </w:rPr>
          <w:t>4</w:t>
        </w:r>
      </w:ins>
      <w:ins w:id="47" w:author="Huawei" w:date="2023-03-27T12:12:00Z">
        <w:r w:rsidRPr="00250288">
          <w:rPr>
            <w:rFonts w:eastAsia="Times New Roman"/>
          </w:rPr>
          <w:t>.</w:t>
        </w:r>
      </w:ins>
      <w:ins w:id="48" w:author="Huawei" w:date="2023-03-27T12:18:00Z">
        <w:r>
          <w:rPr>
            <w:rFonts w:eastAsia="Times New Roman"/>
          </w:rPr>
          <w:t>3</w:t>
        </w:r>
      </w:ins>
      <w:ins w:id="49" w:author="Huawei" w:date="2023-03-27T12:12:00Z">
        <w:r w:rsidRPr="00250288">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sidRPr="00250288">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sidRPr="00250288">
          <w:rPr>
            <w:rFonts w:eastAsia="Times New Roman"/>
          </w:rPr>
          <w:t xml:space="preserve">. </w:t>
        </w:r>
      </w:ins>
    </w:p>
    <w:p w14:paraId="676E5344" w14:textId="77777777" w:rsidR="00740052" w:rsidRPr="00250288" w:rsidRDefault="00740052" w:rsidP="00740052">
      <w:pPr>
        <w:rPr>
          <w:rFonts w:eastAsia="Times New Roman"/>
        </w:rPr>
      </w:pPr>
      <w:r w:rsidRPr="00250288">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0E7D433B" w14:textId="77777777" w:rsidR="00740052" w:rsidRPr="00250288" w:rsidRDefault="00740052" w:rsidP="00740052">
      <w:pPr>
        <w:ind w:left="568" w:hanging="284"/>
        <w:rPr>
          <w:rFonts w:eastAsia="Calibri"/>
        </w:rPr>
      </w:pPr>
      <w:r w:rsidRPr="00250288">
        <w:rPr>
          <w:rFonts w:eastAsia="Calibri"/>
          <w:lang w:eastAsia="zh-CN"/>
        </w:rPr>
        <w:t>-</w:t>
      </w:r>
      <w:r w:rsidRPr="00250288">
        <w:rPr>
          <w:rFonts w:eastAsia="Calibri"/>
          <w:lang w:eastAsia="zh-CN"/>
        </w:rPr>
        <w:tab/>
        <w:t xml:space="preserve">The DL transmission </w:t>
      </w:r>
      <w:r w:rsidRPr="00250288">
        <w:rPr>
          <w:rFonts w:eastAsia="Calibri"/>
        </w:rPr>
        <w:t>shall contain transmission to the UE that initiated the channel occupancy</w:t>
      </w:r>
      <w:r w:rsidRPr="00250288">
        <w:rPr>
          <w:rFonts w:eastAsia="Calibri"/>
          <w:lang w:eastAsia="zh-CN"/>
        </w:rPr>
        <w:t xml:space="preserve"> and can include </w:t>
      </w:r>
      <w:r w:rsidRPr="00250288">
        <w:rPr>
          <w:rFonts w:eastAsia="Calibri"/>
        </w:rPr>
        <w:t>non-unicast and/or unicast transmissions where any unicast transmission that includes user plane data is only transmitted to the UE that initiated the channel occupancy.</w:t>
      </w:r>
    </w:p>
    <w:p w14:paraId="7688D4A5" w14:textId="77777777" w:rsidR="00740052" w:rsidRPr="007D0655" w:rsidRDefault="00740052" w:rsidP="00740052">
      <w:pPr>
        <w:jc w:val="center"/>
        <w:rPr>
          <w:noProof/>
          <w:color w:val="FF0000"/>
          <w:lang w:eastAsia="zh-CN"/>
        </w:rPr>
      </w:pPr>
      <w:r w:rsidRPr="00525908">
        <w:rPr>
          <w:rFonts w:hint="eastAsia"/>
          <w:noProof/>
          <w:color w:val="FF0000"/>
          <w:lang w:val="x-none" w:eastAsia="zh-CN"/>
        </w:rPr>
        <w:t>*</w:t>
      </w:r>
      <w:r w:rsidRPr="00525908">
        <w:rPr>
          <w:noProof/>
          <w:color w:val="FF0000"/>
          <w:lang w:val="x-none" w:eastAsia="zh-CN"/>
        </w:rPr>
        <w:t>** unchanged text omitted***</w:t>
      </w:r>
    </w:p>
    <w:p w14:paraId="29E7A0E8" w14:textId="77777777" w:rsidR="00740052" w:rsidRDefault="00740052" w:rsidP="00AC70A6"/>
    <w:p w14:paraId="5036D1D4" w14:textId="77777777" w:rsidR="00740052" w:rsidRDefault="00740052" w:rsidP="00AC70A6"/>
    <w:p w14:paraId="6846EE6F" w14:textId="77777777" w:rsidR="00462AB5" w:rsidRDefault="00462AB5" w:rsidP="00AC70A6"/>
    <w:p w14:paraId="50DB3AA6" w14:textId="1D7D2981" w:rsidR="00B30C6E" w:rsidRPr="00B30C6E" w:rsidRDefault="00B30C6E" w:rsidP="00B30C6E">
      <w:pPr>
        <w:pStyle w:val="Proposal"/>
      </w:pPr>
      <w:r w:rsidRPr="00B30C6E">
        <w:t>TP CA-1-vivo</w:t>
      </w:r>
    </w:p>
    <w:p w14:paraId="5E336A23" w14:textId="77777777" w:rsidR="00B30C6E" w:rsidRPr="00C41015" w:rsidRDefault="00B30C6E" w:rsidP="00B30C6E">
      <w:pPr>
        <w:pStyle w:val="aff3"/>
        <w:rPr>
          <w:rFonts w:eastAsia="等线"/>
        </w:rPr>
      </w:pPr>
      <w:bookmarkStart w:id="56" w:name="_Toc121822695"/>
      <w:bookmarkStart w:id="57" w:name="_Hlk130977027"/>
      <w:r w:rsidRPr="00C41015">
        <w:rPr>
          <w:rFonts w:eastAsia="等线"/>
        </w:rPr>
        <w:t>4.4.4</w:t>
      </w:r>
      <w:r w:rsidRPr="00C41015">
        <w:rPr>
          <w:rFonts w:eastAsia="等线"/>
        </w:rPr>
        <w:tab/>
        <w:t>Channel access procedures in an initiated channel occupancy</w:t>
      </w:r>
      <w:bookmarkEnd w:id="56"/>
    </w:p>
    <w:p w14:paraId="757BA4D1" w14:textId="77777777" w:rsidR="00B30C6E" w:rsidRPr="00C41015" w:rsidRDefault="00B30C6E" w:rsidP="00B30C6E">
      <w:pPr>
        <w:pStyle w:val="textintend1"/>
        <w:numPr>
          <w:ilvl w:val="0"/>
          <w:numId w:val="0"/>
        </w:numPr>
        <w:ind w:left="2726" w:firstLine="74"/>
        <w:rPr>
          <w:sz w:val="20"/>
        </w:rPr>
      </w:pPr>
      <w:r w:rsidRPr="00C41015">
        <w:rPr>
          <w:noProof/>
          <w:sz w:val="20"/>
        </w:rPr>
        <w:t>&lt;Unchanged parts omitted&gt;</w:t>
      </w:r>
    </w:p>
    <w:bookmarkEnd w:id="57"/>
    <w:p w14:paraId="236ED98B" w14:textId="77777777" w:rsidR="00B30C6E" w:rsidRPr="00401790" w:rsidRDefault="00B30C6E" w:rsidP="00B30C6E">
      <w:pPr>
        <w:spacing w:after="180"/>
        <w:rPr>
          <w:rFonts w:eastAsia="宋体"/>
          <w:szCs w:val="20"/>
          <w:lang w:val="en-GB"/>
        </w:rPr>
      </w:pPr>
      <w:r w:rsidRPr="00401790">
        <w:rPr>
          <w:rFonts w:eastAsia="宋体"/>
          <w:szCs w:val="20"/>
          <w:lang w:val="en-GB"/>
        </w:rPr>
        <w:t xml:space="preserve">If a gNB shares a channel occupancy initiated by a UE using configured grant PUSCH transmission and the UE is configured by </w:t>
      </w:r>
      <w:r w:rsidRPr="00401790">
        <w:rPr>
          <w:rFonts w:eastAsia="宋体"/>
          <w:i/>
          <w:iCs/>
          <w:szCs w:val="20"/>
          <w:lang w:val="en-GB"/>
        </w:rPr>
        <w:t>cg-COT-SharingList-r17</w:t>
      </w:r>
      <w:r w:rsidRPr="00401790">
        <w:rPr>
          <w:rFonts w:eastAsia="宋体"/>
          <w:szCs w:val="20"/>
          <w:lang w:val="en-GB"/>
        </w:rPr>
        <w:t xml:space="preserve">, the gNB may transmit a transmission that follows the configured grant PUSCH transmission by the UE if the following conditions are satisfied: </w:t>
      </w:r>
    </w:p>
    <w:p w14:paraId="6E9C6776" w14:textId="77777777" w:rsidR="00B30C6E" w:rsidRPr="00401790" w:rsidRDefault="00B30C6E" w:rsidP="00B30C6E">
      <w:pPr>
        <w:spacing w:after="180"/>
        <w:ind w:left="568" w:hanging="284"/>
        <w:rPr>
          <w:rFonts w:eastAsia="宋体"/>
          <w:szCs w:val="20"/>
          <w:lang w:val="en-GB"/>
        </w:rPr>
      </w:pPr>
      <w:r w:rsidRPr="00401790">
        <w:rPr>
          <w:rFonts w:eastAsia="宋体"/>
          <w:szCs w:val="20"/>
          <w:lang w:val="en-GB"/>
        </w:rPr>
        <w:t>-</w:t>
      </w:r>
      <w:r w:rsidRPr="00401790">
        <w:rPr>
          <w:rFonts w:eastAsia="宋体"/>
          <w:szCs w:val="20"/>
          <w:lang w:val="en-GB"/>
        </w:rPr>
        <w:tab/>
        <w:t xml:space="preserve">If the gNB determines that the 'COT sharing information' in CG-UCI in slot </w:t>
      </w:r>
      <w:r w:rsidRPr="00401790">
        <w:rPr>
          <w:rFonts w:eastAsia="宋体"/>
          <w:i/>
          <w:iCs/>
          <w:szCs w:val="20"/>
          <w:lang w:val="en-GB"/>
        </w:rPr>
        <w:t>n</w:t>
      </w:r>
      <w:r w:rsidRPr="00401790">
        <w:rPr>
          <w:rFonts w:eastAsia="宋体"/>
          <w:szCs w:val="20"/>
          <w:lang w:val="en-GB"/>
        </w:rPr>
        <w:t xml:space="preserve"> indicates a row index that corresponds to a </w:t>
      </w:r>
      <w:r w:rsidRPr="00401790">
        <w:rPr>
          <w:rFonts w:eastAsia="宋体"/>
          <w:i/>
          <w:szCs w:val="20"/>
          <w:lang w:val="en-GB"/>
        </w:rPr>
        <w:t xml:space="preserve">CG-COT-Sharing-r17 </w:t>
      </w:r>
      <w:r w:rsidRPr="00401790">
        <w:rPr>
          <w:rFonts w:eastAsia="宋体"/>
          <w:szCs w:val="20"/>
          <w:lang w:val="en-GB"/>
        </w:rPr>
        <w:t xml:space="preserve">that provides channel occupancy sharing information, the gNB can share the UE channel occupancy starting from slot </w:t>
      </w:r>
      <m:oMath>
        <m:r>
          <w:rPr>
            <w:rFonts w:ascii="Cambria Math" w:eastAsia="宋体" w:hAnsi="Cambria Math"/>
            <w:szCs w:val="20"/>
          </w:rPr>
          <m:t>n+O</m:t>
        </m:r>
      </m:oMath>
      <w:r w:rsidRPr="00401790">
        <w:rPr>
          <w:rFonts w:eastAsia="宋体"/>
          <w:szCs w:val="20"/>
          <w:lang w:val="en-GB"/>
        </w:rPr>
        <w:t xml:space="preserve">, where </w:t>
      </w:r>
      <m:oMath>
        <m:r>
          <w:rPr>
            <w:rFonts w:ascii="Cambria Math" w:eastAsia="宋体" w:hAnsi="Cambria Math"/>
            <w:szCs w:val="20"/>
          </w:rPr>
          <m:t>O=</m:t>
        </m:r>
      </m:oMath>
      <w:r w:rsidRPr="00401790">
        <w:rPr>
          <w:rFonts w:eastAsia="宋体"/>
          <w:i/>
          <w:szCs w:val="20"/>
          <w:lang w:val="en-GB"/>
        </w:rPr>
        <w:t xml:space="preserve"> offset-r17 </w:t>
      </w:r>
      <w:r w:rsidRPr="00401790">
        <w:rPr>
          <w:rFonts w:eastAsia="宋体"/>
          <w:szCs w:val="20"/>
          <w:lang w:val="en-GB"/>
        </w:rPr>
        <w:t xml:space="preserve">slots, for a duration of </w:t>
      </w:r>
      <m:oMath>
        <m:r>
          <w:rPr>
            <w:rFonts w:ascii="Cambria Math" w:eastAsia="宋体" w:hAnsi="Cambria Math"/>
            <w:szCs w:val="20"/>
          </w:rPr>
          <m:t>D=</m:t>
        </m:r>
      </m:oMath>
      <w:r w:rsidRPr="00401790">
        <w:rPr>
          <w:rFonts w:eastAsia="宋体"/>
          <w:i/>
          <w:szCs w:val="20"/>
          <w:lang w:val="en-GB"/>
        </w:rPr>
        <w:t>duration -r17</w:t>
      </w:r>
      <w:r w:rsidRPr="00401790">
        <w:rPr>
          <w:rFonts w:eastAsia="宋体"/>
          <w:szCs w:val="20"/>
          <w:lang w:val="en-GB"/>
        </w:rPr>
        <w:t xml:space="preserve"> slots where </w:t>
      </w:r>
      <w:r w:rsidRPr="00401790">
        <w:rPr>
          <w:rFonts w:eastAsia="宋体"/>
          <w:i/>
          <w:szCs w:val="20"/>
          <w:lang w:val="en-GB"/>
        </w:rPr>
        <w:t>duration-r17</w:t>
      </w:r>
      <w:r w:rsidRPr="00401790">
        <w:rPr>
          <w:rFonts w:eastAsia="宋体"/>
          <w:szCs w:val="20"/>
          <w:lang w:val="en-GB"/>
        </w:rPr>
        <w:t xml:space="preserve">, and </w:t>
      </w:r>
      <w:r w:rsidRPr="00401790">
        <w:rPr>
          <w:rFonts w:eastAsia="宋体"/>
          <w:i/>
          <w:szCs w:val="20"/>
          <w:lang w:val="en-GB"/>
        </w:rPr>
        <w:t>offset-r17</w:t>
      </w:r>
      <w:r w:rsidRPr="00401790">
        <w:rPr>
          <w:rFonts w:eastAsia="宋体"/>
          <w:szCs w:val="20"/>
          <w:lang w:val="en-GB"/>
        </w:rPr>
        <w:t xml:space="preserve"> are higher layer parameters provided by </w:t>
      </w:r>
      <w:r w:rsidRPr="00401790">
        <w:rPr>
          <w:rFonts w:eastAsia="宋体"/>
          <w:i/>
          <w:szCs w:val="20"/>
          <w:lang w:val="en-GB"/>
        </w:rPr>
        <w:t>CG-COT-Sharing-r17</w:t>
      </w:r>
      <w:r w:rsidRPr="00401790">
        <w:rPr>
          <w:rFonts w:eastAsia="宋体"/>
          <w:szCs w:val="20"/>
          <w:lang w:val="en-GB"/>
        </w:rPr>
        <w:t xml:space="preserve">. </w:t>
      </w:r>
    </w:p>
    <w:p w14:paraId="0139FC07" w14:textId="77777777" w:rsidR="00B30C6E" w:rsidRPr="0095519A" w:rsidRDefault="00B30C6E" w:rsidP="00B30C6E">
      <w:pPr>
        <w:spacing w:after="180"/>
        <w:rPr>
          <w:rFonts w:eastAsia="宋体"/>
          <w:szCs w:val="20"/>
        </w:rPr>
      </w:pPr>
      <w:r w:rsidRPr="0095519A">
        <w:rPr>
          <w:rFonts w:eastAsia="宋体"/>
          <w:szCs w:val="20"/>
        </w:rPr>
        <w:t>If a UE determines the duration in time domain and the location in frequency domain of a remaining channel occupancy initiated by the gNB from a DCI format 2_0 as described in clause 11.1.1 of [7], the following is applicable:</w:t>
      </w:r>
    </w:p>
    <w:p w14:paraId="28864A39" w14:textId="77777777" w:rsidR="00B30C6E" w:rsidRPr="0095519A" w:rsidRDefault="00B30C6E" w:rsidP="00B30C6E">
      <w:pPr>
        <w:spacing w:after="180"/>
        <w:ind w:left="568" w:hanging="284"/>
        <w:rPr>
          <w:rFonts w:eastAsia="等线"/>
          <w:szCs w:val="20"/>
          <w:lang w:val="en-GB"/>
        </w:rPr>
      </w:pPr>
      <w:r w:rsidRPr="0095519A">
        <w:rPr>
          <w:rFonts w:eastAsia="宋体"/>
          <w:szCs w:val="20"/>
          <w:lang w:val="en-GB"/>
        </w:rPr>
        <w:lastRenderedPageBreak/>
        <w:t>-</w:t>
      </w:r>
      <w:r w:rsidRPr="0095519A">
        <w:rPr>
          <w:rFonts w:eastAsia="宋体"/>
          <w:szCs w:val="20"/>
          <w:lang w:val="en-GB"/>
        </w:rPr>
        <w:tab/>
      </w:r>
      <w:r w:rsidRPr="0095519A">
        <w:rPr>
          <w:rFonts w:ascii="Times" w:eastAsia="Batang" w:hAnsi="Times"/>
          <w:szCs w:val="20"/>
          <w:lang w:val="en-GB"/>
        </w:rPr>
        <w:t xml:space="preserve">If </w:t>
      </w:r>
      <w:r w:rsidRPr="0095519A">
        <w:rPr>
          <w:rFonts w:ascii="Times" w:eastAsia="Batang" w:hAnsi="Times"/>
          <w:i/>
          <w:iCs/>
          <w:szCs w:val="20"/>
          <w:lang w:val="en-GB"/>
        </w:rPr>
        <w:t xml:space="preserve">ra-ChannelAccess-r17 </w:t>
      </w:r>
      <w:r w:rsidRPr="0095519A">
        <w:rPr>
          <w:rFonts w:ascii="Times" w:eastAsia="Batang" w:hAnsi="Times"/>
          <w:iCs/>
          <w:szCs w:val="20"/>
          <w:lang w:val="en-GB"/>
        </w:rPr>
        <w:t xml:space="preserve">is </w:t>
      </w:r>
      <w:r w:rsidRPr="0095519A">
        <w:rPr>
          <w:rFonts w:ascii="Times" w:eastAsia="Batang" w:hAnsi="Times"/>
          <w:szCs w:val="20"/>
          <w:lang w:val="en-GB"/>
        </w:rPr>
        <w:t>configured,</w:t>
      </w:r>
      <w:r w:rsidRPr="0095519A">
        <w:rPr>
          <w:rFonts w:eastAsia="宋体"/>
          <w:szCs w:val="20"/>
          <w:lang w:val="en-GB"/>
        </w:rPr>
        <w:t xml:space="preserve"> the UE may switch from Type 1 channel access procedures as described in clause </w:t>
      </w:r>
      <w:r w:rsidRPr="0095519A">
        <w:rPr>
          <w:rFonts w:eastAsia="宋体"/>
          <w:szCs w:val="20"/>
          <w:lang w:eastAsia="x-none"/>
        </w:rPr>
        <w:t>4.4.1</w:t>
      </w:r>
      <w:r w:rsidRPr="0095519A">
        <w:rPr>
          <w:rFonts w:eastAsia="宋体"/>
          <w:szCs w:val="20"/>
          <w:lang w:val="en-GB"/>
        </w:rPr>
        <w:t xml:space="preserve"> to Type 2 channel access procedures as described in clause </w:t>
      </w:r>
      <w:r w:rsidRPr="0095519A">
        <w:rPr>
          <w:rFonts w:eastAsia="宋体"/>
          <w:szCs w:val="20"/>
          <w:lang w:eastAsia="x-none"/>
        </w:rPr>
        <w:t>4.4.2</w:t>
      </w:r>
      <w:r w:rsidRPr="0095519A">
        <w:rPr>
          <w:rFonts w:eastAsia="宋体"/>
          <w:szCs w:val="20"/>
          <w:lang w:val="en-GB"/>
        </w:rPr>
        <w:t xml:space="preserve"> for its corresponding UL transmissions within the determined duration in time and location in frequency domain of the remaining channel occupancy. </w:t>
      </w:r>
      <w:r w:rsidRPr="0095519A">
        <w:rPr>
          <w:rFonts w:eastAsia="等线"/>
          <w:szCs w:val="20"/>
          <w:lang w:val="en-GB"/>
        </w:rPr>
        <w:t xml:space="preserve">Otherwise, </w:t>
      </w:r>
      <w:r w:rsidRPr="0095519A">
        <w:rPr>
          <w:rFonts w:eastAsia="宋体"/>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42DA3098" w14:textId="77777777" w:rsidR="00B30C6E" w:rsidRDefault="00B30C6E" w:rsidP="00B30C6E">
      <w:pPr>
        <w:pStyle w:val="textintend1"/>
        <w:numPr>
          <w:ilvl w:val="0"/>
          <w:numId w:val="0"/>
        </w:numPr>
        <w:ind w:left="2726" w:firstLine="74"/>
        <w:rPr>
          <w:noProof/>
          <w:sz w:val="20"/>
        </w:rPr>
      </w:pPr>
      <w:r w:rsidRPr="00C41015">
        <w:rPr>
          <w:noProof/>
          <w:sz w:val="20"/>
        </w:rPr>
        <w:t>&lt;Unchanged parts omitted&gt;</w:t>
      </w:r>
    </w:p>
    <w:p w14:paraId="5C7CBEA6" w14:textId="39F5C852" w:rsidR="000420A2" w:rsidRPr="00B30C6E" w:rsidRDefault="000420A2" w:rsidP="000420A2">
      <w:pPr>
        <w:pStyle w:val="Proposal"/>
      </w:pPr>
      <w:r w:rsidRPr="00B30C6E">
        <w:t>TP CA-1-</w:t>
      </w:r>
      <w:r>
        <w:t>Wilus</w:t>
      </w:r>
    </w:p>
    <w:p w14:paraId="35F8C0DA" w14:textId="77777777" w:rsidR="000420A2" w:rsidRPr="00DB7B4F" w:rsidRDefault="000420A2" w:rsidP="000420A2">
      <w:bookmarkStart w:id="58" w:name="_Toc114067715"/>
      <w:r w:rsidRPr="00DB7B4F">
        <w:t>4.4.4</w:t>
      </w:r>
      <w:r w:rsidRPr="00DB7B4F">
        <w:tab/>
        <w:t>Channel access procedures in an initiated channel occupancy</w:t>
      </w:r>
      <w:bookmarkEnd w:id="58"/>
    </w:p>
    <w:p w14:paraId="230B3E71" w14:textId="77777777" w:rsidR="000420A2" w:rsidRDefault="000420A2" w:rsidP="000420A2">
      <w:pPr>
        <w:rPr>
          <w:lang w:eastAsia="x-none"/>
        </w:rPr>
      </w:pPr>
      <w:r w:rsidRPr="00ED3A03">
        <w:rPr>
          <w:lang w:eastAsia="x-none"/>
        </w:rPr>
        <w:t xml:space="preserve">If a gNB/UE initiates a channel occupancy using the channel access procedures described in clause 4.4.1 on a channel, the gNB/UE may </w:t>
      </w:r>
      <w:r w:rsidRPr="00ED3A03">
        <w:t>transmit a DL/UL transmission(s) that is followed by a</w:t>
      </w:r>
      <w:r w:rsidRPr="00ED3A03">
        <w:rPr>
          <w:lang w:eastAsia="x-none"/>
        </w:rPr>
        <w:t xml:space="preserve"> UL/DL transmission(s) within the maximum </w:t>
      </w:r>
      <w:r w:rsidRPr="00ED3A03">
        <w:rPr>
          <w:i/>
          <w:iCs/>
          <w:lang w:eastAsia="x-none"/>
        </w:rPr>
        <w:t xml:space="preserve">Channel Occupancy Time </w:t>
      </w:r>
      <w:r w:rsidRPr="00ED3A03">
        <w:rPr>
          <w:lang w:eastAsia="x-none"/>
        </w:rPr>
        <w:t>described in Clause 4.4.1.</w:t>
      </w:r>
      <w:r>
        <w:rPr>
          <w:lang w:eastAsia="x-none"/>
        </w:rPr>
        <w:t xml:space="preserve"> The followings are applicable to the </w:t>
      </w:r>
      <w:r w:rsidRPr="00ED3A03">
        <w:rPr>
          <w:lang w:eastAsia="x-none"/>
        </w:rPr>
        <w:t>UL/DL transmission(s)</w:t>
      </w:r>
      <w:r>
        <w:rPr>
          <w:lang w:eastAsia="x-none"/>
        </w:rPr>
        <w:t>:</w:t>
      </w:r>
    </w:p>
    <w:p w14:paraId="01674754" w14:textId="77777777" w:rsidR="000420A2" w:rsidRPr="00ED3A03" w:rsidRDefault="000420A2" w:rsidP="000420A2">
      <w:pPr>
        <w:pStyle w:val="B1"/>
        <w:rPr>
          <w:lang w:val="en-US" w:eastAsia="x-none"/>
        </w:rPr>
      </w:pPr>
      <w:r>
        <w:rPr>
          <w:lang w:val="en-US"/>
        </w:rPr>
        <w:t>-</w:t>
      </w:r>
      <w:r>
        <w:rPr>
          <w:lang w:val="en-US"/>
        </w:rPr>
        <w:tab/>
        <w:t>The transmission bandwidth(s) corresponding to the UL/DL transmission(s) shall be within the DL/UL bandwidth part(s) where in the channel occupancy is initiated</w:t>
      </w:r>
      <w:r w:rsidRPr="00ED3A03">
        <w:rPr>
          <w:lang w:val="en-US" w:eastAsia="x-none"/>
        </w:rPr>
        <w:t>:</w:t>
      </w:r>
    </w:p>
    <w:p w14:paraId="7227FF8F" w14:textId="77777777" w:rsidR="000420A2" w:rsidRPr="00ED3A03" w:rsidRDefault="000420A2" w:rsidP="000420A2">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UL/DL transmission(s) and previous DL/UL transmission(s) on the channel, </w:t>
      </w:r>
      <w:r w:rsidRPr="00ED3A03">
        <w:rPr>
          <w:lang w:val="en-US" w:eastAsia="x-none"/>
        </w:rPr>
        <w:t>the UL/DL transmission(s) occurs following the procedures described in Clause 4.4.3; or</w:t>
      </w:r>
    </w:p>
    <w:p w14:paraId="03840AF0" w14:textId="77777777" w:rsidR="000420A2" w:rsidRDefault="000420A2" w:rsidP="000420A2">
      <w:pPr>
        <w:pStyle w:val="B1"/>
        <w:rPr>
          <w:lang w:val="en-US" w:eastAsia="x-none"/>
        </w:rPr>
      </w:pPr>
      <w:r w:rsidRPr="00ED3A03">
        <w:rPr>
          <w:lang w:eastAsia="x-none"/>
        </w:rPr>
        <w:t>-</w:t>
      </w:r>
      <w:r w:rsidRPr="00ED3A03">
        <w:rPr>
          <w:lang w:eastAsia="x-none"/>
        </w:rPr>
        <w:tab/>
        <w:t xml:space="preserve">if the gap between the </w:t>
      </w:r>
      <w:r w:rsidRPr="00ED3A03">
        <w:rPr>
          <w:lang w:val="en-US" w:eastAsia="x-none"/>
        </w:rPr>
        <w:t xml:space="preserve">UL/DL transmission(s) and previous DL/UL transmission(s) on the channel is more than a threshold that is determined by the gNB and is at least </w:t>
      </w:r>
      <m:oMath>
        <m:r>
          <w:rPr>
            <w:rFonts w:ascii="Cambria Math" w:hAnsi="Cambria Math"/>
          </w:rPr>
          <m:t>8μs</m:t>
        </m:r>
      </m:oMath>
      <w:r w:rsidRPr="00ED3A03">
        <w:rPr>
          <w:lang w:val="en-US" w:eastAsia="x-none"/>
        </w:rPr>
        <w:t xml:space="preserve">, </w:t>
      </w:r>
      <w:r w:rsidRPr="00ED3A03">
        <w:rPr>
          <w:lang w:eastAsia="x-none"/>
        </w:rPr>
        <w:t xml:space="preserve">the </w:t>
      </w:r>
      <w:r w:rsidRPr="00ED3A03">
        <w:rPr>
          <w:lang w:val="en-US" w:eastAsia="x-none"/>
        </w:rPr>
        <w:t xml:space="preserve">UL/DL transmission(s) occurs following the procedures described in Clause 4.4.2. Otherwise, </w:t>
      </w:r>
      <w:r w:rsidRPr="00ED3A03">
        <w:rPr>
          <w:lang w:eastAsia="x-none"/>
        </w:rPr>
        <w:t xml:space="preserve">the </w:t>
      </w:r>
      <w:r w:rsidRPr="00ED3A03">
        <w:rPr>
          <w:lang w:val="en-US" w:eastAsia="x-none"/>
        </w:rPr>
        <w:t>UL/DL transmission(s) occurs following the procedures described in Clause 4.4.3.</w:t>
      </w:r>
    </w:p>
    <w:p w14:paraId="7BA44D1C" w14:textId="77777777" w:rsidR="000420A2" w:rsidRPr="00ED3A03" w:rsidRDefault="000420A2" w:rsidP="000420A2">
      <w:pPr>
        <w:rPr>
          <w:lang w:eastAsia="x-none"/>
        </w:rPr>
      </w:pPr>
      <w:r w:rsidRPr="00ED3A03">
        <w:rPr>
          <w:lang w:eastAsia="x-none"/>
        </w:rPr>
        <w:t xml:space="preserve">If a gNB initiates a channel occupancy using the channel access procedures described in clause 4.4.1 on a channel, the gNB may </w:t>
      </w:r>
      <w:r w:rsidRPr="00ED3A03">
        <w:t>transmit a</w:t>
      </w:r>
      <w:r w:rsidRPr="00ED3A03">
        <w:rPr>
          <w:lang w:eastAsia="x-none"/>
        </w:rPr>
        <w:t xml:space="preserve"> DL transmission(s) </w:t>
      </w:r>
      <w:r>
        <w:rPr>
          <w:lang w:eastAsia="x-none"/>
        </w:rPr>
        <w:t xml:space="preserve">on the channel </w:t>
      </w:r>
      <w:r w:rsidRPr="00ED3A03">
        <w:rPr>
          <w:lang w:eastAsia="x-none"/>
        </w:rPr>
        <w:t xml:space="preserve">within the maximum </w:t>
      </w:r>
      <w:r w:rsidRPr="00ED3A03">
        <w:rPr>
          <w:i/>
          <w:iCs/>
          <w:lang w:eastAsia="x-none"/>
        </w:rPr>
        <w:t xml:space="preserve">Channel Occupancy Time </w:t>
      </w:r>
      <w:r w:rsidRPr="00ED3A03">
        <w:rPr>
          <w:lang w:eastAsia="x-none"/>
        </w:rPr>
        <w:t>described in Clause 4.4.1</w:t>
      </w:r>
      <w:r>
        <w:rPr>
          <w:lang w:eastAsia="x-none"/>
        </w:rPr>
        <w:t xml:space="preserve"> on the channel </w:t>
      </w:r>
      <w:r>
        <w:t>after the</w:t>
      </w:r>
      <w:r w:rsidRPr="00ED3A03">
        <w:t xml:space="preserve"> DL transmission(s) </w:t>
      </w:r>
      <w:r>
        <w:t>initiating the channel occupancy</w:t>
      </w:r>
      <w:r>
        <w:rPr>
          <w:lang w:eastAsia="x-none"/>
        </w:rPr>
        <w:t xml:space="preserve">. The followings are applicable to the </w:t>
      </w:r>
      <w:r w:rsidRPr="00ED3A03">
        <w:rPr>
          <w:lang w:eastAsia="x-none"/>
        </w:rPr>
        <w:t>DL transmission(s)</w:t>
      </w:r>
      <w:r>
        <w:rPr>
          <w:lang w:eastAsia="x-none"/>
        </w:rPr>
        <w:t>:</w:t>
      </w:r>
    </w:p>
    <w:p w14:paraId="692F26A7" w14:textId="77777777" w:rsidR="000420A2" w:rsidRPr="00ED3A03" w:rsidRDefault="000420A2" w:rsidP="000420A2">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50EABBB2" w14:textId="77777777" w:rsidR="000420A2" w:rsidRPr="00287633" w:rsidRDefault="000420A2" w:rsidP="000420A2">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582F6C23" w14:textId="77777777" w:rsidR="000420A2" w:rsidRPr="00287633" w:rsidRDefault="000420A2" w:rsidP="000420A2">
      <w:r w:rsidRPr="00287633">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2E5457B4" w14:textId="77777777" w:rsidR="000420A2" w:rsidRPr="00287633" w:rsidRDefault="000420A2" w:rsidP="000420A2">
      <w:pPr>
        <w:pStyle w:val="B1"/>
        <w:rPr>
          <w:rFonts w:eastAsia="Calibri"/>
        </w:rPr>
      </w:pPr>
      <w:r>
        <w:rPr>
          <w:rFonts w:eastAsia="Calibri"/>
          <w:lang w:eastAsia="zh-CN"/>
        </w:rPr>
        <w:t>-</w:t>
      </w:r>
      <w:r>
        <w:rPr>
          <w:rFonts w:eastAsia="Calibri"/>
          <w:lang w:eastAsia="zh-CN"/>
        </w:rPr>
        <w:tab/>
      </w:r>
      <w:r w:rsidRPr="00287633">
        <w:rPr>
          <w:rFonts w:eastAsia="Calibri"/>
          <w:lang w:eastAsia="zh-CN"/>
        </w:rPr>
        <w:t xml:space="preserve">The DL transmission </w:t>
      </w:r>
      <w:r w:rsidRPr="00287633">
        <w:rPr>
          <w:rFonts w:eastAsia="Calibri"/>
        </w:rPr>
        <w:t>shall contain transmission to the UE that initiated the channel occupancy</w:t>
      </w:r>
      <w:r w:rsidRPr="00287633">
        <w:rPr>
          <w:rFonts w:eastAsia="Calibri"/>
          <w:lang w:eastAsia="zh-CN"/>
        </w:rPr>
        <w:t xml:space="preserve"> and can include </w:t>
      </w:r>
      <w:r w:rsidRPr="00287633">
        <w:rPr>
          <w:rFonts w:eastAsia="Calibri"/>
        </w:rPr>
        <w:t>non-unicast and/or unicast transmissions where any unicast transmission that includes user plane data is only transmitted to the UE that initiated the channel occupancy.</w:t>
      </w:r>
    </w:p>
    <w:p w14:paraId="74B557D3" w14:textId="77777777" w:rsidR="000420A2" w:rsidRPr="00287633" w:rsidRDefault="000420A2" w:rsidP="000420A2">
      <w:r w:rsidRPr="00287633">
        <w:rPr>
          <w:lang w:eastAsia="x-none"/>
        </w:rPr>
        <w:t xml:space="preserve">When a </w:t>
      </w:r>
      <w:r w:rsidRPr="00287633">
        <w:t xml:space="preserve">UE is provided </w:t>
      </w:r>
      <w:r w:rsidRPr="00287633">
        <w:rPr>
          <w:i/>
          <w:iCs/>
        </w:rPr>
        <w:t>cg-COT-SharingList-r17</w:t>
      </w:r>
      <w:r w:rsidRPr="00287633">
        <w:t xml:space="preserve"> by higher layers, the UE is configured with</w:t>
      </w:r>
      <w:r w:rsidRPr="00287633">
        <w:rPr>
          <w:iCs/>
        </w:rPr>
        <w:t xml:space="preserve"> a </w:t>
      </w:r>
      <w:r w:rsidRPr="00287633">
        <w:t xml:space="preserve">table wherein each row is given by higher layer parameter </w:t>
      </w:r>
      <w:r w:rsidRPr="00287633">
        <w:rPr>
          <w:i/>
        </w:rPr>
        <w:t>CG-COT-Sharing-r17</w:t>
      </w:r>
      <w:r w:rsidRPr="00287633">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6BF725C6" w14:textId="77777777" w:rsidR="000420A2" w:rsidRPr="00287633" w:rsidRDefault="000420A2" w:rsidP="000420A2">
      <w:r w:rsidRPr="00287633">
        <w:lastRenderedPageBreak/>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0370FAF8" w14:textId="77777777" w:rsidR="000420A2" w:rsidRPr="00BB67C6" w:rsidRDefault="000420A2" w:rsidP="000420A2">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2058AE13" w14:textId="77777777" w:rsidR="000420A2" w:rsidRPr="00DB7B4F" w:rsidRDefault="000420A2" w:rsidP="000420A2">
      <w:pPr>
        <w:rPr>
          <w:ins w:id="59" w:author="Noh Minseok" w:date="2022-09-30T16:02:00Z"/>
          <w:rFonts w:eastAsia="Malgun Gothic"/>
        </w:rPr>
      </w:pPr>
      <w:ins w:id="60" w:author="Noh Minseok" w:date="2022-09-30T16:02:00Z">
        <w:r w:rsidRPr="00DB7B4F">
          <w:rPr>
            <w:rFonts w:eastAsia="Malgun Gothic"/>
          </w:rPr>
          <w:t>If a UE determines the duration in time domain and the location in frequency domain of a remaining channel occupancy initiated by the gNB from a DCI format 2_0 as described in clause 11.1.1 of [7], the following is applicable:</w:t>
        </w:r>
      </w:ins>
    </w:p>
    <w:p w14:paraId="051AC84D" w14:textId="77777777" w:rsidR="000420A2" w:rsidRPr="00DB7B4F" w:rsidRDefault="000420A2" w:rsidP="000420A2">
      <w:pPr>
        <w:ind w:left="568" w:hanging="284"/>
        <w:rPr>
          <w:ins w:id="61" w:author="Noh Minseok" w:date="2022-09-30T16:02:00Z"/>
          <w:rFonts w:eastAsia="Malgun Gothic"/>
          <w:sz w:val="18"/>
          <w:szCs w:val="18"/>
        </w:rPr>
      </w:pPr>
      <w:ins w:id="62" w:author="Noh Minseok" w:date="2022-09-30T16:02:00Z">
        <w:r w:rsidRPr="00DB7B4F">
          <w:rPr>
            <w:rFonts w:eastAsia="Malgun Gothic"/>
          </w:rPr>
          <w:t>-</w:t>
        </w:r>
        <w:r w:rsidRPr="00DB7B4F">
          <w:rPr>
            <w:rFonts w:eastAsia="Malgun Gothic"/>
            <w:sz w:val="22"/>
            <w:szCs w:val="22"/>
          </w:rPr>
          <w:tab/>
        </w:r>
        <w:r w:rsidRPr="00DB7B4F">
          <w:rPr>
            <w:rFonts w:eastAsia="Malgun Gothic"/>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Malgun Gothic"/>
            <w:i/>
            <w:iCs/>
          </w:rPr>
          <w:t>ra</w:t>
        </w:r>
      </w:ins>
      <w:ins w:id="64" w:author="Noh Minseok" w:date="2022-09-30T16:02:00Z">
        <w:r w:rsidRPr="00DB7B4F">
          <w:rPr>
            <w:rFonts w:eastAsia="Malgun Gothic"/>
            <w:i/>
            <w:iCs/>
          </w:rPr>
          <w:t>-ChannelAccess-r17</w:t>
        </w:r>
        <w:r w:rsidRPr="00DB7B4F">
          <w:rPr>
            <w:rFonts w:eastAsia="Malgun Gothic"/>
          </w:rPr>
          <w:t xml:space="preserve"> is </w:t>
        </w:r>
      </w:ins>
      <w:ins w:id="65" w:author="Noh Minseok" w:date="2023-02-15T18:40:00Z">
        <w:r>
          <w:rPr>
            <w:rFonts w:eastAsia="Malgun Gothic"/>
          </w:rPr>
          <w:t>configured</w:t>
        </w:r>
      </w:ins>
      <w:ins w:id="66" w:author="Noh Minseok" w:date="2022-09-30T16:02:00Z">
        <w:r w:rsidRPr="00DB7B4F">
          <w:rPr>
            <w:rFonts w:eastAsia="Malgun Gothic"/>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751521CB" w14:textId="77777777" w:rsidR="000420A2" w:rsidRDefault="000420A2" w:rsidP="00AC70A6"/>
    <w:p w14:paraId="0E438CB1" w14:textId="77777777" w:rsidR="000420A2" w:rsidRDefault="000420A2" w:rsidP="00AC70A6"/>
    <w:p w14:paraId="4F457079" w14:textId="77777777" w:rsidR="000420A2" w:rsidRDefault="000420A2" w:rsidP="00AC70A6"/>
    <w:p w14:paraId="1ED33767" w14:textId="6526A6BB" w:rsidR="00E27EAA" w:rsidRDefault="00E27EAA" w:rsidP="00AC70A6"/>
    <w:p w14:paraId="47CEFE59" w14:textId="2FE4838C" w:rsidR="002061E0" w:rsidRDefault="002061E0">
      <w:pPr>
        <w:pStyle w:val="1"/>
        <w:numPr>
          <w:ilvl w:val="0"/>
          <w:numId w:val="33"/>
        </w:numPr>
        <w:rPr>
          <w:lang w:val="en-US"/>
        </w:rPr>
      </w:pPr>
      <w:r>
        <w:rPr>
          <w:lang w:val="en-US"/>
        </w:rPr>
        <w:t>Discussion</w:t>
      </w:r>
    </w:p>
    <w:p w14:paraId="7BB73E40" w14:textId="0AD5DB2A" w:rsidR="00D5172F" w:rsidRDefault="00D5172F" w:rsidP="00D5172F">
      <w:r>
        <w:t>Please provide your view in the following tables</w:t>
      </w:r>
      <w:r w:rsidR="00AA5F3B">
        <w:t xml:space="preserve"> for the support AND objection for each alternative</w:t>
      </w:r>
      <w:r w:rsidR="00D20F43">
        <w:t xml:space="preserve"> (Multiple choices are allowed).</w:t>
      </w:r>
    </w:p>
    <w:p w14:paraId="0B05265D" w14:textId="77777777" w:rsidR="00D20F43" w:rsidRDefault="00D20F43" w:rsidP="00D5172F"/>
    <w:tbl>
      <w:tblPr>
        <w:tblStyle w:val="aff8"/>
        <w:tblW w:w="0" w:type="auto"/>
        <w:tblLook w:val="04A0" w:firstRow="1" w:lastRow="0" w:firstColumn="1" w:lastColumn="0" w:noHBand="0" w:noVBand="1"/>
      </w:tblPr>
      <w:tblGrid>
        <w:gridCol w:w="1654"/>
        <w:gridCol w:w="1654"/>
        <w:gridCol w:w="1654"/>
        <w:gridCol w:w="1654"/>
        <w:gridCol w:w="1655"/>
        <w:gridCol w:w="1655"/>
      </w:tblGrid>
      <w:tr w:rsidR="00AA5F3B" w14:paraId="041B8DFD" w14:textId="77777777" w:rsidTr="00AA5F3B">
        <w:tc>
          <w:tcPr>
            <w:tcW w:w="1654" w:type="dxa"/>
          </w:tcPr>
          <w:p w14:paraId="6EC45719" w14:textId="318FDF8C" w:rsidR="00AA5F3B" w:rsidRDefault="00AA5F3B" w:rsidP="00D5172F">
            <w:r>
              <w:t>Company</w:t>
            </w:r>
          </w:p>
        </w:tc>
        <w:tc>
          <w:tcPr>
            <w:tcW w:w="1654" w:type="dxa"/>
          </w:tcPr>
          <w:p w14:paraId="7D4E5F3A" w14:textId="04AA5D35" w:rsidR="00AA5F3B" w:rsidRDefault="00AA5F3B" w:rsidP="00D5172F">
            <w:r>
              <w:t>Alt 1</w:t>
            </w:r>
          </w:p>
        </w:tc>
        <w:tc>
          <w:tcPr>
            <w:tcW w:w="1654" w:type="dxa"/>
          </w:tcPr>
          <w:p w14:paraId="42A82BBB" w14:textId="3E0E3A4A" w:rsidR="00AA5F3B" w:rsidRDefault="00AA5F3B" w:rsidP="00D5172F">
            <w:r>
              <w:t>Alt 2</w:t>
            </w:r>
          </w:p>
        </w:tc>
        <w:tc>
          <w:tcPr>
            <w:tcW w:w="1654" w:type="dxa"/>
          </w:tcPr>
          <w:p w14:paraId="48A281EB" w14:textId="18F3EA56" w:rsidR="00AA5F3B" w:rsidRDefault="00AA5F3B" w:rsidP="00D5172F">
            <w:r>
              <w:t>Alt 3</w:t>
            </w:r>
          </w:p>
        </w:tc>
        <w:tc>
          <w:tcPr>
            <w:tcW w:w="1655" w:type="dxa"/>
          </w:tcPr>
          <w:p w14:paraId="1D5EFE2C" w14:textId="3D9F592B" w:rsidR="00AA5F3B" w:rsidRDefault="00AA5F3B" w:rsidP="00D5172F">
            <w:r>
              <w:t>Alt 4</w:t>
            </w:r>
          </w:p>
        </w:tc>
        <w:tc>
          <w:tcPr>
            <w:tcW w:w="1655" w:type="dxa"/>
          </w:tcPr>
          <w:p w14:paraId="6049A3BE" w14:textId="69B68014" w:rsidR="00AA5F3B" w:rsidRDefault="00AA5F3B" w:rsidP="00D5172F">
            <w:r>
              <w:t>Alt 5</w:t>
            </w:r>
          </w:p>
        </w:tc>
      </w:tr>
      <w:tr w:rsidR="00AA5F3B" w14:paraId="239BD64F" w14:textId="77777777" w:rsidTr="00AA5F3B">
        <w:tc>
          <w:tcPr>
            <w:tcW w:w="1654" w:type="dxa"/>
          </w:tcPr>
          <w:p w14:paraId="3022CDD8" w14:textId="5AF65859" w:rsidR="00AA5F3B" w:rsidRDefault="00AA5F3B" w:rsidP="00D5172F">
            <w:r>
              <w:t>Qualcomm</w:t>
            </w:r>
          </w:p>
        </w:tc>
        <w:tc>
          <w:tcPr>
            <w:tcW w:w="1654" w:type="dxa"/>
          </w:tcPr>
          <w:p w14:paraId="423FB461" w14:textId="69A4C682" w:rsidR="00AA5F3B" w:rsidRDefault="00B22325" w:rsidP="00D5172F">
            <w:r>
              <w:t>Y</w:t>
            </w:r>
          </w:p>
        </w:tc>
        <w:tc>
          <w:tcPr>
            <w:tcW w:w="1654" w:type="dxa"/>
          </w:tcPr>
          <w:p w14:paraId="20F7D012" w14:textId="033B2757" w:rsidR="00AA5F3B" w:rsidRDefault="00DF1731" w:rsidP="00D5172F">
            <w:r>
              <w:t>N</w:t>
            </w:r>
          </w:p>
        </w:tc>
        <w:tc>
          <w:tcPr>
            <w:tcW w:w="1654" w:type="dxa"/>
          </w:tcPr>
          <w:p w14:paraId="5DF60C6B" w14:textId="11EE13BD" w:rsidR="00AA5F3B" w:rsidRDefault="00DF1731" w:rsidP="00D5172F">
            <w:r>
              <w:t>Y</w:t>
            </w:r>
          </w:p>
        </w:tc>
        <w:tc>
          <w:tcPr>
            <w:tcW w:w="1655" w:type="dxa"/>
          </w:tcPr>
          <w:p w14:paraId="43474275" w14:textId="1FDFAD17" w:rsidR="00AA5F3B" w:rsidRDefault="00D20F43" w:rsidP="00D5172F">
            <w:r>
              <w:t>Y</w:t>
            </w:r>
          </w:p>
        </w:tc>
        <w:tc>
          <w:tcPr>
            <w:tcW w:w="1655" w:type="dxa"/>
          </w:tcPr>
          <w:p w14:paraId="1FCD5753" w14:textId="63000A38" w:rsidR="00AA5F3B" w:rsidRDefault="00D20F43" w:rsidP="00D5172F">
            <w:r>
              <w:t>N</w:t>
            </w:r>
          </w:p>
        </w:tc>
      </w:tr>
      <w:tr w:rsidR="00DD1637" w14:paraId="3EE7CAF6" w14:textId="77777777" w:rsidTr="00AA5F3B">
        <w:tc>
          <w:tcPr>
            <w:tcW w:w="1654" w:type="dxa"/>
          </w:tcPr>
          <w:p w14:paraId="1D9FE8B2" w14:textId="2F84B28E" w:rsidR="00DD1637" w:rsidRDefault="007253C2" w:rsidP="00D5172F">
            <w:pPr>
              <w:rPr>
                <w:rFonts w:hint="eastAsia"/>
                <w:lang w:eastAsia="zh-CN"/>
              </w:rPr>
            </w:pPr>
            <w:r>
              <w:rPr>
                <w:rFonts w:hint="eastAsia"/>
                <w:lang w:eastAsia="zh-CN"/>
              </w:rPr>
              <w:t>X</w:t>
            </w:r>
            <w:r>
              <w:rPr>
                <w:lang w:eastAsia="zh-CN"/>
              </w:rPr>
              <w:t>iaomi</w:t>
            </w:r>
          </w:p>
        </w:tc>
        <w:tc>
          <w:tcPr>
            <w:tcW w:w="1654" w:type="dxa"/>
          </w:tcPr>
          <w:p w14:paraId="1AAEB541" w14:textId="1C17055E" w:rsidR="00DD1637" w:rsidRDefault="007253C2" w:rsidP="00D5172F">
            <w:r>
              <w:t>Y</w:t>
            </w:r>
          </w:p>
        </w:tc>
        <w:tc>
          <w:tcPr>
            <w:tcW w:w="1654" w:type="dxa"/>
          </w:tcPr>
          <w:p w14:paraId="3B6C481E" w14:textId="3A35A3B1" w:rsidR="00DD1637" w:rsidRDefault="007253C2" w:rsidP="00D5172F">
            <w:pPr>
              <w:rPr>
                <w:rFonts w:hint="eastAsia"/>
                <w:lang w:eastAsia="zh-CN"/>
              </w:rPr>
            </w:pPr>
            <w:r>
              <w:rPr>
                <w:rFonts w:hint="eastAsia"/>
                <w:lang w:eastAsia="zh-CN"/>
              </w:rPr>
              <w:t>N</w:t>
            </w:r>
          </w:p>
        </w:tc>
        <w:tc>
          <w:tcPr>
            <w:tcW w:w="1654" w:type="dxa"/>
          </w:tcPr>
          <w:p w14:paraId="44178801" w14:textId="22F3952B" w:rsidR="00DD1637" w:rsidRDefault="00DD1637" w:rsidP="00D5172F">
            <w:pPr>
              <w:rPr>
                <w:rFonts w:hint="eastAsia"/>
                <w:lang w:eastAsia="zh-CN"/>
              </w:rPr>
            </w:pPr>
          </w:p>
        </w:tc>
        <w:tc>
          <w:tcPr>
            <w:tcW w:w="1655" w:type="dxa"/>
          </w:tcPr>
          <w:p w14:paraId="55C977C9" w14:textId="5AF82942" w:rsidR="00DD1637" w:rsidRDefault="007253C2" w:rsidP="00D5172F">
            <w:pPr>
              <w:rPr>
                <w:rFonts w:hint="eastAsia"/>
                <w:lang w:eastAsia="zh-CN"/>
              </w:rPr>
            </w:pPr>
            <w:r>
              <w:rPr>
                <w:rFonts w:hint="eastAsia"/>
                <w:lang w:eastAsia="zh-CN"/>
              </w:rPr>
              <w:t>Y</w:t>
            </w:r>
          </w:p>
        </w:tc>
        <w:tc>
          <w:tcPr>
            <w:tcW w:w="1655" w:type="dxa"/>
          </w:tcPr>
          <w:p w14:paraId="2D0549AA" w14:textId="6A9FF4A2" w:rsidR="00DD1637" w:rsidRDefault="007253C2" w:rsidP="00D5172F">
            <w:pPr>
              <w:rPr>
                <w:rFonts w:hint="eastAsia"/>
                <w:lang w:eastAsia="zh-CN"/>
              </w:rPr>
            </w:pPr>
            <w:r>
              <w:rPr>
                <w:rFonts w:hint="eastAsia"/>
                <w:lang w:eastAsia="zh-CN"/>
              </w:rPr>
              <w:t>N</w:t>
            </w:r>
          </w:p>
        </w:tc>
      </w:tr>
    </w:tbl>
    <w:p w14:paraId="31D30819" w14:textId="77777777" w:rsidR="00AA5F3B" w:rsidRDefault="00AA5F3B" w:rsidP="00D5172F"/>
    <w:p w14:paraId="34BE9825" w14:textId="32B0FA2D" w:rsidR="00D20F43" w:rsidRDefault="00DF1731" w:rsidP="00D5172F">
      <w:r>
        <w:t>Please provide additional comments below:</w:t>
      </w:r>
    </w:p>
    <w:tbl>
      <w:tblPr>
        <w:tblStyle w:val="aff8"/>
        <w:tblW w:w="0" w:type="auto"/>
        <w:tblLook w:val="04A0" w:firstRow="1" w:lastRow="0" w:firstColumn="1" w:lastColumn="0" w:noHBand="0" w:noVBand="1"/>
      </w:tblPr>
      <w:tblGrid>
        <w:gridCol w:w="1615"/>
        <w:gridCol w:w="8311"/>
      </w:tblGrid>
      <w:tr w:rsidR="00D97F36" w14:paraId="165737F2" w14:textId="77777777" w:rsidTr="00D97F36">
        <w:tc>
          <w:tcPr>
            <w:tcW w:w="1615" w:type="dxa"/>
          </w:tcPr>
          <w:p w14:paraId="3C21DCDA" w14:textId="552B775A" w:rsidR="00D97F36" w:rsidRDefault="00D97F36" w:rsidP="00D5172F">
            <w:r>
              <w:t>Company</w:t>
            </w:r>
          </w:p>
        </w:tc>
        <w:tc>
          <w:tcPr>
            <w:tcW w:w="8311" w:type="dxa"/>
          </w:tcPr>
          <w:p w14:paraId="7A227108" w14:textId="0149314F" w:rsidR="00D97F36" w:rsidRDefault="00D97F36" w:rsidP="00D5172F">
            <w:r>
              <w:t>Comments</w:t>
            </w:r>
          </w:p>
        </w:tc>
      </w:tr>
      <w:tr w:rsidR="00D97F36" w14:paraId="0C1A09D5" w14:textId="77777777" w:rsidTr="00D97F36">
        <w:tc>
          <w:tcPr>
            <w:tcW w:w="1615" w:type="dxa"/>
          </w:tcPr>
          <w:p w14:paraId="2B09F217" w14:textId="7C2CEA33" w:rsidR="00D97F36" w:rsidRDefault="00D97F36" w:rsidP="00D5172F">
            <w:r>
              <w:t>Qualcomm</w:t>
            </w:r>
          </w:p>
        </w:tc>
        <w:tc>
          <w:tcPr>
            <w:tcW w:w="8311" w:type="dxa"/>
          </w:tcPr>
          <w:p w14:paraId="07F50DB0" w14:textId="77777777" w:rsidR="00D97F36" w:rsidRDefault="008F2ACA" w:rsidP="00D5172F">
            <w:r>
              <w:t xml:space="preserve">We don’t see a reliable way for UE to know the local regulation. Thus cannot support Alt 2. </w:t>
            </w:r>
          </w:p>
          <w:p w14:paraId="7D6CC547" w14:textId="77777777" w:rsidR="00653821" w:rsidRDefault="00653821" w:rsidP="00D5172F">
            <w:r w:rsidRPr="00980447">
              <w:t>ra-ChannelAccess-r17</w:t>
            </w:r>
            <w:r>
              <w:t xml:space="preserve"> is for the control of a separate feature, and we </w:t>
            </w:r>
            <w:r w:rsidR="00BB529B">
              <w:t xml:space="preserve">don’t </w:t>
            </w:r>
            <w:r w:rsidR="0022206B">
              <w:t xml:space="preserve">support </w:t>
            </w:r>
            <w:r w:rsidR="00BB529B">
              <w:t xml:space="preserve">sharing </w:t>
            </w:r>
            <w:r w:rsidR="0022206B">
              <w:t xml:space="preserve">RRC </w:t>
            </w:r>
            <w:r w:rsidR="00BB529B">
              <w:t>control</w:t>
            </w:r>
            <w:r w:rsidR="0022206B">
              <w:t>.</w:t>
            </w:r>
          </w:p>
          <w:p w14:paraId="62E1AC38" w14:textId="77777777" w:rsidR="0022206B" w:rsidRDefault="0022206B" w:rsidP="00D5172F">
            <w:r>
              <w:t xml:space="preserve">We are open for Alt 1 or Alt 3. Alt 1 support </w:t>
            </w:r>
            <w:r w:rsidR="00E63836">
              <w:t xml:space="preserve">the functionality is most cases and is preferred. Alt 3 is simpler (do nothing). </w:t>
            </w:r>
          </w:p>
          <w:p w14:paraId="37993885" w14:textId="3D78C258" w:rsidR="00E63836" w:rsidRDefault="00E63836" w:rsidP="00D5172F">
            <w:r>
              <w:t>Alt 4 is also acceptable for us though the spec impact might be larger.</w:t>
            </w:r>
          </w:p>
        </w:tc>
      </w:tr>
      <w:tr w:rsidR="00D97F36" w14:paraId="05F1BFF6" w14:textId="77777777" w:rsidTr="00D97F36">
        <w:tc>
          <w:tcPr>
            <w:tcW w:w="1615" w:type="dxa"/>
          </w:tcPr>
          <w:p w14:paraId="5DF7D6BE" w14:textId="3A327292" w:rsidR="00D97F36" w:rsidRDefault="00C23EFC" w:rsidP="00D5172F">
            <w:pPr>
              <w:rPr>
                <w:rFonts w:hint="eastAsia"/>
                <w:lang w:eastAsia="zh-CN"/>
              </w:rPr>
            </w:pPr>
            <w:r>
              <w:rPr>
                <w:lang w:eastAsia="zh-CN"/>
              </w:rPr>
              <w:t>X</w:t>
            </w:r>
            <w:r w:rsidR="007253C2">
              <w:rPr>
                <w:lang w:eastAsia="zh-CN"/>
              </w:rPr>
              <w:t>iaomi</w:t>
            </w:r>
          </w:p>
        </w:tc>
        <w:tc>
          <w:tcPr>
            <w:tcW w:w="8311" w:type="dxa"/>
          </w:tcPr>
          <w:p w14:paraId="325E1D14" w14:textId="77777777" w:rsidR="00D97F36" w:rsidRDefault="007253C2" w:rsidP="00D5172F">
            <w:pPr>
              <w:rPr>
                <w:lang w:eastAsia="zh-CN"/>
              </w:rPr>
            </w:pPr>
            <w:r>
              <w:rPr>
                <w:lang w:eastAsia="zh-CN"/>
              </w:rPr>
              <w:t>We slightly prefer to support a mechanism that UE can switch from Type1 LBT to Type 2/3. And we support the procedures in Alt 1, and Alt 4 defines how  to judge “</w:t>
            </w:r>
            <w:r w:rsidRPr="00AD27C6">
              <w:t>if UE supports Type 2 LBT</w:t>
            </w:r>
            <w:r>
              <w:t xml:space="preserve"> or </w:t>
            </w:r>
            <w:r w:rsidRPr="00AD27C6">
              <w:t xml:space="preserve">Type </w:t>
            </w:r>
            <w:r>
              <w:t>3</w:t>
            </w:r>
            <w:r w:rsidRPr="00AD27C6">
              <w:t xml:space="preserve"> LBT</w:t>
            </w:r>
            <w:r>
              <w:rPr>
                <w:rFonts w:hint="eastAsia"/>
                <w:lang w:eastAsia="zh-CN"/>
              </w:rPr>
              <w:t>”</w:t>
            </w:r>
          </w:p>
          <w:p w14:paraId="07F610DE" w14:textId="693B40CD" w:rsidR="007253C2" w:rsidRPr="007253C2" w:rsidRDefault="007253C2" w:rsidP="00D5172F">
            <w:pPr>
              <w:rPr>
                <w:rFonts w:eastAsia="Malgun Gothic" w:hint="eastAsia"/>
                <w:lang w:eastAsia="zh-CN"/>
              </w:rPr>
            </w:pPr>
            <w:r>
              <w:rPr>
                <w:lang w:eastAsia="zh-CN"/>
              </w:rPr>
              <w:t>But if no consensus is made, we can also go to  Alt 3(</w:t>
            </w:r>
            <w:r w:rsidRPr="00D216AB">
              <w:t>not support the Type 1 LBT to Type 2 or Type 3 LBT in R17</w:t>
            </w:r>
            <w:r>
              <w:rPr>
                <w:lang w:eastAsia="zh-CN"/>
              </w:rPr>
              <w:t xml:space="preserve">) </w:t>
            </w:r>
          </w:p>
        </w:tc>
      </w:tr>
    </w:tbl>
    <w:p w14:paraId="528564EC" w14:textId="77777777" w:rsidR="00DF1731" w:rsidRPr="00D5172F" w:rsidRDefault="00DF1731" w:rsidP="00D5172F"/>
    <w:p w14:paraId="0D148F2F" w14:textId="21B8C0F3" w:rsidR="00CF42B5" w:rsidRDefault="00100202">
      <w:pPr>
        <w:pStyle w:val="1"/>
        <w:numPr>
          <w:ilvl w:val="0"/>
          <w:numId w:val="33"/>
        </w:numPr>
        <w:rPr>
          <w:lang w:val="en-US"/>
        </w:rPr>
      </w:pPr>
      <w:r>
        <w:lastRenderedPageBreak/>
        <w:t>References</w:t>
      </w:r>
    </w:p>
    <w:p w14:paraId="47D421F6" w14:textId="77777777" w:rsidR="002A6EED" w:rsidRPr="004206CE" w:rsidRDefault="002A6EED" w:rsidP="002A6EED">
      <w:pPr>
        <w:pStyle w:val="a0"/>
        <w:numPr>
          <w:ilvl w:val="0"/>
          <w:numId w:val="35"/>
        </w:numPr>
        <w:ind w:left="360"/>
      </w:pPr>
      <w:r w:rsidRPr="004206CE">
        <w:t>R1-2302466, Discussions on the support of LBT type switching in the shared COT in FR2-2, vivo</w:t>
      </w:r>
    </w:p>
    <w:p w14:paraId="3027C43E" w14:textId="77777777" w:rsidR="002A6EED" w:rsidRPr="004206CE" w:rsidRDefault="002A6EED" w:rsidP="002A6EED">
      <w:pPr>
        <w:pStyle w:val="a0"/>
        <w:numPr>
          <w:ilvl w:val="0"/>
          <w:numId w:val="35"/>
        </w:numPr>
        <w:ind w:left="360"/>
      </w:pPr>
      <w:r w:rsidRPr="004206CE">
        <w:t>R1-2302467, Correction on the LBT Type switching in the shared COT, vivo</w:t>
      </w:r>
    </w:p>
    <w:p w14:paraId="00A04B41" w14:textId="4F66ED82" w:rsidR="002A6EED" w:rsidRPr="00236942" w:rsidRDefault="00794942" w:rsidP="002A6EED">
      <w:pPr>
        <w:pStyle w:val="a0"/>
        <w:numPr>
          <w:ilvl w:val="0"/>
          <w:numId w:val="35"/>
        </w:numPr>
        <w:ind w:left="360"/>
      </w:pPr>
      <w:r>
        <w:t>Reserved</w:t>
      </w:r>
    </w:p>
    <w:p w14:paraId="2073B017" w14:textId="77777777" w:rsidR="002A6EED" w:rsidRPr="00960AC5" w:rsidRDefault="002A6EED" w:rsidP="002A6EED">
      <w:pPr>
        <w:pStyle w:val="a0"/>
        <w:numPr>
          <w:ilvl w:val="0"/>
          <w:numId w:val="35"/>
        </w:numPr>
        <w:ind w:left="360"/>
      </w:pPr>
      <w:r w:rsidRPr="00960AC5">
        <w:t>R1-2302529, Discussion on remaining issue for LBT upgrade within gNB COT, OPPO</w:t>
      </w:r>
    </w:p>
    <w:p w14:paraId="11373408" w14:textId="77777777" w:rsidR="002A6EED" w:rsidRPr="00960AC5" w:rsidRDefault="002A6EED" w:rsidP="002A6EED">
      <w:pPr>
        <w:pStyle w:val="a0"/>
        <w:numPr>
          <w:ilvl w:val="0"/>
          <w:numId w:val="35"/>
        </w:numPr>
        <w:ind w:left="360"/>
      </w:pPr>
      <w:r w:rsidRPr="00960AC5">
        <w:t>R1-2302530, Draft CR on resolving issue for LBT upgrade within gNB COT, OPPO</w:t>
      </w:r>
    </w:p>
    <w:p w14:paraId="0DD3D570" w14:textId="77777777" w:rsidR="002A6EED" w:rsidRPr="008B3C59" w:rsidRDefault="002A6EED" w:rsidP="002A6EED">
      <w:pPr>
        <w:pStyle w:val="a0"/>
        <w:numPr>
          <w:ilvl w:val="0"/>
          <w:numId w:val="35"/>
        </w:numPr>
        <w:ind w:left="360"/>
      </w:pPr>
      <w:r w:rsidRPr="008B3C59">
        <w:t>R1-2302674, Discussion on LBT update upon detection of DCI format 2_0 for FR2-2, CATT</w:t>
      </w:r>
    </w:p>
    <w:p w14:paraId="12AFE033" w14:textId="77777777" w:rsidR="002A6EED" w:rsidRPr="008B3C59" w:rsidRDefault="002A6EED" w:rsidP="002A6EED">
      <w:pPr>
        <w:pStyle w:val="a0"/>
        <w:numPr>
          <w:ilvl w:val="0"/>
          <w:numId w:val="35"/>
        </w:numPr>
        <w:ind w:left="360"/>
      </w:pPr>
      <w:r w:rsidRPr="008B3C59">
        <w:t>R1-2302675, Draft CR on LBT update upon detection of DCI format 2_0 for FR2-2, CATT</w:t>
      </w:r>
    </w:p>
    <w:p w14:paraId="0038D0B2" w14:textId="77777777" w:rsidR="002A6EED" w:rsidRPr="008416AF" w:rsidRDefault="002A6EED" w:rsidP="002A6EED">
      <w:pPr>
        <w:pStyle w:val="a0"/>
        <w:numPr>
          <w:ilvl w:val="0"/>
          <w:numId w:val="35"/>
        </w:numPr>
        <w:ind w:left="360"/>
      </w:pPr>
      <w:r w:rsidRPr="008416AF">
        <w:t xml:space="preserve">R1-2302832, Discussion on LBT type update upon detection of DCI format 2-0 for FR2-2, ZTE, </w:t>
      </w:r>
      <w:proofErr w:type="spellStart"/>
      <w:r w:rsidRPr="008416AF">
        <w:t>Sanechips</w:t>
      </w:r>
      <w:proofErr w:type="spellEnd"/>
    </w:p>
    <w:p w14:paraId="1EAAF56D" w14:textId="77777777" w:rsidR="002A6EED" w:rsidRPr="008416AF" w:rsidRDefault="002A6EED" w:rsidP="002A6EED">
      <w:pPr>
        <w:pStyle w:val="a0"/>
        <w:numPr>
          <w:ilvl w:val="0"/>
          <w:numId w:val="35"/>
        </w:numPr>
        <w:ind w:left="360"/>
      </w:pPr>
      <w:r w:rsidRPr="008416AF">
        <w:t xml:space="preserve">R1-2302833, Draft CR on LBT type update upon detection of DCI format 2-0 for FR2-2 in TS 37.213, ZTE, </w:t>
      </w:r>
      <w:proofErr w:type="spellStart"/>
      <w:r w:rsidRPr="008416AF">
        <w:t>Sanechips</w:t>
      </w:r>
      <w:proofErr w:type="spellEnd"/>
    </w:p>
    <w:p w14:paraId="1F960DA3" w14:textId="77777777" w:rsidR="002A6EED" w:rsidRPr="008B1BE0" w:rsidRDefault="002A6EED" w:rsidP="002A6EED">
      <w:pPr>
        <w:pStyle w:val="a0"/>
        <w:numPr>
          <w:ilvl w:val="0"/>
          <w:numId w:val="35"/>
        </w:numPr>
        <w:ind w:left="360"/>
      </w:pPr>
      <w:r w:rsidRPr="008B1BE0">
        <w:t>R1-2303093, Discussion on LBT type upgrade within a gNB COT, Nokia, Nokia Shanghai Bell</w:t>
      </w:r>
    </w:p>
    <w:p w14:paraId="5A95E4D1" w14:textId="77777777" w:rsidR="002A6EED" w:rsidRPr="008B1BE0" w:rsidRDefault="002A6EED" w:rsidP="002A6EED">
      <w:pPr>
        <w:pStyle w:val="a0"/>
        <w:numPr>
          <w:ilvl w:val="0"/>
          <w:numId w:val="35"/>
        </w:numPr>
        <w:ind w:left="360"/>
      </w:pPr>
      <w:r w:rsidRPr="008B1BE0">
        <w:t>R1-2303094, Correction on LBT Type determination within a gNB COT, Nokia, Nokia Shanghai Bell</w:t>
      </w:r>
    </w:p>
    <w:p w14:paraId="437809C5" w14:textId="77777777" w:rsidR="002A6EED" w:rsidRPr="00F73FCC" w:rsidRDefault="002A6EED" w:rsidP="002A6EED">
      <w:pPr>
        <w:pStyle w:val="a0"/>
        <w:numPr>
          <w:ilvl w:val="0"/>
          <w:numId w:val="35"/>
        </w:numPr>
        <w:ind w:left="360"/>
      </w:pPr>
      <w:r w:rsidRPr="00F73FCC">
        <w:t>R1-2303422, Draft CR on LBT type determination within a COT for FR2-2 in TS 37.213, LG Electronics</w:t>
      </w:r>
    </w:p>
    <w:p w14:paraId="6F1B92A5" w14:textId="77777777" w:rsidR="002A6EED" w:rsidRPr="00F73FCC" w:rsidRDefault="002A6EED" w:rsidP="002A6EED">
      <w:pPr>
        <w:pStyle w:val="a0"/>
        <w:numPr>
          <w:ilvl w:val="0"/>
          <w:numId w:val="35"/>
        </w:numPr>
        <w:ind w:left="360"/>
      </w:pPr>
      <w:r w:rsidRPr="00F73FCC">
        <w:t>R1-2303566, Maintenance for channel access for FR2-2, Qualcomm Incorporated</w:t>
      </w:r>
    </w:p>
    <w:p w14:paraId="0FD5BA1B" w14:textId="60F118BD" w:rsidR="002A6EED" w:rsidRPr="00E76FDE" w:rsidRDefault="00794942" w:rsidP="002A6EED">
      <w:pPr>
        <w:pStyle w:val="a0"/>
        <w:numPr>
          <w:ilvl w:val="0"/>
          <w:numId w:val="35"/>
        </w:numPr>
        <w:ind w:left="360"/>
      </w:pPr>
      <w:r>
        <w:t>Reserved</w:t>
      </w:r>
    </w:p>
    <w:p w14:paraId="15516285" w14:textId="77777777" w:rsidR="002A6EED" w:rsidRPr="00E76FDE" w:rsidRDefault="002A6EED" w:rsidP="002A6EED">
      <w:pPr>
        <w:pStyle w:val="a0"/>
        <w:numPr>
          <w:ilvl w:val="0"/>
          <w:numId w:val="35"/>
        </w:numPr>
        <w:ind w:left="360"/>
      </w:pPr>
      <w:r w:rsidRPr="00E76FDE">
        <w:t xml:space="preserve">R1-2303796, Corrections to UL LBT Type 1 upgrade within gNB COT in TS37.213, Huawei, </w:t>
      </w:r>
      <w:proofErr w:type="spellStart"/>
      <w:r w:rsidRPr="00E76FDE">
        <w:t>HiSilicon</w:t>
      </w:r>
      <w:proofErr w:type="spellEnd"/>
    </w:p>
    <w:p w14:paraId="6E3D5172" w14:textId="77777777" w:rsidR="002A6EED" w:rsidRPr="000420A2" w:rsidRDefault="002A6EED" w:rsidP="002A6EED">
      <w:pPr>
        <w:pStyle w:val="a0"/>
        <w:numPr>
          <w:ilvl w:val="0"/>
          <w:numId w:val="35"/>
        </w:numPr>
        <w:ind w:left="360"/>
      </w:pPr>
      <w:r w:rsidRPr="000420A2">
        <w:t>R1-2303829, Draft CR on channel access procedure upon detection of a common DCI for FR2-2, WILUS Inc.</w:t>
      </w:r>
    </w:p>
    <w:sectPr w:rsidR="002A6EED" w:rsidRPr="000420A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570E" w14:textId="77777777" w:rsidR="00A66945" w:rsidRDefault="00A66945" w:rsidP="00D47918">
      <w:r>
        <w:separator/>
      </w:r>
    </w:p>
  </w:endnote>
  <w:endnote w:type="continuationSeparator" w:id="0">
    <w:p w14:paraId="38167E29" w14:textId="77777777" w:rsidR="00A66945" w:rsidRDefault="00A66945" w:rsidP="00D47918">
      <w:r>
        <w:continuationSeparator/>
      </w:r>
    </w:p>
  </w:endnote>
  <w:endnote w:type="continuationNotice" w:id="1">
    <w:p w14:paraId="6821E119" w14:textId="77777777" w:rsidR="00A66945" w:rsidRDefault="00A66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6603" w14:textId="77777777" w:rsidR="00A66945" w:rsidRDefault="00A66945" w:rsidP="00D47918">
      <w:r>
        <w:separator/>
      </w:r>
    </w:p>
  </w:footnote>
  <w:footnote w:type="continuationSeparator" w:id="0">
    <w:p w14:paraId="079FD1E3" w14:textId="77777777" w:rsidR="00A66945" w:rsidRDefault="00A66945" w:rsidP="00D47918">
      <w:r>
        <w:continuationSeparator/>
      </w:r>
    </w:p>
  </w:footnote>
  <w:footnote w:type="continuationNotice" w:id="1">
    <w:p w14:paraId="53B3DC5E" w14:textId="77777777" w:rsidR="00A66945" w:rsidRDefault="00A669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93D698"/>
    <w:multiLevelType w:val="singleLevel"/>
    <w:tmpl w:val="ED93D698"/>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1C31AF"/>
    <w:multiLevelType w:val="hybridMultilevel"/>
    <w:tmpl w:val="277401E4"/>
    <w:lvl w:ilvl="0" w:tplc="6BBEF44C">
      <w:numFmt w:val="bullet"/>
      <w:pStyle w:val="a0"/>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15:restartNumberingAfterBreak="0">
    <w:nsid w:val="4C75784A"/>
    <w:multiLevelType w:val="hybridMultilevel"/>
    <w:tmpl w:val="1988DC7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4D4D4EDE"/>
    <w:multiLevelType w:val="hybridMultilevel"/>
    <w:tmpl w:val="E2685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0A4BE9"/>
    <w:multiLevelType w:val="hybridMultilevel"/>
    <w:tmpl w:val="F342F45E"/>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6DEE176D"/>
    <w:multiLevelType w:val="hybridMultilevel"/>
    <w:tmpl w:val="CE02A5F2"/>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23"/>
  </w:num>
  <w:num w:numId="5">
    <w:abstractNumId w:val="36"/>
  </w:num>
  <w:num w:numId="6">
    <w:abstractNumId w:val="9"/>
  </w:num>
  <w:num w:numId="7">
    <w:abstractNumId w:val="22"/>
  </w:num>
  <w:num w:numId="8">
    <w:abstractNumId w:val="20"/>
  </w:num>
  <w:num w:numId="9">
    <w:abstractNumId w:val="31"/>
  </w:num>
  <w:num w:numId="10">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4"/>
  </w:num>
  <w:num w:numId="12">
    <w:abstractNumId w:val="11"/>
  </w:num>
  <w:num w:numId="13">
    <w:abstractNumId w:val="8"/>
  </w:num>
  <w:num w:numId="14">
    <w:abstractNumId w:val="7"/>
  </w:num>
  <w:num w:numId="15">
    <w:abstractNumId w:val="5"/>
  </w:num>
  <w:num w:numId="16">
    <w:abstractNumId w:val="28"/>
  </w:num>
  <w:num w:numId="17">
    <w:abstractNumId w:val="27"/>
  </w:num>
  <w:num w:numId="18">
    <w:abstractNumId w:val="35"/>
  </w:num>
  <w:num w:numId="19">
    <w:abstractNumId w:val="14"/>
  </w:num>
  <w:num w:numId="20">
    <w:abstractNumId w:val="26"/>
  </w:num>
  <w:num w:numId="21">
    <w:abstractNumId w:val="37"/>
  </w:num>
  <w:num w:numId="22">
    <w:abstractNumId w:val="21"/>
  </w:num>
  <w:num w:numId="23">
    <w:abstractNumId w:val="16"/>
  </w:num>
  <w:num w:numId="24">
    <w:abstractNumId w:val="18"/>
  </w:num>
  <w:num w:numId="25">
    <w:abstractNumId w:val="17"/>
  </w:num>
  <w:num w:numId="26">
    <w:abstractNumId w:val="13"/>
  </w:num>
  <w:num w:numId="27">
    <w:abstractNumId w:val="6"/>
  </w:num>
  <w:num w:numId="28">
    <w:abstractNumId w:val="38"/>
  </w:num>
  <w:num w:numId="29">
    <w:abstractNumId w:val="34"/>
  </w:num>
  <w:num w:numId="30">
    <w:abstractNumId w:val="12"/>
  </w:num>
  <w:num w:numId="31">
    <w:abstractNumId w:val="30"/>
  </w:num>
  <w:num w:numId="32">
    <w:abstractNumId w:val="19"/>
  </w:num>
  <w:num w:numId="33">
    <w:abstractNumId w:val="32"/>
  </w:num>
  <w:num w:numId="34">
    <w:abstractNumId w:val="25"/>
  </w:num>
  <w:num w:numId="35">
    <w:abstractNumId w:val="33"/>
  </w:num>
  <w:num w:numId="36">
    <w:abstractNumId w:val="10"/>
  </w:num>
  <w:num w:numId="37">
    <w:abstractNumId w:val="29"/>
  </w:num>
  <w:num w:numId="38">
    <w:abstractNumId w:val="0"/>
  </w:num>
  <w:num w:numId="39">
    <w:abstractNumId w:val="24"/>
  </w:num>
  <w:num w:numId="4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6436"/>
    <w:rsid w:val="003F6493"/>
    <w:rsid w:val="003F71F4"/>
    <w:rsid w:val="003F723A"/>
    <w:rsid w:val="003F72BA"/>
    <w:rsid w:val="003F76C5"/>
    <w:rsid w:val="003F7F87"/>
    <w:rsid w:val="00401BD1"/>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4751"/>
    <w:rsid w:val="004D7D46"/>
    <w:rsid w:val="004E0288"/>
    <w:rsid w:val="004E0B4B"/>
    <w:rsid w:val="004E1385"/>
    <w:rsid w:val="004E170B"/>
    <w:rsid w:val="004E20DE"/>
    <w:rsid w:val="004E2FC2"/>
    <w:rsid w:val="004E4165"/>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23B4"/>
    <w:rsid w:val="007F2411"/>
    <w:rsid w:val="007F26ED"/>
    <w:rsid w:val="007F330B"/>
    <w:rsid w:val="007F4DC3"/>
    <w:rsid w:val="007F667E"/>
    <w:rsid w:val="007F6AC3"/>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6640"/>
    <w:rsid w:val="00C21302"/>
    <w:rsid w:val="00C21745"/>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48DC3"/>
  <w15:docId w15:val="{A06F6E68-00B5-4560-8025-57CC3DF8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E45D8"/>
    <w:rPr>
      <w:rFonts w:ascii="Times New Roman" w:eastAsiaTheme="minorEastAsia" w:hAnsi="Times New Roman" w:cs="Times New Roman"/>
      <w:sz w:val="24"/>
      <w:szCs w:val="24"/>
      <w:lang w:eastAsia="ko-KR"/>
    </w:rPr>
  </w:style>
  <w:style w:type="paragraph" w:styleId="1">
    <w:name w:val="heading 1"/>
    <w:next w:val="a2"/>
    <w:link w:val="10"/>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1">
    <w:name w:val="heading 2"/>
    <w:basedOn w:val="1"/>
    <w:next w:val="a2"/>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2"/>
    <w:link w:val="32"/>
    <w:qFormat/>
    <w:pPr>
      <w:tabs>
        <w:tab w:val="clear" w:pos="576"/>
        <w:tab w:val="left" w:pos="720"/>
      </w:tabs>
      <w:spacing w:before="120"/>
      <w:ind w:left="720" w:hanging="720"/>
      <w:outlineLvl w:val="2"/>
    </w:pPr>
    <w:rPr>
      <w:sz w:val="28"/>
      <w:szCs w:val="28"/>
    </w:rPr>
  </w:style>
  <w:style w:type="paragraph" w:styleId="4">
    <w:name w:val="heading 4"/>
    <w:basedOn w:val="31"/>
    <w:next w:val="a2"/>
    <w:link w:val="40"/>
    <w:qFormat/>
    <w:pPr>
      <w:tabs>
        <w:tab w:val="clear" w:pos="720"/>
        <w:tab w:val="left" w:pos="864"/>
      </w:tabs>
      <w:ind w:left="864" w:hanging="864"/>
      <w:outlineLvl w:val="3"/>
    </w:pPr>
    <w:rPr>
      <w:sz w:val="24"/>
      <w:szCs w:val="24"/>
    </w:rPr>
  </w:style>
  <w:style w:type="paragraph" w:styleId="5">
    <w:name w:val="heading 5"/>
    <w:basedOn w:val="a2"/>
    <w:next w:val="a2"/>
    <w:link w:val="50"/>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2"/>
    <w:next w:val="a2"/>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2"/>
    <w:link w:val="80"/>
    <w:uiPriority w:val="9"/>
    <w:qFormat/>
    <w:pPr>
      <w:tabs>
        <w:tab w:val="clear" w:pos="1296"/>
        <w:tab w:val="left" w:pos="1440"/>
      </w:tabs>
      <w:ind w:left="1440" w:hanging="1440"/>
      <w:outlineLvl w:val="7"/>
    </w:pPr>
  </w:style>
  <w:style w:type="paragraph" w:styleId="9">
    <w:name w:val="heading 9"/>
    <w:basedOn w:val="8"/>
    <w:next w:val="a2"/>
    <w:link w:val="90"/>
    <w:uiPriority w:val="9"/>
    <w:qFormat/>
    <w:pPr>
      <w:tabs>
        <w:tab w:val="clear" w:pos="1440"/>
        <w:tab w:val="left" w:pos="1584"/>
      </w:tabs>
      <w:ind w:left="1584" w:hanging="1584"/>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2"/>
    <w:link w:val="24"/>
    <w:unhideWhenUsed/>
    <w:qFormat/>
    <w:pPr>
      <w:ind w:leftChars="200" w:left="100" w:hangingChars="200" w:hanging="200"/>
      <w:contextualSpacing/>
    </w:pPr>
  </w:style>
  <w:style w:type="paragraph" w:styleId="TOC7">
    <w:name w:val="toc 7"/>
    <w:basedOn w:val="TOC6"/>
    <w:next w:val="a2"/>
    <w:uiPriority w:val="39"/>
    <w:qFormat/>
    <w:pPr>
      <w:ind w:left="2268" w:hanging="2268"/>
    </w:pPr>
  </w:style>
  <w:style w:type="paragraph" w:styleId="TOC6">
    <w:name w:val="toc 6"/>
    <w:basedOn w:val="TOC5"/>
    <w:next w:val="a2"/>
    <w:uiPriority w:val="39"/>
    <w:qFormat/>
    <w:pPr>
      <w:ind w:left="1985" w:hanging="1985"/>
    </w:pPr>
  </w:style>
  <w:style w:type="paragraph" w:styleId="TOC5">
    <w:name w:val="toc 5"/>
    <w:basedOn w:val="TOC4"/>
    <w:next w:val="a2"/>
    <w:uiPriority w:val="39"/>
    <w:qFormat/>
    <w:pPr>
      <w:ind w:left="1701" w:hanging="1701"/>
    </w:pPr>
  </w:style>
  <w:style w:type="paragraph" w:styleId="TOC4">
    <w:name w:val="toc 4"/>
    <w:basedOn w:val="TOC3"/>
    <w:next w:val="a2"/>
    <w:uiPriority w:val="39"/>
    <w:qFormat/>
    <w:pPr>
      <w:ind w:left="1418" w:hanging="1418"/>
    </w:pPr>
  </w:style>
  <w:style w:type="paragraph" w:styleId="TOC3">
    <w:name w:val="toc 3"/>
    <w:basedOn w:val="TOC2"/>
    <w:next w:val="a2"/>
    <w:uiPriority w:val="39"/>
    <w:qFormat/>
    <w:pPr>
      <w:ind w:left="1134" w:hanging="1134"/>
    </w:pPr>
  </w:style>
  <w:style w:type="paragraph" w:styleId="TOC2">
    <w:name w:val="toc 2"/>
    <w:basedOn w:val="TOC1"/>
    <w:next w:val="a2"/>
    <w:uiPriority w:val="39"/>
    <w:qFormat/>
    <w:pPr>
      <w:keepNext w:val="0"/>
      <w:spacing w:before="0"/>
      <w:ind w:left="851" w:hanging="851"/>
    </w:pPr>
    <w:rPr>
      <w:sz w:val="20"/>
    </w:rPr>
  </w:style>
  <w:style w:type="paragraph" w:styleId="TOC1">
    <w:name w:val="toc 1"/>
    <w:next w:val="a2"/>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5">
    <w:name w:val="List Number 2"/>
    <w:basedOn w:val="a6"/>
    <w:qFormat/>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7">
    <w:name w:val="List"/>
    <w:basedOn w:val="a2"/>
    <w:link w:val="a8"/>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2"/>
    <w:unhideWhenUsed/>
    <w:qFormat/>
    <w:pPr>
      <w:numPr>
        <w:numId w:val="2"/>
      </w:numPr>
      <w:contextualSpacing/>
    </w:pPr>
  </w:style>
  <w:style w:type="paragraph" w:styleId="a9">
    <w:name w:val="Normal Indent"/>
    <w:basedOn w:val="a2"/>
    <w:qFormat/>
    <w:pPr>
      <w:spacing w:after="180"/>
      <w:ind w:left="720"/>
    </w:pPr>
    <w:rPr>
      <w:rFonts w:eastAsia="宋体"/>
      <w:sz w:val="20"/>
      <w:szCs w:val="20"/>
      <w:lang w:val="en-GB" w:eastAsia="en-US"/>
    </w:rPr>
  </w:style>
  <w:style w:type="paragraph" w:styleId="aa">
    <w:name w:val="caption"/>
    <w:basedOn w:val="a2"/>
    <w:next w:val="a2"/>
    <w:link w:val="ab"/>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c">
    <w:name w:val="Document Map"/>
    <w:basedOn w:val="a2"/>
    <w:link w:val="ad"/>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e">
    <w:name w:val="annotation text"/>
    <w:basedOn w:val="a2"/>
    <w:link w:val="af"/>
    <w:unhideWhenUsed/>
    <w:qFormat/>
    <w:pPr>
      <w:spacing w:after="160"/>
    </w:pPr>
    <w:rPr>
      <w:rFonts w:asciiTheme="minorHAnsi" w:eastAsia="宋体" w:hAnsiTheme="minorHAnsi" w:cstheme="minorBidi"/>
      <w:sz w:val="20"/>
      <w:szCs w:val="20"/>
      <w:lang w:eastAsia="en-US"/>
    </w:rPr>
  </w:style>
  <w:style w:type="paragraph" w:styleId="36">
    <w:name w:val="Body Text 3"/>
    <w:basedOn w:val="a2"/>
    <w:link w:val="37"/>
    <w:qFormat/>
    <w:pPr>
      <w:jc w:val="both"/>
    </w:pPr>
    <w:rPr>
      <w:rFonts w:eastAsia="MS Gothic"/>
      <w:szCs w:val="20"/>
      <w:lang w:val="en-GB" w:eastAsia="ja-JP"/>
    </w:rPr>
  </w:style>
  <w:style w:type="paragraph" w:styleId="af0">
    <w:name w:val="Body Text"/>
    <w:basedOn w:val="a2"/>
    <w:link w:val="af1"/>
    <w:unhideWhenUsed/>
    <w:qFormat/>
    <w:pPr>
      <w:spacing w:after="120"/>
    </w:pPr>
    <w:rPr>
      <w:rFonts w:eastAsia="Times New Roman"/>
      <w:lang w:eastAsia="zh-CN"/>
    </w:rPr>
  </w:style>
  <w:style w:type="paragraph" w:styleId="af2">
    <w:name w:val="Body Text Indent"/>
    <w:basedOn w:val="a2"/>
    <w:link w:val="af3"/>
    <w:uiPriority w:val="99"/>
    <w:qFormat/>
    <w:pPr>
      <w:spacing w:after="120"/>
      <w:ind w:left="283"/>
    </w:pPr>
    <w:rPr>
      <w:rFonts w:eastAsia="宋体"/>
      <w:sz w:val="20"/>
      <w:szCs w:val="20"/>
      <w:lang w:val="en-GB" w:eastAsia="en-US"/>
    </w:rPr>
  </w:style>
  <w:style w:type="paragraph" w:styleId="3">
    <w:name w:val="List Number 3"/>
    <w:basedOn w:val="a2"/>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4">
    <w:name w:val="Plain Text"/>
    <w:basedOn w:val="a2"/>
    <w:link w:val="af5"/>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2"/>
    <w:uiPriority w:val="39"/>
    <w:qFormat/>
    <w:pPr>
      <w:spacing w:before="180"/>
      <w:ind w:left="2693" w:hanging="2693"/>
    </w:pPr>
    <w:rPr>
      <w:b/>
    </w:rPr>
  </w:style>
  <w:style w:type="paragraph" w:styleId="af6">
    <w:name w:val="Date"/>
    <w:basedOn w:val="a2"/>
    <w:next w:val="a2"/>
    <w:link w:val="af7"/>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2"/>
    <w:link w:val="27"/>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宋体" w:hAnsiTheme="minorHAnsi" w:cstheme="minorBidi"/>
      <w:kern w:val="2"/>
      <w:sz w:val="22"/>
      <w:szCs w:val="22"/>
      <w:lang w:eastAsia="ja-JP"/>
    </w:rPr>
  </w:style>
  <w:style w:type="paragraph" w:styleId="af8">
    <w:name w:val="Balloon Text"/>
    <w:basedOn w:val="a2"/>
    <w:link w:val="af9"/>
    <w:uiPriority w:val="99"/>
    <w:unhideWhenUsed/>
    <w:qFormat/>
    <w:rPr>
      <w:rFonts w:ascii="Segoe UI" w:eastAsia="宋体" w:hAnsi="Segoe UI" w:cs="Segoe UI"/>
      <w:sz w:val="18"/>
      <w:szCs w:val="18"/>
      <w:lang w:eastAsia="en-US"/>
    </w:rPr>
  </w:style>
  <w:style w:type="paragraph" w:styleId="afa">
    <w:name w:val="footer"/>
    <w:basedOn w:val="a2"/>
    <w:link w:val="afb"/>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c">
    <w:name w:val="header"/>
    <w:basedOn w:val="a2"/>
    <w:link w:val="afd"/>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e">
    <w:name w:val="index heading"/>
    <w:basedOn w:val="a2"/>
    <w:next w:val="a2"/>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f">
    <w:name w:val="Subtitle"/>
    <w:basedOn w:val="a2"/>
    <w:next w:val="a2"/>
    <w:link w:val="aff0"/>
    <w:uiPriority w:val="11"/>
    <w:qFormat/>
    <w:pPr>
      <w:spacing w:after="160"/>
    </w:pPr>
    <w:rPr>
      <w:rFonts w:ascii="Calibri Light" w:eastAsia="宋体" w:hAnsi="Calibri Light" w:cstheme="minorBidi"/>
      <w:b/>
      <w:i/>
      <w:iCs/>
      <w:color w:val="4472C4"/>
      <w:spacing w:val="15"/>
      <w:sz w:val="22"/>
      <w:lang w:eastAsia="zh-CN"/>
    </w:rPr>
  </w:style>
  <w:style w:type="paragraph" w:styleId="aff1">
    <w:name w:val="footnote text"/>
    <w:basedOn w:val="a2"/>
    <w:link w:val="aff2"/>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2"/>
    <w:link w:val="38"/>
    <w:qFormat/>
    <w:pPr>
      <w:numPr>
        <w:numId w:val="5"/>
      </w:numPr>
      <w:tabs>
        <w:tab w:val="clear" w:pos="360"/>
      </w:tabs>
      <w:overflowPunct w:val="0"/>
      <w:autoSpaceDE w:val="0"/>
      <w:autoSpaceDN w:val="0"/>
      <w:adjustRightInd w:val="0"/>
      <w:textAlignment w:val="baseline"/>
    </w:pPr>
    <w:rPr>
      <w:rFonts w:asciiTheme="minorHAnsi" w:eastAsia="宋体" w:hAnsiTheme="minorHAnsi" w:cstheme="minorBidi"/>
      <w:sz w:val="22"/>
      <w:szCs w:val="22"/>
      <w:lang w:eastAsia="ja-JP"/>
    </w:rPr>
  </w:style>
  <w:style w:type="paragraph" w:styleId="TOC9">
    <w:name w:val="toc 9"/>
    <w:basedOn w:val="TOC8"/>
    <w:next w:val="a2"/>
    <w:uiPriority w:val="39"/>
    <w:qFormat/>
    <w:pPr>
      <w:ind w:left="1418" w:hanging="1418"/>
    </w:pPr>
  </w:style>
  <w:style w:type="paragraph" w:styleId="2">
    <w:name w:val="Body Text 2"/>
    <w:basedOn w:val="a2"/>
    <w:link w:val="28"/>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宋体" w:hAnsiTheme="minorHAnsi" w:cstheme="minorBidi"/>
      <w:kern w:val="2"/>
      <w:sz w:val="21"/>
      <w:szCs w:val="22"/>
      <w:lang w:eastAsia="ja-JP"/>
    </w:rPr>
  </w:style>
  <w:style w:type="paragraph" w:styleId="29">
    <w:name w:val="List Continue 2"/>
    <w:basedOn w:val="a2"/>
    <w:qFormat/>
    <w:pPr>
      <w:spacing w:after="180"/>
      <w:ind w:leftChars="400" w:left="850"/>
    </w:pPr>
    <w:rPr>
      <w:rFonts w:eastAsia="MS Mincho"/>
      <w:sz w:val="20"/>
      <w:szCs w:val="20"/>
      <w:lang w:val="en-GB"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3">
    <w:name w:val="Normal (Web)"/>
    <w:basedOn w:val="a2"/>
    <w:unhideWhenUsed/>
    <w:qFormat/>
    <w:pPr>
      <w:spacing w:before="100" w:beforeAutospacing="1" w:after="100" w:afterAutospacing="1"/>
    </w:pPr>
    <w:rPr>
      <w:rFonts w:eastAsia="Times New Roman"/>
      <w:lang w:eastAsia="en-US"/>
    </w:rPr>
  </w:style>
  <w:style w:type="paragraph" w:styleId="11">
    <w:name w:val="index 1"/>
    <w:basedOn w:val="a2"/>
    <w:next w:val="a2"/>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2"/>
    <w:qFormat/>
    <w:pPr>
      <w:ind w:left="284"/>
    </w:pPr>
  </w:style>
  <w:style w:type="paragraph" w:styleId="aff4">
    <w:name w:val="Title"/>
    <w:basedOn w:val="a2"/>
    <w:link w:val="aff5"/>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6">
    <w:name w:val="annotation subject"/>
    <w:basedOn w:val="ae"/>
    <w:next w:val="ae"/>
    <w:link w:val="aff7"/>
    <w:uiPriority w:val="99"/>
    <w:unhideWhenUsed/>
    <w:qFormat/>
    <w:rPr>
      <w:b/>
      <w:bCs/>
    </w:rPr>
  </w:style>
  <w:style w:type="paragraph" w:styleId="2b">
    <w:name w:val="Body Text First Indent 2"/>
    <w:basedOn w:val="af2"/>
    <w:link w:val="2c"/>
    <w:qFormat/>
    <w:pPr>
      <w:spacing w:after="180"/>
      <w:ind w:leftChars="400" w:left="851" w:firstLineChars="100" w:firstLine="210"/>
    </w:pPr>
    <w:rPr>
      <w:rFonts w:eastAsia="MS Mincho"/>
    </w:rPr>
  </w:style>
  <w:style w:type="table" w:styleId="aff8">
    <w:name w:val="Table Grid"/>
    <w:aliases w:val="Table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uiPriority w:val="22"/>
    <w:qFormat/>
    <w:rPr>
      <w:b/>
      <w:bCs/>
    </w:rPr>
  </w:style>
  <w:style w:type="character" w:styleId="affc">
    <w:name w:val="page number"/>
    <w:basedOn w:val="a3"/>
    <w:qFormat/>
  </w:style>
  <w:style w:type="character" w:styleId="affd">
    <w:name w:val="FollowedHyperlink"/>
    <w:basedOn w:val="a3"/>
    <w:uiPriority w:val="99"/>
    <w:unhideWhenUsed/>
    <w:qFormat/>
    <w:rPr>
      <w:color w:val="954F72" w:themeColor="followedHyperlink"/>
      <w:u w:val="single"/>
    </w:rPr>
  </w:style>
  <w:style w:type="character" w:styleId="affe">
    <w:name w:val="Emphasis"/>
    <w:basedOn w:val="a3"/>
    <w:uiPriority w:val="20"/>
    <w:qFormat/>
    <w:rPr>
      <w:i/>
      <w:iCs/>
    </w:rPr>
  </w:style>
  <w:style w:type="character" w:styleId="afff">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0">
    <w:name w:val="Hyperlink"/>
    <w:basedOn w:val="a3"/>
    <w:uiPriority w:val="99"/>
    <w:unhideWhenUsed/>
    <w:qFormat/>
    <w:rPr>
      <w:color w:val="0563C1"/>
      <w:u w:val="single"/>
    </w:rPr>
  </w:style>
  <w:style w:type="character" w:styleId="afff1">
    <w:name w:val="annotation reference"/>
    <w:basedOn w:val="a3"/>
    <w:unhideWhenUsed/>
    <w:qFormat/>
    <w:rPr>
      <w:sz w:val="16"/>
      <w:szCs w:val="16"/>
    </w:rPr>
  </w:style>
  <w:style w:type="character" w:styleId="afff2">
    <w:name w:val="footnote reference"/>
    <w:qFormat/>
    <w:rPr>
      <w:b/>
      <w:position w:val="6"/>
      <w:sz w:val="16"/>
    </w:rPr>
  </w:style>
  <w:style w:type="paragraph" w:styleId="a0">
    <w:name w:val="List Paragraph"/>
    <w:basedOn w:val="a2"/>
    <w:link w:val="afff3"/>
    <w:uiPriority w:val="34"/>
    <w:qFormat/>
    <w:rsid w:val="00141863"/>
    <w:pPr>
      <w:numPr>
        <w:numId w:val="36"/>
      </w:numPr>
      <w:spacing w:after="160" w:line="259" w:lineRule="auto"/>
      <w:contextualSpacing/>
    </w:pPr>
    <w:rPr>
      <w:rFonts w:eastAsia="宋体"/>
      <w:sz w:val="22"/>
      <w:szCs w:val="22"/>
      <w:lang w:eastAsia="en-US"/>
    </w:rPr>
  </w:style>
  <w:style w:type="character" w:customStyle="1" w:styleId="af">
    <w:name w:val="批注文字 字符"/>
    <w:basedOn w:val="a3"/>
    <w:link w:val="ae"/>
    <w:qFormat/>
    <w:rPr>
      <w:sz w:val="20"/>
      <w:szCs w:val="20"/>
    </w:rPr>
  </w:style>
  <w:style w:type="character" w:customStyle="1" w:styleId="aff7">
    <w:name w:val="批注主题 字符"/>
    <w:basedOn w:val="af"/>
    <w:link w:val="aff6"/>
    <w:uiPriority w:val="99"/>
    <w:qFormat/>
    <w:rPr>
      <w:b/>
      <w:bCs/>
      <w:sz w:val="20"/>
      <w:szCs w:val="20"/>
    </w:rPr>
  </w:style>
  <w:style w:type="character" w:customStyle="1" w:styleId="af9">
    <w:name w:val="批注框文本 字符"/>
    <w:basedOn w:val="a3"/>
    <w:link w:val="af8"/>
    <w:uiPriority w:val="99"/>
    <w:qFormat/>
    <w:rPr>
      <w:rFonts w:ascii="Segoe UI" w:hAnsi="Segoe UI" w:cs="Segoe UI"/>
      <w:sz w:val="18"/>
      <w:szCs w:val="18"/>
    </w:rPr>
  </w:style>
  <w:style w:type="character" w:customStyle="1" w:styleId="TALChar">
    <w:name w:val="TAL Char"/>
    <w:basedOn w:val="a3"/>
    <w:link w:val="TAL"/>
    <w:qFormat/>
    <w:locked/>
    <w:rPr>
      <w:rFonts w:ascii="Arial" w:hAnsi="Arial" w:cs="Arial"/>
    </w:rPr>
  </w:style>
  <w:style w:type="paragraph" w:customStyle="1" w:styleId="TAL">
    <w:name w:val="TAL"/>
    <w:basedOn w:val="a2"/>
    <w:link w:val="TALChar"/>
    <w:qFormat/>
    <w:pPr>
      <w:keepNext/>
    </w:pPr>
    <w:rPr>
      <w:rFonts w:ascii="Arial" w:hAnsi="Arial" w:cs="Arial"/>
    </w:rPr>
  </w:style>
  <w:style w:type="character" w:customStyle="1" w:styleId="TAHCar">
    <w:name w:val="TAH Car"/>
    <w:basedOn w:val="a3"/>
    <w:link w:val="TAH"/>
    <w:qFormat/>
    <w:locked/>
    <w:rPr>
      <w:rFonts w:ascii="Arial" w:hAnsi="Arial" w:cs="Arial"/>
      <w:b/>
      <w:bCs/>
      <w:lang w:eastAsia="en-GB"/>
    </w:rPr>
  </w:style>
  <w:style w:type="paragraph" w:customStyle="1" w:styleId="TAH">
    <w:name w:val="TAH"/>
    <w:basedOn w:val="a2"/>
    <w:link w:val="TAHCar"/>
    <w:qFormat/>
    <w:pPr>
      <w:keepNext/>
      <w:overflowPunct w:val="0"/>
      <w:autoSpaceDE w:val="0"/>
      <w:autoSpaceDN w:val="0"/>
      <w:jc w:val="center"/>
    </w:pPr>
    <w:rPr>
      <w:rFonts w:ascii="Arial" w:hAnsi="Arial" w:cs="Arial"/>
      <w:b/>
      <w:bCs/>
      <w:lang w:eastAsia="en-GB"/>
    </w:rPr>
  </w:style>
  <w:style w:type="character" w:customStyle="1" w:styleId="afd">
    <w:name w:val="页眉 字符"/>
    <w:basedOn w:val="a3"/>
    <w:link w:val="afc"/>
    <w:qFormat/>
    <w:rPr>
      <w:sz w:val="18"/>
      <w:szCs w:val="18"/>
    </w:rPr>
  </w:style>
  <w:style w:type="character" w:customStyle="1" w:styleId="afb">
    <w:name w:val="页脚 字符"/>
    <w:basedOn w:val="a3"/>
    <w:link w:val="afa"/>
    <w:uiPriority w:val="99"/>
    <w:qFormat/>
    <w:rPr>
      <w:sz w:val="18"/>
      <w:szCs w:val="18"/>
    </w:rPr>
  </w:style>
  <w:style w:type="character" w:customStyle="1" w:styleId="afff3">
    <w:name w:val="列表段落 字符"/>
    <w:basedOn w:val="a3"/>
    <w:link w:val="a0"/>
    <w:uiPriority w:val="34"/>
    <w:qFormat/>
    <w:locked/>
    <w:rsid w:val="00141863"/>
    <w:rPr>
      <w:rFonts w:ascii="Times New Roman" w:hAnsi="Times New Roman" w:cs="Times New Roman"/>
      <w:sz w:val="22"/>
      <w:szCs w:val="22"/>
      <w:lang w:eastAsia="en-US"/>
    </w:rPr>
  </w:style>
  <w:style w:type="character" w:customStyle="1" w:styleId="normaltextrun">
    <w:name w:val="normaltextrun"/>
    <w:basedOn w:val="a3"/>
    <w:qFormat/>
    <w:rPr>
      <w:rFonts w:ascii="Times New Roman" w:hAnsi="Times New Roman" w:cs="Times New Roman" w:hint="default"/>
    </w:rPr>
  </w:style>
  <w:style w:type="character" w:customStyle="1" w:styleId="eop">
    <w:name w:val="eop"/>
    <w:basedOn w:val="a3"/>
    <w:qFormat/>
    <w:rPr>
      <w:rFonts w:ascii="Times New Roman" w:hAnsi="Times New Roman" w:cs="Times New Roman" w:hint="default"/>
    </w:rPr>
  </w:style>
  <w:style w:type="paragraph" w:customStyle="1" w:styleId="paragraph">
    <w:name w:val="paragraph"/>
    <w:basedOn w:val="a2"/>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afff4">
    <w:name w:val="Placeholder Text"/>
    <w:basedOn w:val="a3"/>
    <w:uiPriority w:val="99"/>
    <w:qFormat/>
    <w:rPr>
      <w:color w:val="808080"/>
    </w:rPr>
  </w:style>
  <w:style w:type="paragraph" w:customStyle="1" w:styleId="0Maintext">
    <w:name w:val="0 Main text"/>
    <w:basedOn w:val="a2"/>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3"/>
    <w:link w:val="0Maintext"/>
    <w:qFormat/>
    <w:rPr>
      <w:rFonts w:ascii="Times New Roman" w:eastAsia="Malgun Gothic" w:hAnsi="Times New Roman" w:cs="Batang"/>
      <w:sz w:val="20"/>
      <w:szCs w:val="20"/>
      <w:lang w:val="en-GB"/>
    </w:rPr>
  </w:style>
  <w:style w:type="character" w:customStyle="1" w:styleId="10">
    <w:name w:val="标题 1 字符"/>
    <w:basedOn w:val="a3"/>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3"/>
    <w:link w:val="2222"/>
    <w:rPr>
      <w:rFonts w:ascii="Times New Roman" w:eastAsia="Malgun Gothic" w:hAnsi="Times New Roman" w:cs="Batang"/>
      <w:szCs w:val="20"/>
      <w:lang w:val="en-GB"/>
    </w:rPr>
  </w:style>
  <w:style w:type="character" w:customStyle="1" w:styleId="ab">
    <w:name w:val="题注 字符"/>
    <w:link w:val="aa"/>
    <w:rPr>
      <w:rFonts w:eastAsiaTheme="minorEastAsia"/>
      <w:b/>
      <w:bCs/>
      <w:kern w:val="2"/>
      <w:sz w:val="20"/>
      <w:szCs w:val="20"/>
      <w:lang w:eastAsia="ko-KR"/>
    </w:rPr>
  </w:style>
  <w:style w:type="character" w:customStyle="1" w:styleId="apple-converted-space">
    <w:name w:val="apple-converted-space"/>
    <w:basedOn w:val="a3"/>
    <w:qFormat/>
  </w:style>
  <w:style w:type="paragraph" w:customStyle="1" w:styleId="B1">
    <w:name w:val="B1"/>
    <w:basedOn w:val="a7"/>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3"/>
    <w:link w:val="5"/>
    <w:qFormat/>
    <w:rPr>
      <w:rFonts w:asciiTheme="majorHAnsi" w:eastAsiaTheme="majorEastAsia" w:hAnsiTheme="majorHAnsi" w:cstheme="majorBidi"/>
      <w:color w:val="2F5496" w:themeColor="accent1" w:themeShade="BF"/>
      <w:sz w:val="24"/>
      <w:szCs w:val="24"/>
      <w:lang w:eastAsia="ko-KR"/>
    </w:rPr>
  </w:style>
  <w:style w:type="character" w:customStyle="1" w:styleId="22">
    <w:name w:val="标题 2 字符"/>
    <w:basedOn w:val="a3"/>
    <w:link w:val="21"/>
    <w:qFormat/>
    <w:rPr>
      <w:rFonts w:ascii="Times New Roman" w:eastAsia="Malgun Gothic" w:hAnsi="Times New Roman" w:cs="Times New Roman"/>
      <w:sz w:val="32"/>
      <w:szCs w:val="32"/>
      <w:lang w:eastAsia="zh-CN"/>
    </w:rPr>
  </w:style>
  <w:style w:type="character" w:customStyle="1" w:styleId="32">
    <w:name w:val="标题 3 字符"/>
    <w:basedOn w:val="a3"/>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3"/>
    <w:link w:val="4"/>
    <w:qFormat/>
    <w:rPr>
      <w:rFonts w:ascii="Times New Roman" w:eastAsia="Malgun Gothic" w:hAnsi="Times New Roman" w:cs="Times New Roman"/>
      <w:sz w:val="24"/>
      <w:szCs w:val="24"/>
      <w:lang w:eastAsia="zh-CN"/>
    </w:rPr>
  </w:style>
  <w:style w:type="character" w:customStyle="1" w:styleId="60">
    <w:name w:val="标题 6 字符"/>
    <w:basedOn w:val="a3"/>
    <w:link w:val="6"/>
    <w:uiPriority w:val="9"/>
    <w:qFormat/>
    <w:rPr>
      <w:rFonts w:ascii="Times New Roman" w:eastAsia="Times New Roman" w:hAnsi="Times New Roman" w:cs="Arial"/>
      <w:sz w:val="24"/>
      <w:szCs w:val="24"/>
      <w:lang w:eastAsia="zh-CN"/>
    </w:rPr>
  </w:style>
  <w:style w:type="character" w:customStyle="1" w:styleId="70">
    <w:name w:val="标题 7 字符"/>
    <w:basedOn w:val="a3"/>
    <w:link w:val="7"/>
    <w:uiPriority w:val="9"/>
    <w:qFormat/>
    <w:rPr>
      <w:rFonts w:ascii="Times New Roman" w:eastAsia="Times New Roman" w:hAnsi="Times New Roman" w:cs="Arial"/>
      <w:sz w:val="24"/>
      <w:szCs w:val="24"/>
      <w:lang w:eastAsia="zh-CN"/>
    </w:rPr>
  </w:style>
  <w:style w:type="character" w:customStyle="1" w:styleId="80">
    <w:name w:val="标题 8 字符"/>
    <w:basedOn w:val="a3"/>
    <w:link w:val="8"/>
    <w:uiPriority w:val="9"/>
    <w:qFormat/>
    <w:rPr>
      <w:rFonts w:ascii="Times New Roman" w:eastAsia="Times New Roman" w:hAnsi="Times New Roman" w:cs="Arial"/>
      <w:sz w:val="24"/>
      <w:szCs w:val="24"/>
      <w:lang w:eastAsia="zh-CN"/>
    </w:rPr>
  </w:style>
  <w:style w:type="character" w:customStyle="1" w:styleId="90">
    <w:name w:val="标题 9 字符"/>
    <w:basedOn w:val="a3"/>
    <w:link w:val="9"/>
    <w:uiPriority w:val="9"/>
    <w:qFormat/>
    <w:rPr>
      <w:rFonts w:ascii="Times New Roman" w:eastAsia="Times New Roman" w:hAnsi="Times New Roman" w:cs="Arial"/>
      <w:sz w:val="24"/>
      <w:szCs w:val="24"/>
      <w:lang w:eastAsia="zh-CN"/>
    </w:rPr>
  </w:style>
  <w:style w:type="paragraph" w:customStyle="1" w:styleId="TAC">
    <w:name w:val="TAC"/>
    <w:basedOn w:val="a2"/>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2"/>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1">
    <w:name w:val="正文文本 字符"/>
    <w:basedOn w:val="a3"/>
    <w:link w:val="af0"/>
    <w:qFormat/>
    <w:rPr>
      <w:rFonts w:ascii="Times New Roman" w:eastAsia="Times New Roman" w:hAnsi="Times New Roman" w:cs="Times New Roman"/>
      <w:sz w:val="24"/>
      <w:szCs w:val="24"/>
      <w:lang w:eastAsia="zh-CN"/>
    </w:rPr>
  </w:style>
  <w:style w:type="paragraph" w:customStyle="1" w:styleId="00Text">
    <w:name w:val="00_Text"/>
    <w:basedOn w:val="a2"/>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3"/>
    <w:link w:val="00Text"/>
    <w:qFormat/>
    <w:rPr>
      <w:rFonts w:ascii="Times New Roman" w:hAnsi="Times New Roman" w:cs="Times New Roman"/>
      <w:sz w:val="20"/>
      <w:szCs w:val="24"/>
      <w:lang w:eastAsia="zh-CN"/>
    </w:rPr>
  </w:style>
  <w:style w:type="paragraph" w:customStyle="1" w:styleId="02">
    <w:name w:val="02"/>
    <w:basedOn w:val="a2"/>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2"/>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2"/>
    <w:next w:val="a2"/>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2"/>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spacing w:after="180"/>
      <w:ind w:left="1135" w:hanging="851"/>
    </w:pPr>
    <w:rPr>
      <w:rFonts w:eastAsia="宋体"/>
      <w:sz w:val="20"/>
      <w:szCs w:val="20"/>
      <w:lang w:val="en-GB" w:eastAsia="en-US"/>
    </w:rPr>
  </w:style>
  <w:style w:type="paragraph" w:customStyle="1" w:styleId="TAR">
    <w:name w:val="TAR"/>
    <w:basedOn w:val="TAL"/>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2"/>
    <w:uiPriority w:val="99"/>
    <w:qFormat/>
    <w:pPr>
      <w:keepLines/>
      <w:spacing w:after="180"/>
      <w:ind w:left="1702" w:hanging="1418"/>
    </w:pPr>
    <w:rPr>
      <w:rFonts w:eastAsia="宋体"/>
      <w:sz w:val="20"/>
      <w:szCs w:val="20"/>
      <w:lang w:val="en-GB" w:eastAsia="en-US"/>
    </w:rPr>
  </w:style>
  <w:style w:type="paragraph" w:customStyle="1" w:styleId="FP">
    <w:name w:val="FP"/>
    <w:basedOn w:val="a2"/>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2"/>
    <w:link w:val="B3Char"/>
    <w:qFormat/>
    <w:pPr>
      <w:spacing w:after="180"/>
      <w:ind w:left="1135" w:hanging="284"/>
    </w:pPr>
    <w:rPr>
      <w:rFonts w:eastAsia="宋体"/>
      <w:sz w:val="20"/>
      <w:szCs w:val="20"/>
      <w:lang w:val="zh-CN" w:eastAsia="en-US"/>
    </w:rPr>
  </w:style>
  <w:style w:type="paragraph" w:customStyle="1" w:styleId="B4">
    <w:name w:val="B4"/>
    <w:basedOn w:val="a2"/>
    <w:link w:val="B4Char"/>
    <w:qFormat/>
    <w:pPr>
      <w:spacing w:after="180"/>
      <w:ind w:left="1418" w:hanging="284"/>
    </w:pPr>
    <w:rPr>
      <w:rFonts w:eastAsia="宋体"/>
      <w:sz w:val="20"/>
      <w:szCs w:val="20"/>
      <w:lang w:val="en-GB" w:eastAsia="en-US"/>
    </w:rPr>
  </w:style>
  <w:style w:type="paragraph" w:customStyle="1" w:styleId="B5">
    <w:name w:val="B5"/>
    <w:basedOn w:val="a2"/>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2"/>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4"/>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2">
    <w:name w:val="脚注文本 字符"/>
    <w:link w:val="aff1"/>
    <w:qFormat/>
    <w:rPr>
      <w:sz w:val="16"/>
    </w:rPr>
  </w:style>
  <w:style w:type="character" w:customStyle="1" w:styleId="Char1">
    <w:name w:val="각주 텍스트 Char1"/>
    <w:basedOn w:val="a3"/>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rPr>
      <w:lang w:eastAsia="en-US"/>
    </w:rPr>
  </w:style>
  <w:style w:type="character" w:customStyle="1" w:styleId="a8">
    <w:name w:val="列表 字符"/>
    <w:link w:val="a7"/>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2"/>
    <w:pPr>
      <w:numPr>
        <w:numId w:val="7"/>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 w:val="20"/>
      <w:szCs w:val="20"/>
      <w:lang w:eastAsia="en-GB"/>
    </w:rPr>
  </w:style>
  <w:style w:type="paragraph" w:customStyle="1" w:styleId="CouvRecTitle">
    <w:name w:val="Couv Rec Title"/>
    <w:basedOn w:val="a2"/>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d">
    <w:name w:val="文档结构图 字符"/>
    <w:basedOn w:val="a3"/>
    <w:link w:val="ac"/>
    <w:uiPriority w:val="99"/>
    <w:qFormat/>
    <w:rPr>
      <w:rFonts w:ascii="Tahoma" w:hAnsi="Tahoma" w:cs="Times New Roman"/>
      <w:sz w:val="20"/>
      <w:szCs w:val="20"/>
      <w:shd w:val="clear" w:color="auto" w:fill="000080"/>
      <w:lang w:val="zh-CN" w:eastAsia="zh-CN"/>
    </w:rPr>
  </w:style>
  <w:style w:type="character" w:customStyle="1" w:styleId="af5">
    <w:name w:val="纯文本 字符"/>
    <w:link w:val="af4"/>
    <w:uiPriority w:val="99"/>
    <w:qFormat/>
    <w:rPr>
      <w:rFonts w:ascii="Courier New" w:hAnsi="Courier New"/>
      <w:lang w:val="nb-NO"/>
    </w:rPr>
  </w:style>
  <w:style w:type="character" w:customStyle="1" w:styleId="Char10">
    <w:name w:val="글자만 Char1"/>
    <w:basedOn w:val="a3"/>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3"/>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3"/>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rPr>
      <w:lang w:eastAsia="ja-JP"/>
    </w:rPr>
  </w:style>
  <w:style w:type="character" w:customStyle="1" w:styleId="3Char1">
    <w:name w:val="본문 들여쓰기 3 Char1"/>
    <w:basedOn w:val="a3"/>
    <w:uiPriority w:val="99"/>
    <w:semiHidden/>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2"/>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7">
    <w:name w:val="日期 字符"/>
    <w:link w:val="af6"/>
    <w:uiPriority w:val="99"/>
    <w:qFormat/>
  </w:style>
  <w:style w:type="character" w:customStyle="1" w:styleId="Char11">
    <w:name w:val="날짜 Char1"/>
    <w:basedOn w:val="a3"/>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2"/>
    <w:qFormat/>
    <w:rPr>
      <w:rFonts w:ascii="Arial" w:eastAsia="MS Mincho" w:hAnsi="Arial" w:cs="Times New Roman"/>
      <w:lang w:val="en-GB" w:eastAsia="en-US"/>
    </w:rPr>
  </w:style>
  <w:style w:type="paragraph" w:customStyle="1" w:styleId="tabletext">
    <w:name w:val="table text"/>
    <w:basedOn w:val="a2"/>
    <w:next w:val="table"/>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2"/>
    <w:next w:val="a2"/>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2"/>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1"/>
      </w:numPr>
      <w:tabs>
        <w:tab w:val="clear" w:pos="360"/>
      </w:tabs>
      <w:spacing w:after="120"/>
    </w:pPr>
    <w:rPr>
      <w:rFonts w:eastAsia="MS Mincho"/>
      <w:lang w:val="en-US"/>
    </w:rPr>
  </w:style>
  <w:style w:type="paragraph" w:customStyle="1" w:styleId="normalpuce">
    <w:name w:val="normal puce"/>
    <w:basedOn w:val="a2"/>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2"/>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2"/>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paragraph" w:customStyle="1" w:styleId="tdoc-header">
    <w:name w:val="tdoc-header"/>
    <w:rPr>
      <w:rFonts w:ascii="Arial"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a2"/>
    <w:qFormat/>
    <w:pPr>
      <w:ind w:left="720"/>
      <w:contextualSpacing/>
    </w:pPr>
    <w:rPr>
      <w:rFonts w:eastAsia="宋体"/>
      <w:lang w:eastAsia="zh-CN"/>
    </w:rPr>
  </w:style>
  <w:style w:type="paragraph" w:customStyle="1" w:styleId="RAN1text">
    <w:name w:val="RAN1 text"/>
    <w:basedOn w:val="af0"/>
    <w:link w:val="RAN1textChar"/>
    <w:qFormat/>
    <w:pPr>
      <w:spacing w:after="0"/>
      <w:jc w:val="both"/>
    </w:pPr>
    <w:rPr>
      <w:rFonts w:eastAsia="MS Mincho"/>
      <w:sz w:val="20"/>
      <w:lang w:val="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paragraph" w:customStyle="1" w:styleId="RAN1bullet1">
    <w:name w:val="RAN1 bullet1"/>
    <w:basedOn w:val="a2"/>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rPr>
      <w:rFonts w:ascii="Times" w:eastAsia="Batang" w:hAnsi="Times" w:cs="Times New Roman"/>
      <w:sz w:val="20"/>
      <w:szCs w:val="24"/>
      <w:lang w:val="zh-CN" w:eastAsia="zh-CN"/>
    </w:rPr>
  </w:style>
  <w:style w:type="paragraph" w:customStyle="1" w:styleId="RAN1bullet2">
    <w:name w:val="RAN1 bullet2"/>
    <w:basedOn w:val="a2"/>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2"/>
    <w:link w:val="tdocChar"/>
    <w:qFormat/>
    <w:pPr>
      <w:ind w:left="1440" w:hanging="1440"/>
    </w:pPr>
    <w:rPr>
      <w:rFonts w:ascii="Times" w:eastAsia="Batang" w:hAnsi="Times"/>
      <w:sz w:val="20"/>
      <w:lang w:val="zh-CN" w:eastAsia="en-US"/>
    </w:rPr>
  </w:style>
  <w:style w:type="character" w:customStyle="1" w:styleId="tdocChar">
    <w:name w:val="tdoc Char"/>
    <w:link w:val="tdoc"/>
    <w:rPr>
      <w:rFonts w:ascii="Times" w:eastAsia="Batang" w:hAnsi="Times" w:cs="Times New Roman"/>
      <w:sz w:val="20"/>
      <w:szCs w:val="24"/>
      <w:lang w:val="zh-CN"/>
    </w:rPr>
  </w:style>
  <w:style w:type="character" w:customStyle="1" w:styleId="bullet3Char">
    <w:name w:val="bullet3 Char"/>
    <w:link w:val="bullet3"/>
    <w:rPr>
      <w:rFonts w:ascii="Times" w:eastAsia="Batang" w:hAnsi="Times" w:cs="Times New Roman"/>
      <w:sz w:val="20"/>
      <w:szCs w:val="24"/>
      <w:lang w:val="zh-CN"/>
    </w:rPr>
  </w:style>
  <w:style w:type="character" w:customStyle="1" w:styleId="bullet4Char">
    <w:name w:val="bullet4 Char"/>
    <w:link w:val="bullet4"/>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2"/>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2"/>
    <w:qFormat/>
    <w:pPr>
      <w:ind w:left="720"/>
      <w:contextualSpacing/>
    </w:pPr>
    <w:rPr>
      <w:rFonts w:eastAsia="宋体"/>
      <w:lang w:eastAsia="zh-CN"/>
    </w:rPr>
  </w:style>
  <w:style w:type="paragraph" w:customStyle="1" w:styleId="references0">
    <w:name w:val="references"/>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locked/>
    <w:rPr>
      <w:rFonts w:ascii="Arial" w:hAnsi="Arial" w:cs="Times New Roman"/>
      <w:b/>
      <w:sz w:val="20"/>
      <w:szCs w:val="20"/>
      <w:lang w:val="zh-CN"/>
    </w:rPr>
  </w:style>
  <w:style w:type="paragraph" w:customStyle="1" w:styleId="RAN1tdoc">
    <w:name w:val="RAN1 tdoc"/>
    <w:basedOn w:val="a2"/>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2"/>
    <w:link w:val="ProposalChar"/>
    <w:qFormat/>
    <w:rsid w:val="00961829"/>
    <w:pPr>
      <w:tabs>
        <w:tab w:val="left" w:pos="1701"/>
      </w:tabs>
      <w:overflowPunct w:val="0"/>
      <w:autoSpaceDE w:val="0"/>
      <w:autoSpaceDN w:val="0"/>
      <w:adjustRightInd w:val="0"/>
      <w:spacing w:after="120"/>
      <w:ind w:left="1699" w:hanging="1699"/>
      <w:jc w:val="both"/>
      <w:textAlignment w:val="baseline"/>
      <w:outlineLvl w:val="4"/>
    </w:pPr>
    <w:rPr>
      <w:rFonts w:eastAsia="宋体"/>
      <w:b/>
      <w:bCs/>
      <w:sz w:val="20"/>
      <w:szCs w:val="20"/>
      <w:lang w:val="en-GB" w:eastAsia="zh-CN"/>
    </w:rPr>
  </w:style>
  <w:style w:type="character" w:customStyle="1" w:styleId="ProposalChar">
    <w:name w:val="Proposal Char"/>
    <w:link w:val="Proposal"/>
    <w:rsid w:val="00961829"/>
    <w:rPr>
      <w:rFonts w:ascii="Times New Roman" w:hAnsi="Times New Roman" w:cs="Times New Roman"/>
      <w:b/>
      <w:bCs/>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19"/>
      </w:numPr>
      <w:spacing w:after="0" w:line="240" w:lineRule="auto"/>
    </w:pPr>
    <w:rPr>
      <w:rFonts w:eastAsia="Times New Roman"/>
      <w:sz w:val="20"/>
      <w:szCs w:val="24"/>
    </w:rPr>
  </w:style>
  <w:style w:type="character" w:customStyle="1" w:styleId="bulletChar">
    <w:name w:val="bullet Char"/>
    <w:link w:val="bullet"/>
    <w:rPr>
      <w:rFonts w:ascii="Times New Roman" w:eastAsia="Times New Roman" w:hAnsi="Times New Roman" w:cs="Times New Roman"/>
      <w:sz w:val="20"/>
      <w:szCs w:val="24"/>
    </w:rPr>
  </w:style>
  <w:style w:type="paragraph" w:customStyle="1" w:styleId="TOCHeading1">
    <w:name w:val="TOC Heading1"/>
    <w:basedOn w:val="1"/>
    <w:next w:val="a2"/>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2"/>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a2"/>
    <w:pPr>
      <w:spacing w:before="100" w:beforeAutospacing="1" w:after="100" w:afterAutospacing="1"/>
    </w:pPr>
    <w:rPr>
      <w:rFonts w:eastAsia="宋体"/>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hAnsi="Times New Roman" w:cs="Times New Roman"/>
      <w:sz w:val="20"/>
      <w:szCs w:val="20"/>
      <w:lang w:val="en-GB"/>
    </w:rPr>
  </w:style>
  <w:style w:type="table" w:customStyle="1" w:styleId="TableGrid1">
    <w:name w:val="Table Grid1"/>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9"/>
    <w:pPr>
      <w:widowControl w:val="0"/>
      <w:ind w:firstLine="420"/>
      <w:jc w:val="both"/>
    </w:pPr>
    <w:rPr>
      <w:rFonts w:eastAsia="宋体"/>
      <w:kern w:val="2"/>
      <w:sz w:val="21"/>
      <w:szCs w:val="20"/>
      <w:lang w:eastAsia="zh-CN"/>
    </w:rPr>
  </w:style>
  <w:style w:type="paragraph" w:customStyle="1" w:styleId="afff5">
    <w:name w:val="表格文字居左"/>
    <w:basedOn w:val="a2"/>
    <w:next w:val="a2"/>
    <w:pPr>
      <w:widowControl w:val="0"/>
      <w:jc w:val="both"/>
    </w:pPr>
    <w:rPr>
      <w:rFonts w:ascii="Arial" w:eastAsia="宋体" w:hAnsi="Arial" w:cs="宋体"/>
      <w:kern w:val="2"/>
      <w:sz w:val="21"/>
      <w:szCs w:val="20"/>
      <w:lang w:eastAsia="zh-CN"/>
    </w:rPr>
  </w:style>
  <w:style w:type="paragraph" w:customStyle="1" w:styleId="z-TopofForm1">
    <w:name w:val="z-Top of Form1"/>
    <w:basedOn w:val="a2"/>
    <w:next w:val="a2"/>
    <w:hidden/>
    <w:uiPriority w:val="99"/>
    <w:unhideWhenUsed/>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3"/>
    <w:link w:val="z-TopofForm2"/>
    <w:uiPriority w:val="99"/>
    <w:rPr>
      <w:rFonts w:ascii="Arial" w:hAnsi="Arial"/>
      <w:vanish/>
      <w:sz w:val="16"/>
      <w:szCs w:val="16"/>
      <w:lang w:eastAsia="zh-CN"/>
    </w:rPr>
  </w:style>
  <w:style w:type="paragraph" w:customStyle="1" w:styleId="z-TopofForm2">
    <w:name w:val="z-Top of Form2"/>
    <w:basedOn w:val="a2"/>
    <w:next w:val="a2"/>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3"/>
  </w:style>
  <w:style w:type="paragraph" w:customStyle="1" w:styleId="z-BottomofForm1">
    <w:name w:val="z-Bottom of Form1"/>
    <w:basedOn w:val="a2"/>
    <w:next w:val="a2"/>
    <w:hidden/>
    <w:uiPriority w:val="99"/>
    <w:unhideWhenUsed/>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3"/>
    <w:link w:val="z-BottomofForm2"/>
    <w:uiPriority w:val="99"/>
    <w:rPr>
      <w:rFonts w:ascii="Arial" w:hAnsi="Arial"/>
      <w:vanish/>
      <w:sz w:val="16"/>
      <w:szCs w:val="16"/>
      <w:lang w:eastAsia="zh-CN"/>
    </w:rPr>
  </w:style>
  <w:style w:type="paragraph" w:customStyle="1" w:styleId="z-BottomofForm2">
    <w:name w:val="z-Bottom of Form2"/>
    <w:basedOn w:val="a2"/>
    <w:next w:val="a2"/>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2"/>
    <w:next w:val="a2"/>
    <w:uiPriority w:val="99"/>
    <w:unhideWhenUsed/>
    <w:pPr>
      <w:spacing w:after="200" w:line="276" w:lineRule="auto"/>
      <w:ind w:leftChars="2500" w:left="100"/>
    </w:pPr>
    <w:rPr>
      <w:rFonts w:eastAsia="宋体"/>
      <w:sz w:val="20"/>
      <w:szCs w:val="20"/>
      <w:lang w:eastAsia="zh-CN"/>
    </w:rPr>
  </w:style>
  <w:style w:type="paragraph" w:customStyle="1" w:styleId="tablecell0">
    <w:name w:val="tablecell"/>
    <w:basedOn w:val="a2"/>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eastAsia="MS Mincho"/>
      <w:sz w:val="20"/>
      <w:szCs w:val="20"/>
      <w:lang w:val="en-GB" w:eastAsia="en-US"/>
    </w:rPr>
  </w:style>
  <w:style w:type="paragraph" w:customStyle="1" w:styleId="Doc-text2">
    <w:name w:val="Doc-text2"/>
    <w:basedOn w:val="a2"/>
    <w:link w:val="Doc-text2Char"/>
    <w:qFormat/>
    <w:pPr>
      <w:spacing w:after="200" w:line="276" w:lineRule="auto"/>
    </w:pPr>
    <w:rPr>
      <w:rFonts w:eastAsia="宋体"/>
      <w:sz w:val="20"/>
      <w:szCs w:val="20"/>
      <w:lang w:eastAsia="zh-CN"/>
    </w:rPr>
  </w:style>
  <w:style w:type="character" w:customStyle="1" w:styleId="Doc-text2Char">
    <w:name w:val="Doc-text2 Char"/>
    <w:link w:val="Doc-text2"/>
    <w:rPr>
      <w:rFonts w:ascii="Times New Roman" w:hAnsi="Times New Roman" w:cs="Times New Roman"/>
      <w:sz w:val="20"/>
      <w:szCs w:val="20"/>
      <w:lang w:eastAsia="zh-CN"/>
    </w:rPr>
  </w:style>
  <w:style w:type="paragraph" w:customStyle="1" w:styleId="BodyTextIndent1">
    <w:name w:val="Body Text Indent1"/>
    <w:basedOn w:val="a2"/>
    <w:next w:val="af2"/>
    <w:link w:val="BodyTextIndentChar"/>
    <w:uiPriority w:val="99"/>
    <w:unhideWhenUsed/>
    <w:pPr>
      <w:spacing w:after="120" w:line="276" w:lineRule="auto"/>
      <w:ind w:left="360"/>
    </w:pPr>
    <w:rPr>
      <w:rFonts w:eastAsia="宋体"/>
      <w:sz w:val="20"/>
      <w:szCs w:val="20"/>
      <w:lang w:eastAsia="zh-CN"/>
    </w:rPr>
  </w:style>
  <w:style w:type="character" w:customStyle="1" w:styleId="BodyTextIndentChar">
    <w:name w:val="Body Text Indent Char"/>
    <w:basedOn w:val="a3"/>
    <w:link w:val="BodyTextIndent1"/>
    <w:uiPriority w:val="99"/>
    <w:rPr>
      <w:rFonts w:ascii="Times New Roman" w:hAnsi="Times New Roman" w:cs="Times New Roman"/>
      <w:sz w:val="20"/>
      <w:szCs w:val="20"/>
      <w:lang w:eastAsia="zh-CN"/>
    </w:rPr>
  </w:style>
  <w:style w:type="paragraph" w:customStyle="1" w:styleId="ordinary-output">
    <w:name w:val="ordinary-output"/>
    <w:basedOn w:val="a2"/>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3"/>
  </w:style>
  <w:style w:type="paragraph" w:customStyle="1" w:styleId="3GPPNormalText">
    <w:name w:val="3GPP Normal Text"/>
    <w:basedOn w:val="af0"/>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rPr>
      <w:rFonts w:ascii="Times New Roman" w:eastAsia="MS Mincho" w:hAnsi="Times New Roman" w:cs="Times New Roman"/>
      <w:szCs w:val="24"/>
      <w:lang w:eastAsia="zh-CN"/>
    </w:rPr>
  </w:style>
  <w:style w:type="table" w:customStyle="1" w:styleId="15">
    <w:name w:val="网格型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cs="Times New Roman"/>
      <w:sz w:val="20"/>
      <w:szCs w:val="20"/>
      <w:lang w:val="en-GB" w:eastAsia="en-GB"/>
    </w:rPr>
  </w:style>
  <w:style w:type="paragraph" w:customStyle="1" w:styleId="Subtitle1">
    <w:name w:val="Subtitle1"/>
    <w:basedOn w:val="a2"/>
    <w:next w:val="a2"/>
    <w:uiPriority w:val="11"/>
    <w:qFormat/>
    <w:pPr>
      <w:snapToGrid w:val="0"/>
    </w:pPr>
    <w:rPr>
      <w:rFonts w:ascii="Calibri Light" w:eastAsia="宋体" w:hAnsi="Calibri Light"/>
      <w:b/>
      <w:i/>
      <w:iCs/>
      <w:color w:val="4472C4"/>
      <w:spacing w:val="15"/>
      <w:sz w:val="20"/>
      <w:lang w:eastAsia="zh-CN"/>
    </w:rPr>
  </w:style>
  <w:style w:type="character" w:customStyle="1" w:styleId="aff0">
    <w:name w:val="副标题 字符"/>
    <w:basedOn w:val="a3"/>
    <w:link w:val="aff"/>
    <w:uiPriority w:val="11"/>
    <w:rPr>
      <w:rFonts w:ascii="Calibri Light" w:hAnsi="Calibri Light"/>
      <w:b/>
      <w:i/>
      <w:iCs/>
      <w:color w:val="4472C4"/>
      <w:spacing w:val="15"/>
      <w:szCs w:val="24"/>
      <w:lang w:eastAsia="zh-CN"/>
    </w:rPr>
  </w:style>
  <w:style w:type="table" w:customStyle="1" w:styleId="TableGridLight1">
    <w:name w:val="Table Grid Light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5">
    <w:name w:val="标题 字符"/>
    <w:basedOn w:val="a3"/>
    <w:link w:val="aff4"/>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2"/>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c"/>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2"/>
    <w:next w:val="a2"/>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style>
  <w:style w:type="paragraph" w:customStyle="1" w:styleId="berschrift2Head2A2">
    <w:name w:val="Überschrift 2.Head2A.2"/>
    <w:basedOn w:val="1"/>
    <w:next w:val="a2"/>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2"/>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0"/>
    <w:pPr>
      <w:widowControl w:val="0"/>
      <w:spacing w:after="0"/>
      <w:jc w:val="both"/>
    </w:pPr>
    <w:rPr>
      <w:rFonts w:eastAsia="宋体"/>
      <w:color w:val="0000FF"/>
      <w:kern w:val="2"/>
      <w:sz w:val="21"/>
      <w:szCs w:val="20"/>
    </w:rPr>
  </w:style>
  <w:style w:type="paragraph" w:customStyle="1" w:styleId="BalloonText1">
    <w:name w:val="Balloon Text1"/>
    <w:basedOn w:val="a2"/>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2"/>
    <w:pPr>
      <w:spacing w:before="360" w:line="240" w:lineRule="atLeast"/>
      <w:jc w:val="center"/>
    </w:pPr>
    <w:rPr>
      <w:rFonts w:eastAsia="MS Mincho"/>
      <w:sz w:val="20"/>
      <w:szCs w:val="20"/>
      <w:lang w:eastAsia="ja-JP"/>
    </w:rPr>
  </w:style>
  <w:style w:type="character" w:customStyle="1" w:styleId="af3">
    <w:name w:val="正文文本缩进 字符"/>
    <w:basedOn w:val="a3"/>
    <w:link w:val="af2"/>
    <w:uiPriority w:val="99"/>
    <w:rPr>
      <w:rFonts w:ascii="Times New Roman" w:hAnsi="Times New Roman" w:cs="Times New Roman"/>
      <w:sz w:val="20"/>
      <w:szCs w:val="20"/>
      <w:lang w:val="en-GB"/>
    </w:rPr>
  </w:style>
  <w:style w:type="character" w:customStyle="1" w:styleId="2c">
    <w:name w:val="正文文本首行缩进 2 字符"/>
    <w:basedOn w:val="af3"/>
    <w:link w:val="2b"/>
    <w:rPr>
      <w:rFonts w:ascii="Times New Roman" w:eastAsia="MS Mincho" w:hAnsi="Times New Roman" w:cs="Times New Roman"/>
      <w:sz w:val="20"/>
      <w:szCs w:val="20"/>
      <w:lang w:val="en-GB"/>
    </w:rPr>
  </w:style>
  <w:style w:type="paragraph" w:customStyle="1" w:styleId="List1">
    <w:name w:val="List 1"/>
    <w:basedOn w:val="a2"/>
    <w:pPr>
      <w:spacing w:after="120"/>
      <w:ind w:left="568" w:hanging="284"/>
    </w:pPr>
    <w:rPr>
      <w:rFonts w:ascii="Arial" w:eastAsia="MS Mincho" w:hAnsi="Arial"/>
      <w:sz w:val="20"/>
      <w:szCs w:val="22"/>
      <w:lang w:val="en-GB" w:eastAsia="ja-JP"/>
    </w:rPr>
  </w:style>
  <w:style w:type="paragraph" w:customStyle="1" w:styleId="assocaitedwith">
    <w:name w:val="assocaited with"/>
    <w:basedOn w:val="a2"/>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6">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宋体" w:hAnsi="Arial"/>
      <w:sz w:val="22"/>
      <w:lang w:eastAsia="en-US"/>
    </w:rPr>
  </w:style>
  <w:style w:type="paragraph" w:customStyle="1" w:styleId="afff6">
    <w:name w:val="样式 正文"/>
    <w:basedOn w:val="a2"/>
    <w:link w:val="Char"/>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3"/>
    <w:link w:val="afff6"/>
    <w:rPr>
      <w:rFonts w:ascii="Times New Roman" w:hAnsi="Times New Roman" w:cs="宋体"/>
      <w:kern w:val="2"/>
      <w:sz w:val="21"/>
      <w:szCs w:val="20"/>
      <w:lang w:eastAsia="zh-CN"/>
    </w:rPr>
  </w:style>
  <w:style w:type="paragraph" w:customStyle="1" w:styleId="afff7">
    <w:name w:val="公式"/>
    <w:basedOn w:val="a2"/>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0"/>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rPr>
  </w:style>
  <w:style w:type="paragraph" w:customStyle="1" w:styleId="Doc-title">
    <w:name w:val="Doc-title"/>
    <w:basedOn w:val="a2"/>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2"/>
    <w:next w:val="aa"/>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2"/>
    <w:next w:val="a2"/>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2"/>
    <w:pPr>
      <w:numPr>
        <w:numId w:val="22"/>
      </w:numPr>
      <w:jc w:val="both"/>
    </w:pPr>
    <w:rPr>
      <w:rFonts w:eastAsia="MS Mincho"/>
      <w:sz w:val="20"/>
      <w:szCs w:val="20"/>
      <w:lang w:val="en-GB" w:eastAsia="en-US"/>
    </w:rPr>
  </w:style>
  <w:style w:type="paragraph" w:customStyle="1" w:styleId="FigureCaption">
    <w:name w:val="Figure Caption"/>
    <w:basedOn w:val="a2"/>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2"/>
    <w:next w:val="a2"/>
    <w:pPr>
      <w:spacing w:before="120" w:after="120" w:line="240" w:lineRule="atLeast"/>
      <w:jc w:val="right"/>
    </w:pPr>
    <w:rPr>
      <w:rFonts w:eastAsia="宋体"/>
      <w:sz w:val="22"/>
      <w:szCs w:val="20"/>
      <w:lang w:eastAsia="en-US"/>
    </w:rPr>
  </w:style>
  <w:style w:type="paragraph" w:customStyle="1" w:styleId="multifig">
    <w:name w:val="multifig"/>
    <w:basedOn w:val="a2"/>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2"/>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2"/>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2"/>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sz w:val="20"/>
      <w:szCs w:val="20"/>
      <w:lang w:eastAsia="ko-KR"/>
    </w:rPr>
  </w:style>
  <w:style w:type="paragraph" w:customStyle="1" w:styleId="Bullet0">
    <w:name w:val="Bullet"/>
    <w:basedOn w:val="a2"/>
    <w:qFormat/>
    <w:pPr>
      <w:numPr>
        <w:numId w:val="23"/>
      </w:numPr>
    </w:pPr>
    <w:rPr>
      <w:rFonts w:eastAsia="宋体"/>
      <w:lang w:eastAsia="en-US"/>
    </w:rPr>
  </w:style>
  <w:style w:type="paragraph" w:customStyle="1" w:styleId="FigureCentered">
    <w:name w:val="FigureCentered"/>
    <w:basedOn w:val="a2"/>
    <w:next w:val="a2"/>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4"/>
      </w:numPr>
      <w:jc w:val="both"/>
    </w:pPr>
    <w:rPr>
      <w:rFonts w:eastAsia="MS Mincho"/>
      <w:sz w:val="20"/>
      <w:szCs w:val="20"/>
      <w:lang w:val="en-GB" w:eastAsia="en-US"/>
    </w:rPr>
  </w:style>
  <w:style w:type="paragraph" w:customStyle="1" w:styleId="PaperTableCell">
    <w:name w:val="PaperTableCell"/>
    <w:basedOn w:val="a2"/>
    <w:qFormat/>
    <w:pPr>
      <w:jc w:val="both"/>
    </w:pPr>
    <w:rPr>
      <w:rFonts w:eastAsia="宋体"/>
      <w:sz w:val="16"/>
      <w:lang w:eastAsia="en-US"/>
    </w:rPr>
  </w:style>
  <w:style w:type="paragraph" w:customStyle="1" w:styleId="figure0">
    <w:name w:val="figure"/>
    <w:basedOn w:val="a2"/>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2"/>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2"/>
    <w:qFormat/>
    <w:pPr>
      <w:keepNext/>
      <w:jc w:val="center"/>
    </w:pPr>
    <w:rPr>
      <w:rFonts w:ascii="Arial" w:eastAsia="Calibri" w:hAnsi="Arial" w:cs="Arial"/>
      <w:sz w:val="18"/>
      <w:szCs w:val="18"/>
      <w:lang w:eastAsia="en-US"/>
    </w:rPr>
  </w:style>
  <w:style w:type="paragraph" w:customStyle="1" w:styleId="th0">
    <w:name w:val="th"/>
    <w:basedOn w:val="a2"/>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0"/>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2"/>
    <w:qFormat/>
    <w:pPr>
      <w:spacing w:before="100" w:after="100"/>
      <w:ind w:left="860"/>
    </w:pPr>
    <w:rPr>
      <w:rFonts w:ascii="Times" w:eastAsia="MS Gothic" w:hAnsi="Times"/>
      <w:szCs w:val="20"/>
      <w:lang w:val="en-GB" w:eastAsia="ja-JP"/>
    </w:rPr>
  </w:style>
  <w:style w:type="paragraph" w:customStyle="1" w:styleId="a1">
    <w:name w:val="佐藤２"/>
    <w:basedOn w:val="a2"/>
    <w:qFormat/>
    <w:pPr>
      <w:numPr>
        <w:numId w:val="25"/>
      </w:numPr>
      <w:spacing w:after="180"/>
    </w:pPr>
    <w:rPr>
      <w:rFonts w:eastAsia="MS Gothic"/>
      <w:szCs w:val="20"/>
      <w:lang w:val="en-GB" w:eastAsia="ja-JP"/>
    </w:rPr>
  </w:style>
  <w:style w:type="paragraph" w:customStyle="1" w:styleId="ListBulletLast">
    <w:name w:val="List Bullet Last"/>
    <w:basedOn w:val="a"/>
    <w:next w:val="af0"/>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3"/>
    <w:link w:val="36"/>
    <w:qFormat/>
    <w:rPr>
      <w:rFonts w:ascii="Times New Roman" w:eastAsia="MS Gothic" w:hAnsi="Times New Roman" w:cs="Times New Roman"/>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0"/>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2"/>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lang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2"/>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eastAsia="宋体"/>
      <w:lang w:val="sv-SE" w:eastAsia="sv-SE"/>
    </w:rPr>
  </w:style>
  <w:style w:type="paragraph" w:customStyle="1" w:styleId="onecomwebmail-tah">
    <w:name w:val="onecomwebmail-tah"/>
    <w:basedOn w:val="a2"/>
    <w:qFormat/>
    <w:pPr>
      <w:spacing w:before="100" w:beforeAutospacing="1" w:after="100" w:afterAutospacing="1"/>
    </w:pPr>
    <w:rPr>
      <w:rFonts w:eastAsia="宋体"/>
      <w:lang w:val="sv-SE" w:eastAsia="sv-SE"/>
    </w:rPr>
  </w:style>
  <w:style w:type="paragraph" w:customStyle="1" w:styleId="onecomwebmail-tac">
    <w:name w:val="onecomwebmail-tac"/>
    <w:basedOn w:val="a2"/>
    <w:qFormat/>
    <w:pPr>
      <w:spacing w:before="100" w:beforeAutospacing="1" w:after="100" w:afterAutospacing="1"/>
    </w:pPr>
    <w:rPr>
      <w:rFonts w:eastAsia="宋体"/>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2"/>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2"/>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2"/>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c"/>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2"/>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27"/>
      </w:numPr>
    </w:pPr>
    <w:rPr>
      <w:rFonts w:eastAsia="宋体"/>
      <w:sz w:val="20"/>
      <w:lang w:eastAsia="en-US"/>
    </w:rPr>
  </w:style>
  <w:style w:type="paragraph" w:customStyle="1" w:styleId="Statement">
    <w:name w:val="Statement"/>
    <w:basedOn w:val="a2"/>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2"/>
    <w:qFormat/>
    <w:pPr>
      <w:ind w:left="720"/>
      <w:contextualSpacing/>
    </w:pPr>
    <w:rPr>
      <w:rFonts w:eastAsia="宋体"/>
      <w:lang w:eastAsia="zh-CN"/>
    </w:rPr>
  </w:style>
  <w:style w:type="paragraph" w:customStyle="1" w:styleId="ListParagraph2">
    <w:name w:val="List Paragraph2"/>
    <w:basedOn w:val="a2"/>
    <w:qFormat/>
    <w:pPr>
      <w:ind w:left="720"/>
      <w:contextualSpacing/>
    </w:pPr>
    <w:rPr>
      <w:rFonts w:eastAsia="宋体"/>
      <w:lang w:eastAsia="zh-CN"/>
    </w:rPr>
  </w:style>
  <w:style w:type="paragraph" w:customStyle="1" w:styleId="ListParagraph5">
    <w:name w:val="List Paragraph5"/>
    <w:basedOn w:val="a2"/>
    <w:qFormat/>
    <w:pPr>
      <w:ind w:left="720"/>
      <w:contextualSpacing/>
    </w:pPr>
    <w:rPr>
      <w:rFonts w:eastAsia="宋体"/>
      <w:lang w:eastAsia="zh-CN"/>
    </w:rPr>
  </w:style>
  <w:style w:type="paragraph" w:customStyle="1" w:styleId="ListParagraph4">
    <w:name w:val="List Paragraph4"/>
    <w:basedOn w:val="a2"/>
    <w:qFormat/>
    <w:pPr>
      <w:ind w:left="720"/>
      <w:contextualSpacing/>
    </w:pPr>
    <w:rPr>
      <w:rFonts w:eastAsia="宋体"/>
      <w:lang w:eastAsia="zh-CN"/>
    </w:rPr>
  </w:style>
  <w:style w:type="character" w:customStyle="1" w:styleId="SubtleEmphasis1">
    <w:name w:val="Subtle Emphasis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lang w:eastAsia="ja-JP"/>
    </w:rPr>
  </w:style>
  <w:style w:type="paragraph" w:customStyle="1" w:styleId="72">
    <w:name w:val="标题 72"/>
    <w:basedOn w:val="a2"/>
    <w:qFormat/>
    <w:pPr>
      <w:tabs>
        <w:tab w:val="left" w:pos="1296"/>
      </w:tabs>
    </w:pPr>
    <w:rPr>
      <w:rFonts w:ascii="Times" w:eastAsia="MS PGothic" w:hAnsi="Times" w:cs="Times"/>
      <w:sz w:val="20"/>
      <w:szCs w:val="20"/>
      <w:lang w:eastAsia="ja-JP"/>
    </w:rPr>
  </w:style>
  <w:style w:type="paragraph" w:customStyle="1" w:styleId="ListParagraph7">
    <w:name w:val="List Paragraph7"/>
    <w:basedOn w:val="a2"/>
    <w:qFormat/>
    <w:pPr>
      <w:ind w:left="720"/>
      <w:contextualSpacing/>
    </w:pPr>
    <w:rPr>
      <w:rFonts w:eastAsia="宋体"/>
      <w:lang w:eastAsia="zh-CN"/>
    </w:rPr>
  </w:style>
  <w:style w:type="paragraph" w:customStyle="1" w:styleId="ListParagraph6">
    <w:name w:val="List Paragraph6"/>
    <w:basedOn w:val="a2"/>
    <w:qFormat/>
    <w:pPr>
      <w:ind w:left="720"/>
      <w:contextualSpacing/>
    </w:pPr>
    <w:rPr>
      <w:rFonts w:eastAsia="宋体"/>
      <w:lang w:eastAsia="zh-CN"/>
    </w:rPr>
  </w:style>
  <w:style w:type="paragraph" w:customStyle="1" w:styleId="61">
    <w:name w:val="标题 61"/>
    <w:basedOn w:val="a2"/>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2"/>
    <w:qFormat/>
    <w:pPr>
      <w:tabs>
        <w:tab w:val="left" w:pos="1296"/>
      </w:tabs>
    </w:pPr>
    <w:rPr>
      <w:rFonts w:ascii="Times" w:eastAsia="MS PGothic" w:hAnsi="Times" w:cs="Times"/>
      <w:sz w:val="20"/>
      <w:szCs w:val="20"/>
      <w:lang w:eastAsia="ja-JP"/>
    </w:rPr>
  </w:style>
  <w:style w:type="paragraph" w:customStyle="1" w:styleId="IvDbodytext">
    <w:name w:val="IvD bodytext"/>
    <w:basedOn w:val="af0"/>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2"/>
    <w:qFormat/>
    <w:pPr>
      <w:numPr>
        <w:numId w:val="30"/>
      </w:numPr>
      <w:spacing w:before="120" w:after="120"/>
      <w:jc w:val="both"/>
    </w:pPr>
    <w:rPr>
      <w:rFonts w:eastAsia="Malgun Gothic"/>
      <w:kern w:val="2"/>
      <w:sz w:val="20"/>
      <w:szCs w:val="22"/>
    </w:rPr>
  </w:style>
  <w:style w:type="paragraph" w:customStyle="1" w:styleId="Proposalsubsub">
    <w:name w:val="Proposal_sub_sub"/>
    <w:basedOn w:val="a2"/>
    <w:qFormat/>
    <w:pPr>
      <w:numPr>
        <w:ilvl w:val="1"/>
        <w:numId w:val="30"/>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2"/>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3"/>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eastAsia="宋体"/>
      <w:lang w:eastAsia="en-US"/>
    </w:rPr>
  </w:style>
  <w:style w:type="character" w:customStyle="1" w:styleId="z-Char1">
    <w:name w:val="z-양식의 맨 위 Char1"/>
    <w:basedOn w:val="a3"/>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3"/>
    <w:qFormat/>
    <w:rPr>
      <w:rFonts w:ascii="Arial" w:hAnsi="Arial" w:cs="Arial"/>
      <w:vanish/>
      <w:sz w:val="16"/>
      <w:szCs w:val="16"/>
      <w:lang w:eastAsia="en-US"/>
    </w:rPr>
  </w:style>
  <w:style w:type="character" w:customStyle="1" w:styleId="z-Char10">
    <w:name w:val="z-양식의 맨 아래 Char1"/>
    <w:basedOn w:val="a3"/>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3"/>
    <w:qFormat/>
    <w:rPr>
      <w:rFonts w:ascii="Arial" w:hAnsi="Arial" w:cs="Arial"/>
      <w:vanish/>
      <w:sz w:val="16"/>
      <w:szCs w:val="16"/>
      <w:lang w:eastAsia="en-US"/>
    </w:rPr>
  </w:style>
  <w:style w:type="character" w:customStyle="1" w:styleId="Char12">
    <w:name w:val="부제 Char1"/>
    <w:basedOn w:val="a3"/>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3"/>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4"/>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4"/>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4"/>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4"/>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2"/>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3"/>
    <w:semiHidden/>
    <w:qFormat/>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Pr>
      <w:color w:val="2B579A"/>
      <w:shd w:val="clear" w:color="auto" w:fill="E1DFDD"/>
    </w:rPr>
  </w:style>
  <w:style w:type="character" w:customStyle="1" w:styleId="UnresolvedMention2">
    <w:name w:val="Unresolved Mention2"/>
    <w:basedOn w:val="a3"/>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3784">
      <w:bodyDiv w:val="1"/>
      <w:marLeft w:val="0"/>
      <w:marRight w:val="0"/>
      <w:marTop w:val="0"/>
      <w:marBottom w:val="0"/>
      <w:divBdr>
        <w:top w:val="none" w:sz="0" w:space="0" w:color="auto"/>
        <w:left w:val="none" w:sz="0" w:space="0" w:color="auto"/>
        <w:bottom w:val="none" w:sz="0" w:space="0" w:color="auto"/>
        <w:right w:val="none" w:sz="0" w:space="0" w:color="auto"/>
      </w:divBdr>
    </w:div>
    <w:div w:id="1142649231">
      <w:bodyDiv w:val="1"/>
      <w:marLeft w:val="0"/>
      <w:marRight w:val="0"/>
      <w:marTop w:val="0"/>
      <w:marBottom w:val="0"/>
      <w:divBdr>
        <w:top w:val="none" w:sz="0" w:space="0" w:color="auto"/>
        <w:left w:val="none" w:sz="0" w:space="0" w:color="auto"/>
        <w:bottom w:val="none" w:sz="0" w:space="0" w:color="auto"/>
        <w:right w:val="none" w:sz="0" w:space="0" w:color="auto"/>
      </w:divBdr>
    </w:div>
    <w:div w:id="1380592315">
      <w:bodyDiv w:val="1"/>
      <w:marLeft w:val="0"/>
      <w:marRight w:val="0"/>
      <w:marTop w:val="0"/>
      <w:marBottom w:val="0"/>
      <w:divBdr>
        <w:top w:val="none" w:sz="0" w:space="0" w:color="auto"/>
        <w:left w:val="none" w:sz="0" w:space="0" w:color="auto"/>
        <w:bottom w:val="none" w:sz="0" w:space="0" w:color="auto"/>
        <w:right w:val="none" w:sz="0" w:space="0" w:color="auto"/>
      </w:divBdr>
    </w:div>
    <w:div w:id="1435707975">
      <w:bodyDiv w:val="1"/>
      <w:marLeft w:val="0"/>
      <w:marRight w:val="0"/>
      <w:marTop w:val="0"/>
      <w:marBottom w:val="0"/>
      <w:divBdr>
        <w:top w:val="none" w:sz="0" w:space="0" w:color="auto"/>
        <w:left w:val="none" w:sz="0" w:space="0" w:color="auto"/>
        <w:bottom w:val="none" w:sz="0" w:space="0" w:color="auto"/>
        <w:right w:val="none" w:sz="0" w:space="0" w:color="auto"/>
      </w:divBdr>
    </w:div>
    <w:div w:id="1482582324">
      <w:bodyDiv w:val="1"/>
      <w:marLeft w:val="0"/>
      <w:marRight w:val="0"/>
      <w:marTop w:val="0"/>
      <w:marBottom w:val="0"/>
      <w:divBdr>
        <w:top w:val="none" w:sz="0" w:space="0" w:color="auto"/>
        <w:left w:val="none" w:sz="0" w:space="0" w:color="auto"/>
        <w:bottom w:val="none" w:sz="0" w:space="0" w:color="auto"/>
        <w:right w:val="none" w:sz="0" w:space="0" w:color="auto"/>
      </w:divBdr>
    </w:div>
    <w:div w:id="1562254569">
      <w:bodyDiv w:val="1"/>
      <w:marLeft w:val="0"/>
      <w:marRight w:val="0"/>
      <w:marTop w:val="0"/>
      <w:marBottom w:val="0"/>
      <w:divBdr>
        <w:top w:val="none" w:sz="0" w:space="0" w:color="auto"/>
        <w:left w:val="none" w:sz="0" w:space="0" w:color="auto"/>
        <w:bottom w:val="none" w:sz="0" w:space="0" w:color="auto"/>
        <w:right w:val="none" w:sz="0" w:space="0" w:color="auto"/>
      </w:divBdr>
    </w:div>
    <w:div w:id="1589852161">
      <w:bodyDiv w:val="1"/>
      <w:marLeft w:val="0"/>
      <w:marRight w:val="0"/>
      <w:marTop w:val="0"/>
      <w:marBottom w:val="0"/>
      <w:divBdr>
        <w:top w:val="none" w:sz="0" w:space="0" w:color="auto"/>
        <w:left w:val="none" w:sz="0" w:space="0" w:color="auto"/>
        <w:bottom w:val="none" w:sz="0" w:space="0" w:color="auto"/>
        <w:right w:val="none" w:sz="0" w:space="0" w:color="auto"/>
      </w:divBdr>
    </w:div>
    <w:div w:id="1909921637">
      <w:bodyDiv w:val="1"/>
      <w:marLeft w:val="0"/>
      <w:marRight w:val="0"/>
      <w:marTop w:val="0"/>
      <w:marBottom w:val="0"/>
      <w:divBdr>
        <w:top w:val="none" w:sz="0" w:space="0" w:color="auto"/>
        <w:left w:val="none" w:sz="0" w:space="0" w:color="auto"/>
        <w:bottom w:val="none" w:sz="0" w:space="0" w:color="auto"/>
        <w:right w:val="none" w:sz="0" w:space="0" w:color="auto"/>
      </w:divBdr>
    </w:div>
    <w:div w:id="2008944256">
      <w:bodyDiv w:val="1"/>
      <w:marLeft w:val="0"/>
      <w:marRight w:val="0"/>
      <w:marTop w:val="0"/>
      <w:marBottom w:val="0"/>
      <w:divBdr>
        <w:top w:val="none" w:sz="0" w:space="0" w:color="auto"/>
        <w:left w:val="none" w:sz="0" w:space="0" w:color="auto"/>
        <w:bottom w:val="none" w:sz="0" w:space="0" w:color="auto"/>
        <w:right w:val="none" w:sz="0" w:space="0" w:color="auto"/>
      </w:divBdr>
    </w:div>
    <w:div w:id="2083867419">
      <w:bodyDiv w:val="1"/>
      <w:marLeft w:val="0"/>
      <w:marRight w:val="0"/>
      <w:marTop w:val="0"/>
      <w:marBottom w:val="0"/>
      <w:divBdr>
        <w:top w:val="none" w:sz="0" w:space="0" w:color="auto"/>
        <w:left w:val="none" w:sz="0" w:space="0" w:color="auto"/>
        <w:bottom w:val="none" w:sz="0" w:space="0" w:color="auto"/>
        <w:right w:val="none" w:sz="0" w:space="0" w:color="auto"/>
      </w:divBdr>
      <w:divsChild>
        <w:div w:id="4993473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Props1.xml><?xml version="1.0" encoding="utf-8"?>
<ds:datastoreItem xmlns:ds="http://schemas.openxmlformats.org/officeDocument/2006/customXml" ds:itemID="{F8F9FB53-1D42-44CA-9672-90DFF5EDDD43}">
  <ds:schemaRefs>
    <ds:schemaRef ds:uri="http://schemas.openxmlformats.org/officeDocument/2006/bibliography"/>
  </ds:schemaRefs>
</ds:datastoreItem>
</file>

<file path=customXml/itemProps2.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3.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Normal</Template>
  <TotalTime>4289</TotalTime>
  <Pages>9</Pages>
  <Words>3954</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Fu Ting</cp:lastModifiedBy>
  <cp:revision>232</cp:revision>
  <dcterms:created xsi:type="dcterms:W3CDTF">2022-11-14T15:00:00Z</dcterms:created>
  <dcterms:modified xsi:type="dcterms:W3CDTF">2023-04-17T07:02:00Z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16aa8212-9e9d-4f5e-a7be-6e8c5adffb6f</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ICV">
    <vt:lpwstr>0543769BE3DF48C08A1AAED68E414A14</vt:lpwstr>
  </property>
</Properties>
</file>