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ListParagraph"/>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ListParagraph"/>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w:t>
            </w:r>
            <w:proofErr w:type="gramStart"/>
            <w:r w:rsidR="00432E30">
              <w:rPr>
                <w:rFonts w:eastAsiaTheme="minorEastAsia"/>
                <w:iCs/>
                <w:kern w:val="2"/>
                <w:lang w:eastAsia="zh-CN"/>
              </w:rPr>
              <w:t>e.g.</w:t>
            </w:r>
            <w:proofErr w:type="gramEnd"/>
            <w:r w:rsidR="00432E30">
              <w:rPr>
                <w:rFonts w:eastAsiaTheme="minorEastAsia"/>
                <w:iCs/>
                <w:kern w:val="2"/>
                <w:lang w:eastAsia="zh-CN"/>
              </w:rPr>
              <w:t xml:space="preserve">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w:t>
            </w:r>
            <w:proofErr w:type="gramStart"/>
            <w:r w:rsidR="00CC2A63">
              <w:rPr>
                <w:rFonts w:eastAsiaTheme="minorEastAsia"/>
                <w:iCs/>
                <w:kern w:val="2"/>
                <w:lang w:eastAsia="zh-CN"/>
              </w:rPr>
              <w:t>So</w:t>
            </w:r>
            <w:proofErr w:type="gramEnd"/>
            <w:r w:rsidR="00CC2A63">
              <w:rPr>
                <w:rFonts w:eastAsiaTheme="minorEastAsia"/>
                <w:iCs/>
                <w:kern w:val="2"/>
                <w:lang w:eastAsia="zh-CN"/>
              </w:rPr>
              <w:t xml:space="preserve">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 xml:space="preserve">with the determination mainly defined in other specs, </w:t>
            </w:r>
            <w:proofErr w:type="gramStart"/>
            <w:r w:rsidR="00FD2242">
              <w:rPr>
                <w:rFonts w:eastAsiaTheme="minorEastAsia"/>
                <w:iCs/>
                <w:kern w:val="2"/>
                <w:lang w:eastAsia="zh-CN"/>
              </w:rPr>
              <w:t>i.e.</w:t>
            </w:r>
            <w:proofErr w:type="gramEnd"/>
            <w:r w:rsidR="00FD2242">
              <w:rPr>
                <w:rFonts w:eastAsiaTheme="minorEastAsia"/>
                <w:iCs/>
                <w:kern w:val="2"/>
                <w:lang w:eastAsia="zh-CN"/>
              </w:rPr>
              <w:t xml:space="preserv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w:t>
            </w:r>
            <w:proofErr w:type="gramStart"/>
            <w:r w:rsidRPr="00C40D1C">
              <w:rPr>
                <w:rFonts w:cs="Times New Roman"/>
                <w:iCs/>
                <w:color w:val="0070C0"/>
                <w:kern w:val="2"/>
                <w:lang w:eastAsia="zh-CN"/>
              </w:rPr>
              <w:t>So</w:t>
            </w:r>
            <w:proofErr w:type="gramEnd"/>
            <w:r w:rsidRPr="00C40D1C">
              <w:rPr>
                <w:rFonts w:cs="Times New Roman"/>
                <w:iCs/>
                <w:color w:val="0070C0"/>
                <w:kern w:val="2"/>
                <w:lang w:eastAsia="zh-CN"/>
              </w:rPr>
              <w:t xml:space="preserve">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w:t>
            </w:r>
            <w:proofErr w:type="spellStart"/>
            <w:r w:rsidRPr="00C40D1C">
              <w:rPr>
                <w:rFonts w:cs="Times New Roman"/>
                <w:iCs/>
                <w:color w:val="0070C0"/>
                <w:kern w:val="2"/>
                <w:lang w:eastAsia="zh-CN"/>
              </w:rPr>
              <w:t>te</w:t>
            </w:r>
            <w:proofErr w:type="spellEnd"/>
            <w:r w:rsidRPr="00C40D1C">
              <w:rPr>
                <w:rFonts w:cs="Times New Roman"/>
                <w:iCs/>
                <w:color w:val="0070C0"/>
                <w:kern w:val="2"/>
                <w:lang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w:t>
            </w:r>
            <w:proofErr w:type="spellStart"/>
            <w:r>
              <w:rPr>
                <w:iCs/>
                <w:color w:val="0070C0"/>
                <w:kern w:val="2"/>
                <w:lang w:eastAsia="zh-CN"/>
              </w:rPr>
              <w:t>striked</w:t>
            </w:r>
            <w:proofErr w:type="spellEnd"/>
            <w:r>
              <w:rPr>
                <w:iCs/>
                <w:color w:val="0070C0"/>
                <w:kern w:val="2"/>
                <w:lang w:eastAsia="zh-CN"/>
              </w:rPr>
              <w:t xml:space="preserve">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w:t>
            </w:r>
            <w:proofErr w:type="spellStart"/>
            <w:r w:rsidRPr="00C40D1C">
              <w:rPr>
                <w:rFonts w:eastAsiaTheme="minorEastAsia"/>
                <w:iCs/>
                <w:color w:val="0070C0"/>
                <w:kern w:val="2"/>
                <w:lang w:eastAsia="zh-CN"/>
              </w:rPr>
              <w:t>HiSi</w:t>
            </w:r>
            <w:proofErr w:type="spellEnd"/>
            <w:r w:rsidRPr="00C40D1C">
              <w:rPr>
                <w:rFonts w:eastAsiaTheme="minorEastAsia"/>
                <w:iCs/>
                <w:color w:val="0070C0"/>
                <w:kern w:val="2"/>
                <w:lang w:eastAsia="zh-CN"/>
              </w:rPr>
              <w:t xml:space="preserve">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proofErr w:type="spellStart"/>
            <w:r w:rsidRPr="002948FF">
              <w:rPr>
                <w:rFonts w:eastAsiaTheme="minorEastAsia"/>
                <w:iCs/>
                <w:color w:val="0070C0"/>
                <w:kern w:val="2"/>
                <w:highlight w:val="yellow"/>
                <w:lang w:eastAsia="zh-CN"/>
              </w:rPr>
              <w:t>ssue</w:t>
            </w:r>
            <w:proofErr w:type="spellEnd"/>
            <w:r w:rsidRPr="002948FF">
              <w:rPr>
                <w:rFonts w:eastAsiaTheme="minorEastAsia"/>
                <w:iCs/>
                <w:color w:val="0070C0"/>
                <w:kern w:val="2"/>
                <w:highlight w:val="yellow"/>
                <w:lang w:eastAsia="zh-CN"/>
              </w:rPr>
              <w:t xml:space="preserv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Hyperlink"/>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w:t>
      </w:r>
      <w:proofErr w:type="gramStart"/>
      <w:r>
        <w:rPr>
          <w:rFonts w:eastAsia="Calibri"/>
          <w:sz w:val="22"/>
          <w:szCs w:val="22"/>
          <w:lang w:eastAsia="zh-CN"/>
        </w:rPr>
        <w:t>transfer</w:t>
      </w:r>
      <w:proofErr w:type="gramEnd"/>
      <w:r>
        <w:rPr>
          <w:rFonts w:eastAsia="Calibri"/>
          <w:sz w:val="22"/>
          <w:szCs w:val="22"/>
          <w:lang w:eastAsia="zh-CN"/>
        </w:rPr>
        <w:t xml:space="preserve">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proofErr w:type="gramStart"/>
            <w:r>
              <w:rPr>
                <w:rFonts w:cs="Times New Roman"/>
                <w:iCs/>
                <w:kern w:val="2"/>
                <w:lang w:eastAsia="zh-CN"/>
              </w:rPr>
              <w:t>Thanks CATT</w:t>
            </w:r>
            <w:proofErr w:type="gramEnd"/>
            <w:r>
              <w:rPr>
                <w:rFonts w:cs="Times New Roman"/>
                <w:iCs/>
                <w:kern w:val="2"/>
                <w:lang w:eastAsia="zh-CN"/>
              </w:rPr>
              <w:t xml:space="preserve">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70C9790"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w:t>
      </w:r>
      <w:r w:rsidR="00FE7CC9">
        <w:rPr>
          <w:rFonts w:eastAsia="Calibri"/>
          <w:sz w:val="22"/>
          <w:szCs w:val="22"/>
          <w:lang w:val="en-AT" w:eastAsia="zh-CN"/>
        </w:rPr>
        <w:t xml:space="preserve">the </w:t>
      </w:r>
      <w:r>
        <w:rPr>
          <w:rFonts w:eastAsia="Calibri"/>
          <w:sz w:val="22"/>
          <w:szCs w:val="22"/>
          <w:lang w:eastAsia="zh-CN"/>
        </w:rPr>
        <w:t xml:space="preserve">TP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5" w:history="1">
        <w:r>
          <w:rPr>
            <w:rStyle w:val="Hyperlink"/>
          </w:rPr>
          <w:t>Draft CR folder</w:t>
        </w:r>
      </w:hyperlink>
      <w:r w:rsidR="005C6F40">
        <w:t xml:space="preserve">, where the parts for Issue #2 &amp; </w:t>
      </w:r>
      <w:proofErr w:type="spellStart"/>
      <w:r w:rsidR="005C6F40">
        <w:t>Issu</w:t>
      </w:r>
      <w:proofErr w:type="spellEnd"/>
      <w:r w:rsidR="00FE7CC9">
        <w:rPr>
          <w:lang w:val="en-AT"/>
        </w:rPr>
        <w:t>es</w:t>
      </w:r>
      <w:r w:rsidR="005C6F40">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782F830F"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proofErr w:type="spellStart"/>
      <w:r w:rsidR="005C6F40" w:rsidRPr="005C6F40">
        <w:rPr>
          <w:rFonts w:eastAsia="Calibri"/>
          <w:b/>
          <w:bCs/>
          <w:i/>
          <w:iCs/>
          <w:sz w:val="22"/>
          <w:szCs w:val="22"/>
          <w:lang w:eastAsia="zh-CN"/>
        </w:rPr>
        <w:t>perHARQ</w:t>
      </w:r>
      <w:proofErr w:type="spellEnd"/>
      <w:r w:rsidR="005C6F40" w:rsidRPr="005C6F40">
        <w:rPr>
          <w:rFonts w:eastAsia="Calibri"/>
          <w:b/>
          <w:bCs/>
          <w:sz w:val="22"/>
          <w:szCs w:val="22"/>
          <w:lang w:eastAsia="zh-CN"/>
        </w:rPr>
        <w:t xml:space="preserve"> and </w:t>
      </w:r>
      <w:proofErr w:type="spellStart"/>
      <w:r w:rsidR="005C6F40" w:rsidRPr="005C6F40">
        <w:rPr>
          <w:rFonts w:eastAsia="Calibri"/>
          <w:b/>
          <w:bCs/>
          <w:i/>
          <w:iCs/>
          <w:sz w:val="22"/>
          <w:szCs w:val="22"/>
          <w:lang w:eastAsia="zh-CN"/>
        </w:rPr>
        <w:t>perCC</w:t>
      </w:r>
      <w:proofErr w:type="spellEnd"/>
      <w:r w:rsidR="005C6F40" w:rsidRPr="005C6F40">
        <w:rPr>
          <w:rFonts w:eastAsia="Calibri"/>
          <w:b/>
          <w:bCs/>
          <w:sz w:val="22"/>
          <w:szCs w:val="22"/>
          <w:lang w:eastAsia="zh-CN"/>
        </w:rPr>
        <w:t xml:space="preserve"> of the draft CR </w:t>
      </w:r>
      <w:r w:rsidR="00776A53" w:rsidRPr="00776A53">
        <w:rPr>
          <w:rFonts w:eastAsia="Calibri"/>
          <w:b/>
          <w:bCs/>
          <w:color w:val="FF0000"/>
          <w:sz w:val="22"/>
          <w:szCs w:val="22"/>
          <w:highlight w:val="yellow"/>
          <w:lang w:val="en-AT" w:eastAsia="zh-CN"/>
        </w:rPr>
        <w:t>v02</w:t>
      </w:r>
      <w:r w:rsidR="005C6F40" w:rsidRPr="005C6F40">
        <w:rPr>
          <w:rFonts w:eastAsia="Calibri"/>
          <w:b/>
          <w:bCs/>
          <w:sz w:val="22"/>
          <w:szCs w:val="22"/>
          <w:lang w:eastAsia="zh-CN"/>
        </w:rPr>
        <w:t xml:space="preserve"> provided in the </w:t>
      </w:r>
      <w:hyperlink r:id="rId26" w:history="1">
        <w:r w:rsidR="005C6F40" w:rsidRPr="005C6F40">
          <w:rPr>
            <w:rStyle w:val="Hyperlink"/>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4294D675" w:rsidR="005C6F40" w:rsidRPr="00EA35DA" w:rsidRDefault="0010083B" w:rsidP="0010083B">
            <w:pPr>
              <w:spacing w:beforeLines="50" w:before="120" w:after="0"/>
              <w:rPr>
                <w:rFonts w:eastAsia="Malgun Gothic" w:cs="Times New Roman"/>
                <w:iCs/>
                <w:kern w:val="2"/>
                <w:lang w:val="en-AT" w:eastAsia="ko-KR"/>
              </w:rPr>
            </w:pPr>
            <w:r>
              <w:rPr>
                <w:rFonts w:eastAsia="Malgun Gothic" w:cs="Times New Roman" w:hint="eastAsia"/>
                <w:iCs/>
                <w:kern w:val="2"/>
                <w:lang w:val="en-US" w:eastAsia="ko-KR"/>
              </w:rPr>
              <w:t>L</w:t>
            </w:r>
            <w:r>
              <w:rPr>
                <w:rFonts w:eastAsia="Malgun Gothic" w:cs="Times New Roman"/>
                <w:iCs/>
                <w:kern w:val="2"/>
                <w:lang w:val="en-US" w:eastAsia="ko-KR"/>
              </w:rPr>
              <w:t>G</w:t>
            </w:r>
            <w:r w:rsidR="009B6AD0">
              <w:rPr>
                <w:rFonts w:eastAsia="Malgun Gothic" w:cs="Times New Roman"/>
                <w:iCs/>
                <w:kern w:val="2"/>
                <w:lang w:val="en-US" w:eastAsia="ko-KR"/>
              </w:rPr>
              <w:t>, Intel</w:t>
            </w:r>
            <w:r w:rsidR="00097EC4">
              <w:rPr>
                <w:rFonts w:eastAsia="Malgun Gothic" w:cs="Times New Roman"/>
                <w:iCs/>
                <w:kern w:val="2"/>
                <w:lang w:val="en-US" w:eastAsia="ko-KR"/>
              </w:rPr>
              <w:t>, Samsung</w:t>
            </w:r>
            <w:r w:rsidR="00EA35DA">
              <w:rPr>
                <w:rFonts w:eastAsia="Malgun Gothic" w:cs="Times New Roman"/>
                <w:iCs/>
                <w:kern w:val="2"/>
                <w:lang w:val="en-AT" w:eastAsia="ko-KR"/>
              </w:rPr>
              <w:t>, Nokia/NSB</w:t>
            </w:r>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7F7014CE"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9E2C967" w14:textId="26026FB8"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Might as well co-source after the editing ^^</w:t>
            </w: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7816F63A" w:rsidR="005C6F40" w:rsidRPr="00776A53" w:rsidRDefault="00776A53" w:rsidP="0010083B">
            <w:pPr>
              <w:spacing w:beforeLines="50" w:before="120" w:after="0"/>
              <w:rPr>
                <w:rFonts w:eastAsiaTheme="minorEastAsia" w:cs="Times New Roman"/>
                <w:color w:val="0070C0"/>
                <w:kern w:val="2"/>
                <w:lang w:val="en-AT" w:eastAsia="zh-CN"/>
              </w:rPr>
            </w:pPr>
            <w:r w:rsidRPr="00776A53">
              <w:rPr>
                <w:rFonts w:eastAsiaTheme="minorEastAsia" w:cs="Times New Roman"/>
                <w:color w:val="0070C0"/>
                <w:kern w:val="2"/>
                <w:lang w:val="en-A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A641D42" w14:textId="076A0ECD" w:rsidR="00776A53" w:rsidRPr="00776A53" w:rsidRDefault="00776A53" w:rsidP="0010083B">
            <w:pPr>
              <w:spacing w:beforeLines="50" w:before="120" w:after="0"/>
              <w:rPr>
                <w:rFonts w:eastAsiaTheme="minorEastAsia" w:cs="Times New Roman"/>
                <w:color w:val="0070C0"/>
                <w:kern w:val="2"/>
                <w:lang w:val="en-AT" w:eastAsia="zh-CN"/>
              </w:rPr>
            </w:pPr>
            <w:r w:rsidRPr="00FE7CC9">
              <w:rPr>
                <w:rFonts w:eastAsiaTheme="minorEastAsia" w:cs="Times New Roman"/>
                <w:color w:val="FF0000"/>
                <w:kern w:val="2"/>
                <w:highlight w:val="yellow"/>
                <w:lang w:val="en-AT" w:eastAsia="zh-CN"/>
              </w:rPr>
              <w:t>V02</w:t>
            </w:r>
            <w:r w:rsidRPr="00776A53">
              <w:rPr>
                <w:rFonts w:eastAsiaTheme="minorEastAsia" w:cs="Times New Roman"/>
                <w:color w:val="0070C0"/>
                <w:kern w:val="2"/>
                <w:lang w:val="en-AT" w:eastAsia="zh-CN"/>
              </w:rPr>
              <w:t xml:space="preserve"> draft CR – no changes on Issue #3</w:t>
            </w:r>
            <w:r w:rsidRPr="00776A53">
              <w:rPr>
                <w:rFonts w:eastAsiaTheme="minorEastAsia" w:cs="Times New Roman"/>
                <w:color w:val="0070C0"/>
                <w:kern w:val="2"/>
                <w:lang w:val="en-AT" w:eastAsia="zh-CN"/>
              </w:rPr>
              <w:br/>
              <w:t>@Samsung: noted</w:t>
            </w: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 xml:space="preserve">Option 1 (max of the two): Number of HARQ-Ack bits for each TB of a HARQ process for that CC in the </w:t>
            </w:r>
            <w:r>
              <w:rPr>
                <w:bCs/>
                <w:iCs/>
              </w:rPr>
              <w:lastRenderedPageBreak/>
              <w:t>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 xml:space="preserve">For one enhanced Type 3 HARQ-ACK CB, the same CBG and NDI configuration </w:t>
            </w:r>
            <w:r w:rsidRPr="00B45F00">
              <w:rPr>
                <w:rFonts w:eastAsia="Batang"/>
                <w:bCs/>
                <w:lang w:eastAsia="zh-CN"/>
              </w:rPr>
              <w:lastRenderedPageBreak/>
              <w:t>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lastRenderedPageBreak/>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proofErr w:type="gramStart"/>
            <w:r>
              <w:rPr>
                <w:rFonts w:eastAsiaTheme="minorEastAsia"/>
                <w:kern w:val="2"/>
                <w:lang w:eastAsia="zh-CN"/>
              </w:rPr>
              <w:t>Samsung</w:t>
            </w:r>
            <w:r w:rsidR="003A4ED8">
              <w:rPr>
                <w:iCs/>
                <w:kern w:val="2"/>
                <w:lang w:eastAsia="zh-CN"/>
              </w:rPr>
              <w:t>[</w:t>
            </w:r>
            <w:proofErr w:type="gramEnd"/>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FFS: If the HARQ-ACK codebook size or structure is dependent on the PHY priority (</w:t>
                  </w:r>
                  <w:proofErr w:type="gramStart"/>
                  <w:r w:rsidRPr="00B45F00">
                    <w:rPr>
                      <w:rFonts w:ascii="Times" w:eastAsia="Batang" w:hAnsi="Times" w:cs="Times"/>
                      <w:lang w:eastAsia="zh-CN"/>
                    </w:rPr>
                    <w:t>e.g.</w:t>
                  </w:r>
                  <w:proofErr w:type="gramEnd"/>
                  <w:r w:rsidRPr="00B45F00">
                    <w:rPr>
                      <w:rFonts w:ascii="Times" w:eastAsia="Batang" w:hAnsi="Times" w:cs="Times"/>
                      <w:lang w:eastAsia="zh-CN"/>
                    </w:rPr>
                    <w:t xml:space="preserve">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SimSun" w:cs="Times New Roman"/>
                <w:sz w:val="20"/>
                <w:szCs w:val="20"/>
              </w:rPr>
            </w:pPr>
            <w:r w:rsidRPr="00B95F6B">
              <w:rPr>
                <w:rFonts w:eastAsia="SimSun" w:cs="Times New Roman"/>
                <w:sz w:val="20"/>
                <w:szCs w:val="20"/>
              </w:rPr>
              <w:t>Hearing all the comments so far, we don’t think “no action</w:t>
            </w:r>
            <w:r>
              <w:rPr>
                <w:rFonts w:eastAsia="SimSun" w:cs="Times New Roman"/>
                <w:sz w:val="20"/>
                <w:szCs w:val="20"/>
              </w:rPr>
              <w:t>”</w:t>
            </w:r>
            <w:r w:rsidRPr="00B95F6B">
              <w:rPr>
                <w:rFonts w:eastAsia="SimSun"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w:t>
            </w:r>
            <w:proofErr w:type="spellStart"/>
            <w:r w:rsidRPr="00C10FF8">
              <w:rPr>
                <w:rFonts w:eastAsiaTheme="minorEastAsia"/>
                <w:iCs/>
                <w:kern w:val="2"/>
                <w:lang w:eastAsia="zh-CN"/>
              </w:rPr>
              <w:t>HiSi</w:t>
            </w:r>
            <w:proofErr w:type="spellEnd"/>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TableGrid"/>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w:t>
            </w:r>
            <w:proofErr w:type="spellStart"/>
            <w:r w:rsidRPr="00CA43C4">
              <w:rPr>
                <w:rFonts w:eastAsiaTheme="minorEastAsia"/>
                <w:iCs/>
                <w:kern w:val="2"/>
                <w:lang w:eastAsia="zh-CN"/>
              </w:rPr>
              <w:t>e.g</w:t>
            </w:r>
            <w:proofErr w:type="spellEnd"/>
            <w:r w:rsidRPr="00CA43C4">
              <w:rPr>
                <w:rFonts w:eastAsiaTheme="minorEastAsia"/>
                <w:iCs/>
                <w:kern w:val="2"/>
                <w:lang w:eastAsia="zh-CN"/>
              </w:rPr>
              <w:t xml:space="preserve"> size, max number of CBG, flag (pdsch-HARQ-ACK-EnhType3CBG). </w:t>
            </w:r>
          </w:p>
          <w:p w14:paraId="608AE1DC" w14:textId="03E5FFE9" w:rsidR="00C10FF8" w:rsidRPr="00CA43C4" w:rsidRDefault="00C10FF8" w:rsidP="00CA43C4">
            <w:pPr>
              <w:pStyle w:val="ListParagraph"/>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proofErr w:type="spellStart"/>
                  <w:r w:rsidRPr="006A0DA2">
                    <w:rPr>
                      <w:i/>
                      <w:iCs/>
                      <w:strike/>
                      <w:color w:val="00B050"/>
                    </w:rPr>
                    <w:t>pdsch</w:t>
                  </w:r>
                  <w:proofErr w:type="spellEnd"/>
                  <w:r w:rsidRPr="006A0DA2">
                    <w:rPr>
                      <w:i/>
                      <w:iCs/>
                      <w:strike/>
                      <w:color w:val="00B050"/>
                    </w:rPr>
                    <w:t>-HARQ-ACK-</w:t>
                  </w:r>
                  <w:proofErr w:type="spellStart"/>
                  <w:r w:rsidRPr="006A0DA2">
                    <w:rPr>
                      <w:i/>
                      <w:iCs/>
                      <w:strike/>
                      <w:color w:val="00B050"/>
                    </w:rPr>
                    <w:t>OneShotFeedback</w:t>
                  </w:r>
                  <w:proofErr w:type="spellEnd"/>
                  <w:r w:rsidRPr="006A0DA2">
                    <w:rPr>
                      <w:strike/>
                      <w:color w:val="00B050"/>
                    </w:rPr>
                    <w:t xml:space="preserve"> and</w:t>
                  </w:r>
                  <w:r>
                    <w:rPr>
                      <w:color w:val="00B0F0"/>
                    </w:rPr>
                    <w:t xml:space="preserve">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r w:rsidRPr="009B695B">
              <w:rPr>
                <w:rFonts w:eastAsiaTheme="minorEastAsia"/>
                <w:iCs/>
                <w:kern w:val="2"/>
                <w:lang w:eastAsia="zh-CN"/>
              </w:rPr>
              <w:t xml:space="preserve">i)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color w:val="00B0F0"/>
              </w:rPr>
              <w:t xml:space="preserve"> </w:t>
            </w:r>
            <w:r w:rsidRPr="009B695B">
              <w:rPr>
                <w:rFonts w:eastAsiaTheme="minorEastAsia"/>
                <w:iCs/>
                <w:kern w:val="2"/>
                <w:lang w:eastAsia="zh-CN"/>
              </w:rPr>
              <w:t xml:space="preserve">is configured subject to the configuration of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w:t>
            </w:r>
            <w:proofErr w:type="spellEnd"/>
            <w:r w:rsidRPr="009B695B">
              <w:rPr>
                <w:rFonts w:eastAsiaTheme="minorEastAsia"/>
                <w:iCs/>
                <w:kern w:val="2"/>
                <w:lang w:eastAsia="zh-CN"/>
              </w:rPr>
              <w:t xml:space="preserve">, </w:t>
            </w:r>
            <w:proofErr w:type="gramStart"/>
            <w:r w:rsidRPr="009B695B">
              <w:rPr>
                <w:rFonts w:eastAsiaTheme="minorEastAsia"/>
                <w:iCs/>
                <w:kern w:val="2"/>
                <w:lang w:eastAsia="zh-CN"/>
              </w:rPr>
              <w:t xml:space="preserve">so </w:t>
            </w:r>
            <w:r>
              <w:rPr>
                <w:color w:val="1F497D"/>
                <w:sz w:val="21"/>
                <w:szCs w:val="21"/>
              </w:rPr>
              <w:t> </w:t>
            </w:r>
            <w:proofErr w:type="spellStart"/>
            <w:r>
              <w:rPr>
                <w:rFonts w:cs="Times New Roman"/>
                <w:i/>
                <w:iCs/>
                <w:color w:val="FF0000"/>
              </w:rPr>
              <w:t>pdsch</w:t>
            </w:r>
            <w:proofErr w:type="spellEnd"/>
            <w:proofErr w:type="gramEnd"/>
            <w:r>
              <w:rPr>
                <w:rFonts w:cs="Times New Roman"/>
                <w:i/>
                <w:iCs/>
                <w:color w:val="FF0000"/>
              </w:rPr>
              <w:t>-HARQ-ACK-</w:t>
            </w:r>
            <w:proofErr w:type="spellStart"/>
            <w:r>
              <w:rPr>
                <w:rFonts w:cs="Times New Roman"/>
                <w:i/>
                <w:iCs/>
                <w:color w:val="FF0000"/>
              </w:rPr>
              <w:t>OneShotFeedbackCBG</w:t>
            </w:r>
            <w:proofErr w:type="spellEnd"/>
            <w:r>
              <w:rPr>
                <w:rFonts w:cs="Times New Roman"/>
                <w:i/>
                <w:iCs/>
                <w:color w:val="FF0000"/>
              </w:rPr>
              <w:t xml:space="preserve">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proofErr w:type="spellStart"/>
            <w:r>
              <w:rPr>
                <w:rFonts w:cs="Times New Roman"/>
                <w:i/>
                <w:iCs/>
                <w:color w:val="FF0000"/>
              </w:rPr>
              <w:t>maxCodeBlockGroupsPerTransportBlock</w:t>
            </w:r>
            <w:proofErr w:type="spellEnd"/>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w:t>
            </w:r>
            <w:proofErr w:type="spellStart"/>
            <w:r w:rsidRPr="009B695B">
              <w:rPr>
                <w:rFonts w:eastAsiaTheme="minorEastAsia"/>
                <w:iCs/>
                <w:kern w:val="2"/>
                <w:lang w:eastAsia="zh-CN"/>
              </w:rPr>
              <w:t>perCC</w:t>
            </w:r>
            <w:proofErr w:type="spellEnd"/>
            <w:r w:rsidRPr="009B695B">
              <w:rPr>
                <w:rFonts w:eastAsiaTheme="minorEastAsia"/>
                <w:iCs/>
                <w:kern w:val="2"/>
                <w:lang w:eastAsia="zh-CN"/>
              </w:rPr>
              <w:t xml:space="preserve"> or </w:t>
            </w:r>
            <w:proofErr w:type="spellStart"/>
            <w:r w:rsidRPr="009B695B">
              <w:rPr>
                <w:rFonts w:eastAsiaTheme="minorEastAsia"/>
                <w:iCs/>
                <w:kern w:val="2"/>
                <w:lang w:eastAsia="zh-CN"/>
              </w:rPr>
              <w:t>perHARQ</w:t>
            </w:r>
            <w:proofErr w:type="spellEnd"/>
            <w:r w:rsidRPr="009B695B">
              <w:rPr>
                <w:rFonts w:eastAsiaTheme="minorEastAsia"/>
                <w:iCs/>
                <w:kern w:val="2"/>
                <w:lang w:eastAsia="zh-CN"/>
              </w:rPr>
              <w:t xml:space="preserve"> manner, the alignment of </w:t>
            </w:r>
            <w:proofErr w:type="spellStart"/>
            <w:r>
              <w:rPr>
                <w:rFonts w:cs="Times New Roman"/>
                <w:i/>
                <w:iCs/>
                <w:color w:val="FF0000"/>
              </w:rPr>
              <w:t>maxCodeBlockGroupsPerTransportBlock</w:t>
            </w:r>
            <w:proofErr w:type="spellEnd"/>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lastRenderedPageBreak/>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 xml:space="preserve">Moderator still has a suggesting on the placing of the clarification: starting a section with a ‘configuration restriction’ directly is maybe not the best place to have this. But was thinking if in the CR we </w:t>
      </w:r>
      <w:proofErr w:type="gramStart"/>
      <w:r w:rsidRPr="00804D09">
        <w:rPr>
          <w:rFonts w:eastAsia="Calibri"/>
          <w:sz w:val="22"/>
          <w:szCs w:val="22"/>
          <w:highlight w:val="yellow"/>
          <w:lang w:eastAsia="zh-CN"/>
        </w:rPr>
        <w:t>would have this as part specs</w:t>
      </w:r>
      <w:proofErr w:type="gramEnd"/>
      <w:r w:rsidRPr="00804D09">
        <w:rPr>
          <w:rFonts w:eastAsia="Calibri"/>
          <w:sz w:val="22"/>
          <w:szCs w:val="22"/>
          <w:highlight w:val="yellow"/>
          <w:lang w:eastAsia="zh-CN"/>
        </w:rPr>
        <w:t xml:space="preserve"> where we handle the CBG setting (i.e. have the clarification in that place, where it actually matters). </w:t>
      </w:r>
      <w:proofErr w:type="gramStart"/>
      <w:r w:rsidRPr="00804D09">
        <w:rPr>
          <w:rFonts w:eastAsia="Calibri"/>
          <w:sz w:val="22"/>
          <w:szCs w:val="22"/>
          <w:highlight w:val="yellow"/>
          <w:lang w:eastAsia="zh-CN"/>
        </w:rPr>
        <w:t>So</w:t>
      </w:r>
      <w:proofErr w:type="gramEnd"/>
      <w:r w:rsidRPr="00804D09">
        <w:rPr>
          <w:rFonts w:eastAsia="Calibri"/>
          <w:sz w:val="22"/>
          <w:szCs w:val="22"/>
          <w:highlight w:val="yellow"/>
          <w:lang w:eastAsia="zh-CN"/>
        </w:rPr>
        <w:t xml:space="preserve">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proofErr w:type="spellStart"/>
            <w:r w:rsidRPr="002E1C30">
              <w:rPr>
                <w:i/>
                <w:lang w:val="en-US" w:eastAsia="zh-CN"/>
              </w:rPr>
              <w:t>pdsch</w:t>
            </w:r>
            <w:proofErr w:type="spellEnd"/>
            <w:r w:rsidRPr="002E1C30">
              <w:rPr>
                <w:i/>
                <w:lang w:val="en-US" w:eastAsia="zh-CN"/>
              </w:rPr>
              <w:t>-HARQ-ACK-</w:t>
            </w:r>
            <w:proofErr w:type="spellStart"/>
            <w:r w:rsidRPr="002E1C30">
              <w:rPr>
                <w:i/>
                <w:lang w:val="en-US" w:eastAsia="zh-CN"/>
              </w:rPr>
              <w:t>OneShotFeedback</w:t>
            </w:r>
            <w:proofErr w:type="spellEnd"/>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proofErr w:type="spellStart"/>
            <w:r w:rsidRPr="002E1C30">
              <w:rPr>
                <w:i/>
                <w:lang w:eastAsia="ja-JP"/>
              </w:rPr>
              <w:t>nrofHARQ-ProcessesForPDSCH</w:t>
            </w:r>
            <w:proofErr w:type="spellEnd"/>
            <w:r w:rsidRPr="002E1C30">
              <w:rPr>
                <w:i/>
                <w:lang w:eastAsia="ja-JP"/>
              </w:rPr>
              <w:t xml:space="preserve"> </w:t>
            </w:r>
            <w:r w:rsidRPr="002E1C30">
              <w:rPr>
                <w:lang w:eastAsia="ja-JP"/>
              </w:rPr>
              <w:t xml:space="preserve">for </w:t>
            </w:r>
            <w:r w:rsidRPr="002E1C30">
              <w:t xml:space="preserve">serving cell </w:t>
            </w:r>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proofErr w:type="spellStart"/>
            <w:r w:rsidRPr="002E1C30">
              <w:rPr>
                <w:i/>
              </w:rPr>
              <w:t>maxNrofCodeWordsScheduledByDCI</w:t>
            </w:r>
            <w:proofErr w:type="spellEnd"/>
            <w:r w:rsidRPr="002E1C30">
              <w:rPr>
                <w:lang w:val="en-US"/>
              </w:rPr>
              <w:t xml:space="preserve"> for serving cell </w:t>
            </w:r>
            <m:oMath>
              <m:r>
                <w:rPr>
                  <w:rFonts w:ascii="Cambria Math" w:hAnsi="Cambria Math"/>
                </w:rPr>
                <m:t>c</m:t>
              </m:r>
            </m:oMath>
            <w:r w:rsidRPr="002E1C30">
              <w:t xml:space="preserve"> if </w:t>
            </w:r>
            <w:proofErr w:type="spellStart"/>
            <w:r w:rsidRPr="002E1C30">
              <w:rPr>
                <w:rFonts w:eastAsia="Malgun Gothic"/>
                <w:i/>
              </w:rPr>
              <w:t>harq</w:t>
            </w:r>
            <w:proofErr w:type="spellEnd"/>
            <w:r w:rsidRPr="002E1C30">
              <w:rPr>
                <w:rFonts w:eastAsia="Malgun Gothic"/>
                <w:i/>
              </w:rPr>
              <w:t>-ACK-</w:t>
            </w:r>
            <w:proofErr w:type="spellStart"/>
            <w:r w:rsidRPr="002E1C30">
              <w:rPr>
                <w:rFonts w:eastAsia="Malgun Gothic"/>
                <w:i/>
              </w:rPr>
              <w:t>SpatialBundlingPUCCH</w:t>
            </w:r>
            <w:proofErr w:type="spellEnd"/>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proofErr w:type="spellStart"/>
            <w:r w:rsidRPr="002E1C30">
              <w:rPr>
                <w:i/>
              </w:rPr>
              <w:t>harq</w:t>
            </w:r>
            <w:proofErr w:type="spellEnd"/>
            <w:r w:rsidRPr="002E1C30">
              <w:rPr>
                <w:i/>
              </w:rPr>
              <w:t>-ACK-</w:t>
            </w:r>
            <w:proofErr w:type="spellStart"/>
            <w:r w:rsidRPr="002E1C30">
              <w:rPr>
                <w:i/>
              </w:rPr>
              <w:t>SpatialBundlingPUCCH</w:t>
            </w:r>
            <w:proofErr w:type="spellEnd"/>
            <w:r w:rsidRPr="002E1C30">
              <w:rPr>
                <w:lang w:eastAsia="zh-CN"/>
              </w:rPr>
              <w:t xml:space="preserve"> is not provided, or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40F8C1F"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DengXian"/>
                <w:lang w:eastAsia="zh-CN"/>
              </w:rPr>
              <w:t xml:space="preserve">and </w:t>
            </w:r>
            <w:proofErr w:type="spellStart"/>
            <w:r w:rsidRPr="002E1C30">
              <w:rPr>
                <w:rFonts w:eastAsia="DengXian"/>
                <w:i/>
                <w:lang w:eastAsia="zh-CN"/>
              </w:rPr>
              <w:t>pdsch</w:t>
            </w:r>
            <w:proofErr w:type="spellEnd"/>
            <w:r w:rsidRPr="002E1C30">
              <w:rPr>
                <w:rFonts w:eastAsia="DengXian"/>
                <w:i/>
                <w:lang w:eastAsia="zh-CN"/>
              </w:rPr>
              <w:t>-HARQ-ACK-</w:t>
            </w:r>
            <w:proofErr w:type="spellStart"/>
            <w:r w:rsidRPr="002E1C30">
              <w:rPr>
                <w:rFonts w:eastAsia="DengXian"/>
                <w:i/>
                <w:lang w:eastAsia="zh-CN"/>
              </w:rPr>
              <w:t>OneShotFeedbackCBG</w:t>
            </w:r>
            <w:proofErr w:type="spellEnd"/>
            <w:r w:rsidRPr="002E1C30">
              <w:rPr>
                <w:rFonts w:eastAsia="DengXian"/>
                <w:lang w:eastAsia="zh-CN"/>
              </w:rPr>
              <w:t xml:space="preserve"> or </w:t>
            </w:r>
            <w:r w:rsidRPr="002E1C30">
              <w:rPr>
                <w:rFonts w:eastAsia="DengXian"/>
                <w:i/>
                <w:lang w:eastAsia="zh-CN"/>
              </w:rPr>
              <w:t>pdsch-HARQ-ACK-EnhType3CBG</w:t>
            </w:r>
            <w:r w:rsidRPr="002E1C30">
              <w:rPr>
                <w:rFonts w:eastAsia="DengXian"/>
                <w:lang w:eastAsia="zh-CN"/>
              </w:rPr>
              <w:t xml:space="preserve"> is provided</w:t>
            </w:r>
            <w:r w:rsidRPr="002E1C30">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proofErr w:type="spellStart"/>
            <w:r w:rsidRPr="002E1C30">
              <w:rPr>
                <w:i/>
                <w:iCs/>
                <w:color w:val="FF0000"/>
                <w:highlight w:val="yellow"/>
              </w:rPr>
              <w:t>pdsch</w:t>
            </w:r>
            <w:proofErr w:type="spellEnd"/>
            <w:r w:rsidRPr="002E1C30">
              <w:rPr>
                <w:i/>
                <w:iCs/>
                <w:color w:val="FF0000"/>
                <w:highlight w:val="yellow"/>
              </w:rPr>
              <w:t>-HARQ-ACK-</w:t>
            </w:r>
            <w:proofErr w:type="spellStart"/>
            <w:r w:rsidRPr="002E1C30">
              <w:rPr>
                <w:i/>
                <w:iCs/>
                <w:color w:val="FF0000"/>
                <w:highlight w:val="yellow"/>
              </w:rPr>
              <w:t>OneShotFeedbackCBG</w:t>
            </w:r>
            <w:proofErr w:type="spellEnd"/>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w:t>
            </w:r>
            <w:r w:rsidRPr="00776A53">
              <w:rPr>
                <w:strike/>
                <w:color w:val="00B050"/>
                <w:highlight w:val="yellow"/>
              </w:rPr>
              <w:t xml:space="preserve">a </w:t>
            </w:r>
            <w:proofErr w:type="gramStart"/>
            <w:r w:rsidRPr="002E1C30">
              <w:rPr>
                <w:color w:val="FF0000"/>
                <w:highlight w:val="yellow"/>
              </w:rPr>
              <w:t>different value</w:t>
            </w:r>
            <w:r w:rsidR="00776A53" w:rsidRPr="00776A53">
              <w:rPr>
                <w:color w:val="00B050"/>
                <w:highlight w:val="yellow"/>
                <w:lang w:val="en-AT"/>
              </w:rPr>
              <w:t>s</w:t>
            </w:r>
            <w:proofErr w:type="gramEnd"/>
            <w:r w:rsidRPr="002E1C30">
              <w:rPr>
                <w:color w:val="FF0000"/>
                <w:highlight w:val="yellow"/>
              </w:rPr>
              <w:t xml:space="preserve"> of </w:t>
            </w:r>
            <w:proofErr w:type="spellStart"/>
            <w:r w:rsidRPr="002E1C30">
              <w:rPr>
                <w:i/>
                <w:iCs/>
                <w:color w:val="FF0000"/>
                <w:highlight w:val="yellow"/>
              </w:rPr>
              <w:t>maxCodeBlockGroupsPerTransportBlock</w:t>
            </w:r>
            <w:proofErr w:type="spellEnd"/>
            <w:r w:rsidRPr="002E1C30">
              <w:rPr>
                <w:color w:val="FF0000"/>
                <w:highlight w:val="yellow"/>
              </w:rPr>
              <w:t xml:space="preserve"> for different priority indexes in </w:t>
            </w:r>
            <w:proofErr w:type="spellStart"/>
            <w:r w:rsidRPr="002E1C30">
              <w:rPr>
                <w:i/>
                <w:iCs/>
                <w:color w:val="FF0000"/>
                <w:highlight w:val="yellow"/>
              </w:rPr>
              <w:t>pdsch-CodeBlockGroupTransmissionList</w:t>
            </w:r>
            <w:proofErr w:type="spellEnd"/>
            <w:r w:rsidRPr="002E1C30">
              <w:rPr>
                <w:i/>
                <w:iCs/>
                <w:color w:val="FF0000"/>
                <w:highlight w:val="yellow"/>
              </w:rPr>
              <w:t xml:space="preserve"> </w:t>
            </w:r>
            <w:r w:rsidRPr="002E1C30">
              <w:rPr>
                <w:iCs/>
                <w:color w:val="FF0000"/>
                <w:highlight w:val="yellow"/>
              </w:rPr>
              <w:t xml:space="preserve">for serving cell </w:t>
            </w:r>
            <w:r w:rsidRPr="002E1C30">
              <w:rPr>
                <w:i/>
                <w:color w:val="FF0000"/>
                <w:highlight w:val="yellow"/>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proofErr w:type="spellStart"/>
            <w:r w:rsidRPr="002E1C30">
              <w:rPr>
                <w:i/>
              </w:rPr>
              <w:t>pdsch</w:t>
            </w:r>
            <w:proofErr w:type="spellEnd"/>
            <w:r w:rsidRPr="002E1C30">
              <w:rPr>
                <w:i/>
              </w:rPr>
              <w:t>-HARQ-ACK-</w:t>
            </w:r>
            <w:proofErr w:type="spellStart"/>
            <w:r w:rsidRPr="002E1C30">
              <w:rPr>
                <w:i/>
              </w:rPr>
              <w:t>OneShotFeedbackNDI</w:t>
            </w:r>
            <w:proofErr w:type="spellEnd"/>
            <w:r w:rsidRPr="002E1C30">
              <w:t xml:space="preserve"> or </w:t>
            </w:r>
            <w:r w:rsidRPr="002E1C30">
              <w:rPr>
                <w:rFonts w:eastAsia="DengXian"/>
                <w:i/>
                <w:lang w:eastAsia="zh-CN"/>
              </w:rPr>
              <w:t>pdsch-HARQ-ACK-EnhType3NDI</w:t>
            </w:r>
            <w:r w:rsidRPr="002E1C30">
              <w:rPr>
                <w:rFonts w:eastAsia="DengXian"/>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72A589C5"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in the </w:t>
      </w:r>
      <w:hyperlink r:id="rId31" w:history="1">
        <w:r>
          <w:rPr>
            <w:rStyle w:val="Hyperlink"/>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66E13D96"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w:t>
      </w:r>
      <w:r w:rsidR="00324386" w:rsidRPr="00324386">
        <w:rPr>
          <w:rFonts w:eastAsia="Calibri"/>
          <w:b/>
          <w:bCs/>
          <w:color w:val="FF0000"/>
          <w:sz w:val="22"/>
          <w:szCs w:val="22"/>
          <w:highlight w:val="yellow"/>
          <w:lang w:val="en-AT" w:eastAsia="zh-CN"/>
        </w:rPr>
        <w:t>v02</w:t>
      </w:r>
      <w:r w:rsidRPr="005C6F40">
        <w:rPr>
          <w:rFonts w:eastAsia="Calibri"/>
          <w:b/>
          <w:bCs/>
          <w:sz w:val="22"/>
          <w:szCs w:val="22"/>
          <w:lang w:eastAsia="zh-CN"/>
        </w:rPr>
        <w:t xml:space="preserve"> provided in the </w:t>
      </w:r>
      <w:hyperlink r:id="rId32" w:history="1">
        <w:r w:rsidRPr="005C6F40">
          <w:rPr>
            <w:rStyle w:val="Hyperlink"/>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30A5B475" w:rsidR="005C6F40" w:rsidRPr="00EA35DA" w:rsidRDefault="00611BB0" w:rsidP="0010083B">
            <w:pPr>
              <w:spacing w:beforeLines="50" w:before="120" w:after="0"/>
              <w:rPr>
                <w:rFonts w:eastAsia="Malgun Gothic" w:cs="Times New Roman"/>
                <w:iCs/>
                <w:kern w:val="2"/>
                <w:lang w:val="en-AT" w:eastAsia="ko-KR"/>
              </w:rPr>
            </w:pPr>
            <w:r>
              <w:rPr>
                <w:rFonts w:eastAsia="Malgun Gothic" w:cs="Times New Roman" w:hint="eastAsia"/>
                <w:iCs/>
                <w:kern w:val="2"/>
                <w:lang w:val="en-US" w:eastAsia="ko-KR"/>
              </w:rPr>
              <w:t>LG</w:t>
            </w:r>
            <w:r w:rsidR="00D37701">
              <w:rPr>
                <w:rFonts w:eastAsia="Malgun Gothic" w:cs="Times New Roman"/>
                <w:iCs/>
                <w:kern w:val="2"/>
                <w:lang w:val="en-US" w:eastAsia="ko-KR"/>
              </w:rPr>
              <w:t>, ZTE</w:t>
            </w:r>
            <w:r w:rsidR="00884279">
              <w:rPr>
                <w:rFonts w:eastAsia="Malgun Gothic" w:cs="Times New Roman"/>
                <w:iCs/>
                <w:kern w:val="2"/>
                <w:lang w:val="en-US" w:eastAsia="ko-KR"/>
              </w:rPr>
              <w:t>, Intel</w:t>
            </w:r>
            <w:r w:rsidR="00EA35DA">
              <w:rPr>
                <w:rFonts w:eastAsia="Malgun Gothic" w:cs="Times New Roman"/>
                <w:iCs/>
                <w:kern w:val="2"/>
                <w:lang w:val="en-AT" w:eastAsia="ko-KR"/>
              </w:rPr>
              <w:t>, Nokia/NSB</w:t>
            </w:r>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iCs/>
                <w:kern w:val="2"/>
                <w:lang w:eastAsia="ko-KR"/>
              </w:rPr>
              <w:t xml:space="preserve">Thanks for the discussion. </w:t>
            </w:r>
            <w:r>
              <w:rPr>
                <w:rFonts w:eastAsia="Malgun Gothic"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A37A0EC" w:rsidR="005C6F40" w:rsidRPr="005C6F40" w:rsidRDefault="00097EC4" w:rsidP="0010083B">
            <w:pPr>
              <w:spacing w:beforeLines="50" w:before="120" w:after="0"/>
              <w:rPr>
                <w:rFonts w:eastAsiaTheme="minorEastAsia" w:cs="Times New Roman"/>
                <w:kern w:val="2"/>
                <w:lang w:eastAsia="zh-CN"/>
              </w:rPr>
            </w:pPr>
            <w:r>
              <w:rPr>
                <w:rFonts w:eastAsiaTheme="minorEastAsia"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20BDDC" w14:textId="591272B8" w:rsidR="005C6F40" w:rsidRPr="005C6F40" w:rsidRDefault="00097EC4" w:rsidP="0010083B">
            <w:pPr>
              <w:spacing w:beforeLines="50" w:before="120" w:after="0"/>
              <w:rPr>
                <w:rFonts w:eastAsiaTheme="minorEastAsia" w:cs="Times New Roman"/>
                <w:kern w:val="2"/>
                <w:lang w:eastAsia="zh-CN"/>
              </w:rPr>
            </w:pPr>
            <w:r w:rsidRPr="00097EC4">
              <w:t xml:space="preserve">Please update: </w:t>
            </w:r>
            <w:r w:rsidRPr="00097EC4">
              <w:rPr>
                <w:color w:val="FF0000"/>
              </w:rPr>
              <w:t xml:space="preserve">with a different value </w:t>
            </w:r>
            <w:r w:rsidRPr="00097EC4">
              <w:rPr>
                <w:color w:val="FF0000"/>
              </w:rPr>
              <w:sym w:font="Wingdings" w:char="F0E0"/>
            </w:r>
            <w:r w:rsidRPr="00097EC4">
              <w:rPr>
                <w:color w:val="FF0000"/>
              </w:rPr>
              <w:t xml:space="preserve"> different values</w:t>
            </w: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6BA27945" w:rsidR="005C6F40" w:rsidRPr="00776A53" w:rsidRDefault="00776A53" w:rsidP="0010083B">
            <w:pPr>
              <w:spacing w:beforeLines="50" w:before="120" w:after="0"/>
              <w:rPr>
                <w:rFonts w:cs="Times New Roman"/>
                <w:color w:val="0070C0"/>
                <w:kern w:val="2"/>
                <w:lang w:val="en-AT" w:eastAsia="zh-CN"/>
              </w:rPr>
            </w:pPr>
            <w:r w:rsidRPr="00776A53">
              <w:rPr>
                <w:rFonts w:cs="Times New Roman"/>
                <w:color w:val="0070C0"/>
                <w:kern w:val="2"/>
                <w:lang w:val="en-A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CDE3EC" w14:textId="269307F9" w:rsidR="005C6F40" w:rsidRPr="00776A53" w:rsidRDefault="00776A53" w:rsidP="0010083B">
            <w:pPr>
              <w:spacing w:beforeLines="50" w:before="120" w:after="0"/>
              <w:rPr>
                <w:rFonts w:cs="Times New Roman"/>
                <w:color w:val="0070C0"/>
                <w:kern w:val="2"/>
                <w:lang w:val="en-AT" w:eastAsia="zh-CN"/>
              </w:rPr>
            </w:pPr>
            <w:r w:rsidRPr="00776A53">
              <w:rPr>
                <w:rFonts w:cs="Times New Roman"/>
                <w:color w:val="FF0000"/>
                <w:kern w:val="2"/>
                <w:highlight w:val="yellow"/>
                <w:lang w:val="en-AT" w:eastAsia="zh-CN"/>
              </w:rPr>
              <w:t>V02</w:t>
            </w:r>
            <w:r w:rsidRPr="00776A53">
              <w:rPr>
                <w:rFonts w:cs="Times New Roman"/>
                <w:color w:val="0070C0"/>
                <w:kern w:val="2"/>
                <w:lang w:val="en-AT" w:eastAsia="zh-CN"/>
              </w:rPr>
              <w:t xml:space="preserve"> of the CR provided with the proposed</w:t>
            </w:r>
            <w:r w:rsidR="00851C7A">
              <w:rPr>
                <w:rFonts w:cs="Times New Roman"/>
                <w:color w:val="0070C0"/>
                <w:kern w:val="2"/>
                <w:lang w:val="en-AT" w:eastAsia="zh-CN"/>
              </w:rPr>
              <w:t xml:space="preserve"> minor wording </w:t>
            </w:r>
            <w:r w:rsidRPr="00776A53">
              <w:rPr>
                <w:rFonts w:cs="Times New Roman"/>
                <w:color w:val="0070C0"/>
                <w:kern w:val="2"/>
                <w:lang w:val="en-AT" w:eastAsia="zh-CN"/>
              </w:rPr>
              <w:t xml:space="preserve">change by Samsung (also reflected in the TP above in </w:t>
            </w:r>
            <w:r w:rsidRPr="00851C7A">
              <w:rPr>
                <w:rFonts w:cs="Times New Roman"/>
                <w:color w:val="00B050"/>
                <w:kern w:val="2"/>
                <w:lang w:val="en-AT" w:eastAsia="zh-CN"/>
              </w:rPr>
              <w:t>green</w:t>
            </w:r>
            <w:r w:rsidRPr="00776A53">
              <w:rPr>
                <w:rFonts w:cs="Times New Roman"/>
                <w:color w:val="0070C0"/>
                <w:kern w:val="2"/>
                <w:lang w:val="en-AT" w:eastAsia="zh-CN"/>
              </w:rPr>
              <w:t xml:space="preserve">). </w:t>
            </w:r>
          </w:p>
          <w:p w14:paraId="06483BE8" w14:textId="7D91E367" w:rsidR="00776A53" w:rsidRPr="00776A53" w:rsidRDefault="00776A53" w:rsidP="0010083B">
            <w:pPr>
              <w:spacing w:beforeLines="50" w:before="120" w:after="0"/>
              <w:rPr>
                <w:rFonts w:cs="Times New Roman"/>
                <w:color w:val="0070C0"/>
                <w:kern w:val="2"/>
                <w:lang w:val="en-AT"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77777777"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4680C5" w14:textId="77777777" w:rsidR="005C6F40" w:rsidRPr="005C6F40" w:rsidRDefault="005C6F40" w:rsidP="0010083B">
            <w:pPr>
              <w:spacing w:beforeLines="50" w:before="120" w:after="0"/>
              <w:jc w:val="both"/>
              <w:rPr>
                <w:rFonts w:cs="Times New Roman"/>
                <w:iCs/>
                <w:kern w:val="2"/>
                <w:lang w:eastAsia="zh-CN"/>
              </w:rPr>
            </w:pP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lastRenderedPageBreak/>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E23A" w14:textId="77777777" w:rsidR="00E41DF8" w:rsidRDefault="00E41DF8">
      <w:r>
        <w:separator/>
      </w:r>
    </w:p>
  </w:endnote>
  <w:endnote w:type="continuationSeparator" w:id="0">
    <w:p w14:paraId="12E0CB8D" w14:textId="77777777" w:rsidR="00E41DF8" w:rsidRDefault="00E41DF8">
      <w:r>
        <w:continuationSeparator/>
      </w:r>
    </w:p>
  </w:endnote>
  <w:endnote w:type="continuationNotice" w:id="1">
    <w:p w14:paraId="3A5BFF49" w14:textId="77777777" w:rsidR="00E41DF8" w:rsidRDefault="00E41D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10083B" w:rsidRDefault="0010083B">
        <w:pPr>
          <w:pStyle w:val="Footer"/>
        </w:pPr>
        <w:r>
          <w:fldChar w:fldCharType="begin"/>
        </w:r>
        <w:r>
          <w:instrText>PAGE   \* MERGEFORMAT</w:instrText>
        </w:r>
        <w:r>
          <w:fldChar w:fldCharType="separate"/>
        </w:r>
        <w:r w:rsidR="00D37701" w:rsidRPr="00D37701">
          <w:rPr>
            <w:lang w:val="zh-CN" w:eastAsia="zh-CN"/>
          </w:rPr>
          <w:t>30</w:t>
        </w:r>
        <w:r>
          <w:fldChar w:fldCharType="end"/>
        </w:r>
      </w:p>
    </w:sdtContent>
  </w:sdt>
  <w:p w14:paraId="00A820FC" w14:textId="77777777" w:rsidR="0010083B" w:rsidRDefault="0010083B">
    <w:pPr>
      <w:pStyle w:val="Footer"/>
    </w:pPr>
  </w:p>
  <w:p w14:paraId="4A48D3F3" w14:textId="77777777" w:rsidR="0010083B" w:rsidRDefault="0010083B"/>
  <w:p w14:paraId="46E31D82" w14:textId="77777777" w:rsidR="0010083B" w:rsidRDefault="00100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1FCB" w14:textId="77777777" w:rsidR="00E41DF8" w:rsidRDefault="00E41DF8">
      <w:r>
        <w:separator/>
      </w:r>
    </w:p>
  </w:footnote>
  <w:footnote w:type="continuationSeparator" w:id="0">
    <w:p w14:paraId="1873AF0D" w14:textId="77777777" w:rsidR="00E41DF8" w:rsidRDefault="00E41DF8">
      <w:r>
        <w:continuationSeparator/>
      </w:r>
    </w:p>
  </w:footnote>
  <w:footnote w:type="continuationNotice" w:id="1">
    <w:p w14:paraId="48FDE098" w14:textId="77777777" w:rsidR="00E41DF8" w:rsidRDefault="00E41D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10083B" w:rsidRDefault="0010083B">
    <w:pPr>
      <w:pStyle w:val="Header"/>
      <w:tabs>
        <w:tab w:val="right" w:pos="9639"/>
      </w:tabs>
    </w:pPr>
    <w:r>
      <w:tab/>
    </w:r>
  </w:p>
  <w:p w14:paraId="246D48EC" w14:textId="77777777" w:rsidR="0010083B" w:rsidRDefault="0010083B"/>
  <w:p w14:paraId="4F6F578E" w14:textId="77777777" w:rsidR="0010083B" w:rsidRDefault="001008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05947517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966395">
    <w:abstractNumId w:val="6"/>
  </w:num>
  <w:num w:numId="3" w16cid:durableId="2069764244">
    <w:abstractNumId w:val="37"/>
  </w:num>
  <w:num w:numId="4" w16cid:durableId="1718820802">
    <w:abstractNumId w:val="13"/>
  </w:num>
  <w:num w:numId="5" w16cid:durableId="1387294189">
    <w:abstractNumId w:val="2"/>
  </w:num>
  <w:num w:numId="6" w16cid:durableId="1265579245">
    <w:abstractNumId w:val="22"/>
  </w:num>
  <w:num w:numId="7" w16cid:durableId="1948191895">
    <w:abstractNumId w:val="39"/>
  </w:num>
  <w:num w:numId="8" w16cid:durableId="1293825394">
    <w:abstractNumId w:val="23"/>
  </w:num>
  <w:num w:numId="9" w16cid:durableId="1474565676">
    <w:abstractNumId w:val="20"/>
  </w:num>
  <w:num w:numId="10" w16cid:durableId="93333221">
    <w:abstractNumId w:val="4"/>
  </w:num>
  <w:num w:numId="11" w16cid:durableId="354312261">
    <w:abstractNumId w:val="34"/>
  </w:num>
  <w:num w:numId="12" w16cid:durableId="1591698812">
    <w:abstractNumId w:val="17"/>
  </w:num>
  <w:num w:numId="13" w16cid:durableId="785201416">
    <w:abstractNumId w:val="28"/>
  </w:num>
  <w:num w:numId="14" w16cid:durableId="519314455">
    <w:abstractNumId w:val="21"/>
  </w:num>
  <w:num w:numId="15" w16cid:durableId="1549796866">
    <w:abstractNumId w:val="10"/>
  </w:num>
  <w:num w:numId="16" w16cid:durableId="1073546323">
    <w:abstractNumId w:val="1"/>
  </w:num>
  <w:num w:numId="17" w16cid:durableId="1733696358">
    <w:abstractNumId w:val="33"/>
  </w:num>
  <w:num w:numId="18" w16cid:durableId="1330911612">
    <w:abstractNumId w:val="0"/>
  </w:num>
  <w:num w:numId="19" w16cid:durableId="1076052053">
    <w:abstractNumId w:val="24"/>
  </w:num>
  <w:num w:numId="20" w16cid:durableId="523324740">
    <w:abstractNumId w:val="25"/>
  </w:num>
  <w:num w:numId="21" w16cid:durableId="1923365803">
    <w:abstractNumId w:val="35"/>
  </w:num>
  <w:num w:numId="22" w16cid:durableId="1291785252">
    <w:abstractNumId w:val="11"/>
  </w:num>
  <w:num w:numId="23" w16cid:durableId="557131836">
    <w:abstractNumId w:val="19"/>
  </w:num>
  <w:num w:numId="24" w16cid:durableId="821853852">
    <w:abstractNumId w:val="12"/>
  </w:num>
  <w:num w:numId="25" w16cid:durableId="1717467058">
    <w:abstractNumId w:val="9"/>
  </w:num>
  <w:num w:numId="26" w16cid:durableId="572161378">
    <w:abstractNumId w:val="6"/>
  </w:num>
  <w:num w:numId="27" w16cid:durableId="1437629846">
    <w:abstractNumId w:val="6"/>
  </w:num>
  <w:num w:numId="28" w16cid:durableId="53893500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7690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3333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010746">
    <w:abstractNumId w:val="16"/>
  </w:num>
  <w:num w:numId="32" w16cid:durableId="1475177861">
    <w:abstractNumId w:val="18"/>
  </w:num>
  <w:num w:numId="33" w16cid:durableId="1959291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2588732">
    <w:abstractNumId w:val="29"/>
  </w:num>
  <w:num w:numId="35" w16cid:durableId="46806597">
    <w:abstractNumId w:val="36"/>
  </w:num>
  <w:num w:numId="36" w16cid:durableId="272328113">
    <w:abstractNumId w:val="32"/>
  </w:num>
  <w:num w:numId="37" w16cid:durableId="107466398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25293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241774">
    <w:abstractNumId w:val="27"/>
  </w:num>
  <w:num w:numId="40" w16cid:durableId="83309706">
    <w:abstractNumId w:val="15"/>
  </w:num>
  <w:num w:numId="41" w16cid:durableId="25062324">
    <w:abstractNumId w:val="31"/>
  </w:num>
  <w:num w:numId="42" w16cid:durableId="1306160709">
    <w:abstractNumId w:val="30"/>
  </w:num>
  <w:num w:numId="43" w16cid:durableId="1061635737">
    <w:abstractNumId w:val="3"/>
  </w:num>
  <w:num w:numId="44" w16cid:durableId="356782487">
    <w:abstractNumId w:val="8"/>
  </w:num>
  <w:num w:numId="45" w16cid:durableId="1018771845">
    <w:abstractNumId w:val="26"/>
  </w:num>
  <w:num w:numId="46" w16cid:durableId="549344227">
    <w:abstractNumId w:val="7"/>
  </w:num>
  <w:num w:numId="47" w16cid:durableId="298193528">
    <w:abstractNumId w:val="5"/>
  </w:num>
  <w:num w:numId="48" w16cid:durableId="1881934995">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97EC4"/>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A4B"/>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386"/>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A53"/>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1C7A"/>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79"/>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0EEF"/>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AD0"/>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8C4"/>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30A"/>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701"/>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DF8"/>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5DA"/>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4D9"/>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2C"/>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CC9"/>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3C4"/>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2E0A5807-8FBF-4505-A877-EBD68BAB87C2}">
  <ds:schemaRefs>
    <ds:schemaRef ds:uri="http://schemas.openxmlformats.org/officeDocument/2006/bibliography"/>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33</Pages>
  <Words>11200</Words>
  <Characters>63844</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74895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2023-04-20T20:39:00Z</dcterms:created>
  <dcterms:modified xsi:type="dcterms:W3CDTF">2023-04-20T20:40:00Z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