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w:t>
            </w:r>
            <w:r w:rsidR="001949AB">
              <w:rPr>
                <w:rFonts w:eastAsiaTheme="minorEastAsia"/>
                <w:iCs/>
                <w:kern w:val="2"/>
                <w:lang w:eastAsia="zh-CN"/>
              </w:rPr>
              <w:lastRenderedPageBreak/>
              <w:t>format there.</w:t>
            </w:r>
            <w:r w:rsidR="0060716D">
              <w:rPr>
                <w:rFonts w:eastAsiaTheme="minorEastAsia"/>
                <w:iCs/>
                <w:kern w:val="2"/>
                <w:lang w:eastAsia="zh-CN"/>
              </w:rPr>
              <w:t xml:space="preserve"> However, at least for the basic usage and 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lastRenderedPageBreak/>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lastRenderedPageBreak/>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lastRenderedPageBreak/>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34306364"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lastRenderedPageBreak/>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lastRenderedPageBreak/>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w:t>
            </w:r>
            <w:r>
              <w:rPr>
                <w:rFonts w:eastAsiaTheme="minorEastAsia"/>
                <w:iCs/>
                <w:kern w:val="2"/>
                <w:lang w:eastAsia="zh-CN"/>
              </w:rPr>
              <w:lastRenderedPageBreak/>
              <w:t xml:space="preserve">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77777777" w:rsidR="00C40D1C" w:rsidRDefault="00C40D1C" w:rsidP="003A4ED8">
            <w:pPr>
              <w:spacing w:beforeLines="50" w:before="120" w:after="0"/>
              <w:rPr>
                <w:rFonts w:eastAsiaTheme="minorEastAsia"/>
                <w:iCs/>
                <w:kern w:val="2"/>
                <w:lang w:eastAsia="zh-CN"/>
              </w:rPr>
            </w:pPr>
          </w:p>
        </w:tc>
        <w:tc>
          <w:tcPr>
            <w:tcW w:w="8105" w:type="dxa"/>
          </w:tcPr>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eastAsia="zh-CN"/>
              </w:rPr>
            </w:pPr>
          </w:p>
        </w:tc>
        <w:tc>
          <w:tcPr>
            <w:tcW w:w="8105" w:type="dxa"/>
          </w:tcPr>
          <w:p w14:paraId="0583A901" w14:textId="77777777" w:rsidR="00C40D1C" w:rsidRDefault="00C40D1C" w:rsidP="00EE0445">
            <w:pPr>
              <w:spacing w:beforeLines="50" w:before="120" w:after="0"/>
              <w:rPr>
                <w:rFonts w:eastAsiaTheme="minor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eastAsia="zh-CN"/>
              </w:rPr>
            </w:pPr>
          </w:p>
        </w:tc>
        <w:tc>
          <w:tcPr>
            <w:tcW w:w="8105" w:type="dxa"/>
          </w:tcPr>
          <w:p w14:paraId="2A006E3E" w14:textId="77777777" w:rsidR="00C40D1C"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8"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4926" w14:textId="77777777" w:rsidR="007E26A1" w:rsidRDefault="007E26A1">
      <w:r>
        <w:separator/>
      </w:r>
    </w:p>
  </w:endnote>
  <w:endnote w:type="continuationSeparator" w:id="0">
    <w:p w14:paraId="46FCCD97" w14:textId="77777777" w:rsidR="007E26A1" w:rsidRDefault="007E26A1">
      <w:r>
        <w:continuationSeparator/>
      </w:r>
    </w:p>
  </w:endnote>
  <w:endnote w:type="continuationNotice" w:id="1">
    <w:p w14:paraId="0D86EAA4" w14:textId="77777777" w:rsidR="007E26A1" w:rsidRDefault="007E2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E71ECD" w:rsidRDefault="00E71ECD">
        <w:pPr>
          <w:pStyle w:val="Footer"/>
        </w:pPr>
        <w:r>
          <w:fldChar w:fldCharType="begin"/>
        </w:r>
        <w:r>
          <w:instrText>PAGE   \* MERGEFORMAT</w:instrText>
        </w:r>
        <w:r>
          <w:fldChar w:fldCharType="separate"/>
        </w:r>
        <w:r w:rsidR="00180C48" w:rsidRPr="00180C48">
          <w:rPr>
            <w:lang w:val="zh-CN" w:eastAsia="zh-CN"/>
          </w:rPr>
          <w:t>6</w:t>
        </w:r>
        <w:r>
          <w:fldChar w:fldCharType="end"/>
        </w:r>
      </w:p>
    </w:sdtContent>
  </w:sdt>
  <w:p w14:paraId="00A820FC" w14:textId="77777777" w:rsidR="00E71ECD" w:rsidRDefault="00E71ECD">
    <w:pPr>
      <w:pStyle w:val="Footer"/>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5E62" w14:textId="77777777" w:rsidR="007E26A1" w:rsidRDefault="007E26A1">
      <w:r>
        <w:separator/>
      </w:r>
    </w:p>
  </w:footnote>
  <w:footnote w:type="continuationSeparator" w:id="0">
    <w:p w14:paraId="0A139F4F" w14:textId="77777777" w:rsidR="007E26A1" w:rsidRDefault="007E26A1">
      <w:r>
        <w:continuationSeparator/>
      </w:r>
    </w:p>
  </w:footnote>
  <w:footnote w:type="continuationNotice" w:id="1">
    <w:p w14:paraId="1F5B5C7A" w14:textId="77777777" w:rsidR="007E26A1" w:rsidRDefault="007E26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71ECD" w:rsidRDefault="00E71ECD">
    <w:pPr>
      <w:pStyle w:val="Header"/>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117552034">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813361">
    <w:abstractNumId w:val="6"/>
  </w:num>
  <w:num w:numId="3" w16cid:durableId="2113427994">
    <w:abstractNumId w:val="37"/>
  </w:num>
  <w:num w:numId="4" w16cid:durableId="1748646640">
    <w:abstractNumId w:val="13"/>
  </w:num>
  <w:num w:numId="5" w16cid:durableId="946499815">
    <w:abstractNumId w:val="2"/>
  </w:num>
  <w:num w:numId="6" w16cid:durableId="1026102491">
    <w:abstractNumId w:val="22"/>
  </w:num>
  <w:num w:numId="7" w16cid:durableId="451939665">
    <w:abstractNumId w:val="38"/>
  </w:num>
  <w:num w:numId="8" w16cid:durableId="341711582">
    <w:abstractNumId w:val="23"/>
  </w:num>
  <w:num w:numId="9" w16cid:durableId="1694990096">
    <w:abstractNumId w:val="20"/>
  </w:num>
  <w:num w:numId="10" w16cid:durableId="264971038">
    <w:abstractNumId w:val="4"/>
  </w:num>
  <w:num w:numId="11" w16cid:durableId="245919503">
    <w:abstractNumId w:val="34"/>
  </w:num>
  <w:num w:numId="12" w16cid:durableId="480541796">
    <w:abstractNumId w:val="17"/>
  </w:num>
  <w:num w:numId="13" w16cid:durableId="250235836">
    <w:abstractNumId w:val="28"/>
  </w:num>
  <w:num w:numId="14" w16cid:durableId="811411440">
    <w:abstractNumId w:val="21"/>
  </w:num>
  <w:num w:numId="15" w16cid:durableId="2015449739">
    <w:abstractNumId w:val="10"/>
  </w:num>
  <w:num w:numId="16" w16cid:durableId="1072434281">
    <w:abstractNumId w:val="1"/>
  </w:num>
  <w:num w:numId="17" w16cid:durableId="383337126">
    <w:abstractNumId w:val="33"/>
  </w:num>
  <w:num w:numId="18" w16cid:durableId="539248547">
    <w:abstractNumId w:val="0"/>
  </w:num>
  <w:num w:numId="19" w16cid:durableId="820267737">
    <w:abstractNumId w:val="24"/>
  </w:num>
  <w:num w:numId="20" w16cid:durableId="1728187813">
    <w:abstractNumId w:val="25"/>
  </w:num>
  <w:num w:numId="21" w16cid:durableId="1498418446">
    <w:abstractNumId w:val="35"/>
  </w:num>
  <w:num w:numId="22" w16cid:durableId="1271203872">
    <w:abstractNumId w:val="11"/>
  </w:num>
  <w:num w:numId="23" w16cid:durableId="589048876">
    <w:abstractNumId w:val="19"/>
  </w:num>
  <w:num w:numId="24" w16cid:durableId="1578859154">
    <w:abstractNumId w:val="12"/>
  </w:num>
  <w:num w:numId="25" w16cid:durableId="1909534363">
    <w:abstractNumId w:val="9"/>
  </w:num>
  <w:num w:numId="26" w16cid:durableId="1895578049">
    <w:abstractNumId w:val="6"/>
  </w:num>
  <w:num w:numId="27" w16cid:durableId="1463427903">
    <w:abstractNumId w:val="6"/>
  </w:num>
  <w:num w:numId="28" w16cid:durableId="84374196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5491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877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242331">
    <w:abstractNumId w:val="16"/>
  </w:num>
  <w:num w:numId="32" w16cid:durableId="1199077799">
    <w:abstractNumId w:val="18"/>
  </w:num>
  <w:num w:numId="33" w16cid:durableId="1945652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087270">
    <w:abstractNumId w:val="29"/>
  </w:num>
  <w:num w:numId="35" w16cid:durableId="207382951">
    <w:abstractNumId w:val="36"/>
  </w:num>
  <w:num w:numId="36" w16cid:durableId="447432022">
    <w:abstractNumId w:val="32"/>
  </w:num>
  <w:num w:numId="37" w16cid:durableId="127972334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75386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487443">
    <w:abstractNumId w:val="27"/>
  </w:num>
  <w:num w:numId="40" w16cid:durableId="2628051">
    <w:abstractNumId w:val="15"/>
  </w:num>
  <w:num w:numId="41" w16cid:durableId="1334525637">
    <w:abstractNumId w:val="31"/>
  </w:num>
  <w:num w:numId="42" w16cid:durableId="674310212">
    <w:abstractNumId w:val="30"/>
  </w:num>
  <w:num w:numId="43" w16cid:durableId="479423123">
    <w:abstractNumId w:val="3"/>
  </w:num>
  <w:num w:numId="44" w16cid:durableId="1126512156">
    <w:abstractNumId w:val="8"/>
  </w:num>
  <w:num w:numId="45" w16cid:durableId="122427472">
    <w:abstractNumId w:val="26"/>
  </w:num>
  <w:num w:numId="46" w16cid:durableId="1081873400">
    <w:abstractNumId w:val="7"/>
  </w:num>
  <w:num w:numId="47" w16cid:durableId="1007564456">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4A2E9390-265A-4D0A-A188-9BD1832A585A}">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27</Pages>
  <Words>9499</Words>
  <Characters>54149</Characters>
  <Application>Microsoft Office Word</Application>
  <DocSecurity>0</DocSecurity>
  <Lines>451</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63521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Sorour Falahati</cp:lastModifiedBy>
  <cp:revision>5</cp:revision>
  <cp:lastPrinted>1901-01-02T03:00:00Z</cp:lastPrinted>
  <dcterms:created xsi:type="dcterms:W3CDTF">2023-04-19T14:14:00Z</dcterms:created>
  <dcterms:modified xsi:type="dcterms:W3CDTF">2023-04-19T16:45:00Z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