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E71ECD"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E71ECD"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E71ECD"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E71ECD"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E71ECD"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af2"/>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af2"/>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hint="eastAsia"/>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w:t>
            </w:r>
            <w:r w:rsidR="00B077B7">
              <w:rPr>
                <w:rFonts w:eastAsiaTheme="minorEastAsia"/>
                <w:iCs/>
                <w:kern w:val="2"/>
                <w:lang w:eastAsia="zh-CN"/>
              </w:rPr>
              <w:t>Table 7.3.1-1</w:t>
            </w:r>
            <w:r w:rsidR="00B077B7">
              <w:rPr>
                <w:rFonts w:eastAsiaTheme="minorEastAsia"/>
                <w:iCs/>
                <w:kern w:val="2"/>
                <w:lang w:eastAsia="zh-CN"/>
              </w:rPr>
              <w:t xml:space="preserve"> in 38.212, because usually the spec needs to be self-contained, otherwise it will be confusing for people. Due to these reasons, it is true that</w:t>
            </w:r>
            <w:r w:rsidR="001949AB">
              <w:rPr>
                <w:rFonts w:eastAsiaTheme="minorEastAsia"/>
                <w:iCs/>
                <w:kern w:val="2"/>
                <w:lang w:eastAsia="zh-CN"/>
              </w:rPr>
              <w:t xml:space="preserve"> </w:t>
            </w:r>
            <w:r w:rsidR="001949AB">
              <w:rPr>
                <w:rFonts w:eastAsiaTheme="minorEastAsia"/>
                <w:iCs/>
                <w:kern w:val="2"/>
                <w:lang w:eastAsia="zh-CN"/>
              </w:rPr>
              <w:t>Table 7.3.1-1</w:t>
            </w:r>
            <w:r w:rsidR="001949AB">
              <w:rPr>
                <w:rFonts w:eastAsiaTheme="minorEastAsia"/>
                <w:iCs/>
                <w:kern w:val="2"/>
                <w:lang w:eastAsia="zh-CN"/>
              </w:rPr>
              <w:t xml:space="preserve"> cannot achieve its original goal perfectly, since it is not able to capture all usages for a DCI format there.</w:t>
            </w:r>
            <w:r w:rsidR="0060716D">
              <w:rPr>
                <w:rFonts w:eastAsiaTheme="minorEastAsia"/>
                <w:iCs/>
                <w:kern w:val="2"/>
                <w:lang w:eastAsia="zh-CN"/>
              </w:rPr>
              <w:t xml:space="preserve"> However, at least for the basic usage and the usage(s) with key defintions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w:t>
            </w:r>
            <w:bookmarkStart w:id="25" w:name="_GoBack"/>
            <w:bookmarkEnd w:id="25"/>
            <w:r w:rsidR="00FD2242">
              <w:rPr>
                <w:rFonts w:eastAsiaTheme="minorEastAsia"/>
                <w:iCs/>
                <w:kern w:val="2"/>
                <w:lang w:eastAsia="zh-CN"/>
              </w:rPr>
              <w:t>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aligment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hint="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77777777" w:rsidR="00A51F74" w:rsidRPr="00885D2A" w:rsidRDefault="00A51F74" w:rsidP="00AB66E4">
            <w:pPr>
              <w:spacing w:beforeLines="50" w:before="120" w:after="0"/>
              <w:rPr>
                <w:rFonts w:cs="Times New Roman"/>
                <w:iCs/>
                <w:kern w:val="2"/>
                <w:lang w:eastAsia="zh-CN"/>
              </w:rPr>
            </w:pPr>
          </w:p>
        </w:tc>
        <w:tc>
          <w:tcPr>
            <w:tcW w:w="8105" w:type="dxa"/>
          </w:tcPr>
          <w:p w14:paraId="425BEAFE" w14:textId="77777777" w:rsidR="00A51F74" w:rsidRPr="00432E30" w:rsidRDefault="00A51F74" w:rsidP="00AB66E4">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6" w:name="_Toc29894846"/>
            <w:bookmarkStart w:id="27" w:name="_Toc29899145"/>
            <w:bookmarkStart w:id="28" w:name="_Toc29899563"/>
            <w:bookmarkStart w:id="29" w:name="_Toc29917300"/>
            <w:bookmarkStart w:id="30" w:name="_Toc36498174"/>
            <w:bookmarkStart w:id="31" w:name="_Toc45699200"/>
            <w:bookmarkStart w:id="32" w:name="_Toc130394881"/>
            <w:r>
              <w:rPr>
                <w:rFonts w:eastAsiaTheme="minorEastAsia"/>
              </w:rPr>
              <w:t>9.1.4</w:t>
            </w:r>
            <w:r>
              <w:rPr>
                <w:rFonts w:eastAsiaTheme="minorEastAsia"/>
              </w:rPr>
              <w:tab/>
              <w:t>Type-3 HARQ-ACK codebook determination</w:t>
            </w:r>
            <w:bookmarkEnd w:id="26"/>
            <w:bookmarkEnd w:id="27"/>
            <w:bookmarkEnd w:id="28"/>
            <w:bookmarkEnd w:id="29"/>
            <w:bookmarkEnd w:id="30"/>
            <w:bookmarkEnd w:id="31"/>
            <w:bookmarkEnd w:id="32"/>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855" w:type="dxa"/>
        <w:tblLook w:val="04A0" w:firstRow="1" w:lastRow="0" w:firstColumn="1" w:lastColumn="0" w:noHBand="0" w:noVBand="1"/>
      </w:tblPr>
      <w:tblGrid>
        <w:gridCol w:w="1365"/>
        <w:gridCol w:w="9855"/>
      </w:tblGrid>
      <w:tr w:rsidR="00A51F74" w:rsidRPr="00885D2A" w14:paraId="08920C00" w14:textId="77777777" w:rsidTr="00331981">
        <w:tc>
          <w:tcPr>
            <w:tcW w:w="1033"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822"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331981">
        <w:tc>
          <w:tcPr>
            <w:tcW w:w="1033"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822"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331981">
        <w:tc>
          <w:tcPr>
            <w:tcW w:w="1033"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822"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331981">
        <w:tc>
          <w:tcPr>
            <w:tcW w:w="1033"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822"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331981">
        <w:tc>
          <w:tcPr>
            <w:tcW w:w="1033"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822"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331981">
        <w:tc>
          <w:tcPr>
            <w:tcW w:w="1033"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822"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r w:rsidRPr="00575DCF">
              <w:rPr>
                <w:i/>
                <w:iCs/>
              </w:rPr>
              <w:t>perHARQ</w:t>
            </w:r>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r w:rsidRPr="00575DCF">
              <w:rPr>
                <w:i/>
                <w:iCs/>
              </w:rPr>
              <w:t>perHARQ</w:t>
            </w:r>
            <w:r>
              <w:rPr>
                <w:i/>
                <w:iCs/>
              </w:rPr>
              <w:t xml:space="preserve"> </w:t>
            </w:r>
            <w:r>
              <w:t>to 32 bits.</w:t>
            </w:r>
          </w:p>
        </w:tc>
      </w:tr>
      <w:tr w:rsidR="00307DF4" w:rsidRPr="00885D2A" w14:paraId="61246650" w14:textId="77777777" w:rsidTr="00331981">
        <w:tc>
          <w:tcPr>
            <w:tcW w:w="1033"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822" w:type="dxa"/>
          </w:tcPr>
          <w:p w14:paraId="0E7CB47A" w14:textId="7C8BF9EC" w:rsidR="008D5022" w:rsidRPr="00885D2A" w:rsidRDefault="008D5022" w:rsidP="002C6827">
            <w:pPr>
              <w:spacing w:beforeLines="50" w:before="120" w:after="0"/>
              <w:rPr>
                <w:iCs/>
                <w:kern w:val="2"/>
                <w:lang w:eastAsia="zh-CN"/>
              </w:rPr>
            </w:pPr>
            <w:r>
              <w:rPr>
                <w:iCs/>
                <w:kern w:val="2"/>
                <w:lang w:eastAsia="zh-CN"/>
              </w:rPr>
              <w:t>CATT and other proponent companies, could you identify the relevant UE capabilities for eType 3 codebook? We would like to see how the extension to FR2 and FR2-2 would impact the UE feature reporting</w:t>
            </w:r>
            <w:r w:rsidR="000D2D52">
              <w:rPr>
                <w:iCs/>
                <w:kern w:val="2"/>
                <w:lang w:eastAsia="zh-CN"/>
              </w:rPr>
              <w:t>.</w:t>
            </w:r>
          </w:p>
        </w:tc>
      </w:tr>
      <w:tr w:rsidR="00307DF4" w:rsidRPr="00885D2A" w14:paraId="4ACDBC3A" w14:textId="77777777" w:rsidTr="00331981">
        <w:tc>
          <w:tcPr>
            <w:tcW w:w="1033"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822"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709"/>
              <w:gridCol w:w="567"/>
              <w:gridCol w:w="709"/>
              <w:gridCol w:w="705"/>
            </w:tblGrid>
            <w:tr w:rsidR="00AB66E4" w:rsidRPr="00E04032" w14:paraId="57B51235" w14:textId="77777777" w:rsidTr="00AB66E4">
              <w:tc>
                <w:tcPr>
                  <w:tcW w:w="6939" w:type="dxa"/>
                </w:tcPr>
                <w:p w14:paraId="4FC5C72C" w14:textId="77777777" w:rsidR="00AB66E4" w:rsidRPr="00E04032" w:rsidRDefault="00AB66E4" w:rsidP="00AB66E4">
                  <w:pPr>
                    <w:pStyle w:val="TAL"/>
                    <w:rPr>
                      <w:b/>
                      <w:i/>
                    </w:rPr>
                  </w:pPr>
                  <w:r w:rsidRPr="00E04032">
                    <w:rPr>
                      <w:b/>
                      <w:i/>
                    </w:rPr>
                    <w:t>oneShotHARQ-feedback-r16</w:t>
                  </w:r>
                </w:p>
                <w:p w14:paraId="7176CE81" w14:textId="77777777" w:rsidR="00AB66E4" w:rsidRPr="00E04032" w:rsidRDefault="00AB66E4" w:rsidP="00AB66E4">
                  <w:pPr>
                    <w:pStyle w:val="TAL"/>
                  </w:pPr>
                  <w:r w:rsidRPr="00E04032">
                    <w:t>Indicates whether the UE supports one shot HARQ ACK feedback comprised of the following functional components:</w:t>
                  </w:r>
                </w:p>
                <w:p w14:paraId="75DD1DCD"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AB66E4" w:rsidRPr="00E04032" w:rsidRDefault="00AB66E4"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c>
                <w:tcPr>
                  <w:tcW w:w="709" w:type="dxa"/>
                </w:tcPr>
                <w:p w14:paraId="7066C6E9" w14:textId="77777777" w:rsidR="00AB66E4" w:rsidRPr="00E04032" w:rsidRDefault="00AB66E4" w:rsidP="00AB66E4">
                  <w:pPr>
                    <w:pStyle w:val="TAC"/>
                  </w:pPr>
                  <w:r w:rsidRPr="00E04032">
                    <w:t>Band</w:t>
                  </w:r>
                </w:p>
              </w:tc>
              <w:tc>
                <w:tcPr>
                  <w:tcW w:w="567" w:type="dxa"/>
                </w:tcPr>
                <w:p w14:paraId="31E9D028" w14:textId="77777777" w:rsidR="00AB66E4" w:rsidRPr="00E04032" w:rsidRDefault="00AB66E4" w:rsidP="00AB66E4">
                  <w:pPr>
                    <w:pStyle w:val="TAC"/>
                  </w:pPr>
                  <w:r w:rsidRPr="00E04032">
                    <w:t>No</w:t>
                  </w:r>
                </w:p>
              </w:tc>
              <w:tc>
                <w:tcPr>
                  <w:tcW w:w="709" w:type="dxa"/>
                </w:tcPr>
                <w:p w14:paraId="71E35D94" w14:textId="77777777" w:rsidR="00AB66E4" w:rsidRPr="00E04032" w:rsidRDefault="00AB66E4" w:rsidP="00AB66E4">
                  <w:pPr>
                    <w:pStyle w:val="TAC"/>
                  </w:pPr>
                  <w:r w:rsidRPr="00E04032">
                    <w:t>N/A</w:t>
                  </w:r>
                </w:p>
              </w:tc>
              <w:tc>
                <w:tcPr>
                  <w:tcW w:w="705" w:type="dxa"/>
                </w:tcPr>
                <w:p w14:paraId="3A89E8CF" w14:textId="77777777" w:rsidR="00AB66E4" w:rsidRPr="00E04032" w:rsidRDefault="00AB66E4" w:rsidP="00AB66E4">
                  <w:pPr>
                    <w:pStyle w:val="TAC"/>
                  </w:pPr>
                  <w:r w:rsidRPr="00E04032">
                    <w:t>N/A</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6"/>
              <w:gridCol w:w="709"/>
              <w:gridCol w:w="728"/>
            </w:tblGrid>
            <w:tr w:rsidR="00AB66E4" w:rsidRPr="00E04032" w14:paraId="3A9E6472" w14:textId="77777777" w:rsidTr="00AB66E4">
              <w:trPr>
                <w:cantSplit/>
                <w:tblHeader/>
              </w:trPr>
              <w:tc>
                <w:tcPr>
                  <w:tcW w:w="3591" w:type="pct"/>
                </w:tcPr>
                <w:p w14:paraId="54FABBED" w14:textId="77777777" w:rsidR="00AB66E4" w:rsidRPr="00E04032" w:rsidRDefault="00AB66E4" w:rsidP="00AB66E4">
                  <w:pPr>
                    <w:pStyle w:val="TAL"/>
                    <w:rPr>
                      <w:b/>
                      <w:i/>
                    </w:rPr>
                  </w:pPr>
                  <w:r w:rsidRPr="00E04032">
                    <w:rPr>
                      <w:b/>
                      <w:i/>
                    </w:rPr>
                    <w:t>enhancedType3-HARQ-CodebookFeedback-r17</w:t>
                  </w:r>
                </w:p>
                <w:p w14:paraId="32086178" w14:textId="77777777" w:rsidR="00AB66E4" w:rsidRPr="00E04032" w:rsidRDefault="00AB66E4"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AB66E4" w:rsidRPr="00E04032" w:rsidRDefault="00AB66E4"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c>
                <w:tcPr>
                  <w:tcW w:w="368" w:type="pct"/>
                </w:tcPr>
                <w:p w14:paraId="7E3631BD" w14:textId="77777777" w:rsidR="00AB66E4" w:rsidRPr="00E04032" w:rsidRDefault="00AB66E4" w:rsidP="00AB66E4">
                  <w:pPr>
                    <w:pStyle w:val="TAL"/>
                    <w:jc w:val="center"/>
                    <w:rPr>
                      <w:rFonts w:cs="Arial"/>
                      <w:bCs/>
                      <w:iCs/>
                      <w:szCs w:val="18"/>
                    </w:rPr>
                  </w:pPr>
                  <w:r w:rsidRPr="00E04032">
                    <w:t>Band</w:t>
                  </w:r>
                </w:p>
              </w:tc>
              <w:tc>
                <w:tcPr>
                  <w:tcW w:w="294" w:type="pct"/>
                </w:tcPr>
                <w:p w14:paraId="001F0BA3" w14:textId="77777777" w:rsidR="00AB66E4" w:rsidRPr="00E04032" w:rsidRDefault="00AB66E4" w:rsidP="00AB66E4">
                  <w:pPr>
                    <w:pStyle w:val="TAL"/>
                    <w:jc w:val="center"/>
                    <w:rPr>
                      <w:rFonts w:cs="Arial"/>
                      <w:bCs/>
                      <w:iCs/>
                      <w:szCs w:val="18"/>
                    </w:rPr>
                  </w:pPr>
                  <w:r w:rsidRPr="00E04032">
                    <w:t>No</w:t>
                  </w:r>
                </w:p>
              </w:tc>
              <w:tc>
                <w:tcPr>
                  <w:tcW w:w="368" w:type="pct"/>
                </w:tcPr>
                <w:p w14:paraId="420E15F3" w14:textId="77777777" w:rsidR="00AB66E4" w:rsidRPr="00E04032" w:rsidRDefault="00AB66E4" w:rsidP="00AB66E4">
                  <w:pPr>
                    <w:pStyle w:val="TAL"/>
                    <w:jc w:val="center"/>
                    <w:rPr>
                      <w:bCs/>
                      <w:iCs/>
                    </w:rPr>
                  </w:pPr>
                  <w:r w:rsidRPr="00E04032">
                    <w:t>N/A</w:t>
                  </w:r>
                </w:p>
              </w:tc>
              <w:tc>
                <w:tcPr>
                  <w:tcW w:w="378" w:type="pct"/>
                </w:tcPr>
                <w:p w14:paraId="316CEBCA" w14:textId="77777777" w:rsidR="00AB66E4" w:rsidRPr="00E04032" w:rsidRDefault="00AB66E4" w:rsidP="00AB66E4">
                  <w:pPr>
                    <w:pStyle w:val="TAL"/>
                    <w:jc w:val="center"/>
                    <w:rPr>
                      <w:rFonts w:cs="Arial"/>
                      <w:bCs/>
                      <w:iCs/>
                      <w:szCs w:val="18"/>
                    </w:rPr>
                  </w:pPr>
                  <w:r w:rsidRPr="00E04032">
                    <w:t>N/A</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331981">
        <w:tc>
          <w:tcPr>
            <w:tcW w:w="1033"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822"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3"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E71ECD"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0068267F" w:rsidRPr="00F83FE5">
              <w:rPr>
                <w:strike/>
                <w:color w:val="00B050"/>
                <w:highlight w:val="cyan"/>
                <w:lang w:eastAsia="sv-SE"/>
              </w:rPr>
              <w:t>enhanced</w:t>
            </w:r>
            <w:r w:rsidR="0068267F" w:rsidRPr="00F83FE5">
              <w:rPr>
                <w:color w:val="00B050"/>
                <w:highlight w:val="cyan"/>
                <w:u w:val="single"/>
                <w:lang w:eastAsia="sv-SE"/>
              </w:rPr>
              <w:t>the</w:t>
            </w:r>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r w:rsidR="007F791F" w:rsidRPr="00F83FE5">
              <w:rPr>
                <w:strike/>
                <w:color w:val="00B050"/>
                <w:highlight w:val="cyan"/>
                <w:lang w:eastAsia="sv-SE"/>
              </w:rPr>
              <w:t>enhanced</w:t>
            </w:r>
            <w:r w:rsidR="007F791F" w:rsidRPr="00F83FE5">
              <w:rPr>
                <w:color w:val="00B050"/>
                <w:highlight w:val="cyan"/>
                <w:u w:val="single"/>
                <w:lang w:eastAsia="sv-SE"/>
              </w:rPr>
              <w:t>the</w:t>
            </w:r>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1DD39347"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3A4ED8">
              <w:rPr>
                <w:iCs/>
                <w:kern w:val="2"/>
                <w:lang w:eastAsia="zh-CN"/>
              </w:rPr>
              <w:t xml:space="preserve"> Huawei/HiSi</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[Samsung – no objection on the core part, text amendement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4"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3" w:name="_Ref101817161"/>
            <w:bookmarkStart w:id="34"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3"/>
            <w:r>
              <w:rPr>
                <w:rFonts w:eastAsia="Malgun Gothic"/>
                <w:b/>
              </w:rPr>
              <w:t>:</w:t>
            </w:r>
            <w:r>
              <w:t xml:space="preserve"> </w:t>
            </w:r>
            <w:r>
              <w:rPr>
                <w:b/>
                <w:bCs/>
              </w:rPr>
              <w:t>CBG based Type 3/eType3 HARQ-ACK codebook including inter PHY priorities HARQ-ACK processes</w:t>
            </w:r>
            <w:bookmarkEnd w:id="34"/>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5"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5"/>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5ECE6082" w:rsidR="00A51F74" w:rsidRPr="00885D2A"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behavior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URLLC+eMBB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ut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eType 3 CB. In 106b-e, due to the intention of aligning the eType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6"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27"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C5B4FD8"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9B19C" w14:textId="77777777" w:rsidR="00E71ECD" w:rsidRDefault="00E71ECD">
      <w:r>
        <w:separator/>
      </w:r>
    </w:p>
  </w:endnote>
  <w:endnote w:type="continuationSeparator" w:id="0">
    <w:p w14:paraId="29E55C32" w14:textId="77777777" w:rsidR="00E71ECD" w:rsidRDefault="00E71ECD">
      <w:r>
        <w:continuationSeparator/>
      </w:r>
    </w:p>
  </w:endnote>
  <w:endnote w:type="continuationNotice" w:id="1">
    <w:p w14:paraId="536B5894" w14:textId="77777777" w:rsidR="00E71ECD" w:rsidRDefault="00E71E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7CC5AE80" w:rsidR="00E71ECD" w:rsidRDefault="00E71ECD">
        <w:pPr>
          <w:pStyle w:val="aa"/>
        </w:pPr>
        <w:r>
          <w:fldChar w:fldCharType="begin"/>
        </w:r>
        <w:r>
          <w:instrText>PAGE   \* MERGEFORMAT</w:instrText>
        </w:r>
        <w:r>
          <w:fldChar w:fldCharType="separate"/>
        </w:r>
        <w:r w:rsidR="00180C48" w:rsidRPr="00180C48">
          <w:rPr>
            <w:lang w:val="zh-CN" w:eastAsia="zh-CN"/>
          </w:rPr>
          <w:t>6</w:t>
        </w:r>
        <w:r>
          <w:fldChar w:fldCharType="end"/>
        </w:r>
      </w:p>
    </w:sdtContent>
  </w:sdt>
  <w:p w14:paraId="00A820FC" w14:textId="77777777" w:rsidR="00E71ECD" w:rsidRDefault="00E71ECD">
    <w:pPr>
      <w:pStyle w:val="aa"/>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36583" w14:textId="77777777" w:rsidR="00E71ECD" w:rsidRDefault="00E71ECD">
      <w:r>
        <w:separator/>
      </w:r>
    </w:p>
  </w:footnote>
  <w:footnote w:type="continuationSeparator" w:id="0">
    <w:p w14:paraId="28AC52D5" w14:textId="77777777" w:rsidR="00E71ECD" w:rsidRDefault="00E71ECD">
      <w:r>
        <w:continuationSeparator/>
      </w:r>
    </w:p>
  </w:footnote>
  <w:footnote w:type="continuationNotice" w:id="1">
    <w:p w14:paraId="7436B6FB" w14:textId="77777777" w:rsidR="00E71ECD" w:rsidRDefault="00E71E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E71ECD" w:rsidRDefault="00E71ECD">
    <w:pPr>
      <w:pStyle w:val="a5"/>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6"/>
  </w:num>
  <w:num w:numId="4">
    <w:abstractNumId w:val="12"/>
  </w:num>
  <w:num w:numId="5">
    <w:abstractNumId w:val="2"/>
  </w:num>
  <w:num w:numId="6">
    <w:abstractNumId w:val="21"/>
  </w:num>
  <w:num w:numId="7">
    <w:abstractNumId w:val="37"/>
  </w:num>
  <w:num w:numId="8">
    <w:abstractNumId w:val="22"/>
  </w:num>
  <w:num w:numId="9">
    <w:abstractNumId w:val="19"/>
  </w:num>
  <w:num w:numId="10">
    <w:abstractNumId w:val="4"/>
  </w:num>
  <w:num w:numId="11">
    <w:abstractNumId w:val="33"/>
  </w:num>
  <w:num w:numId="12">
    <w:abstractNumId w:val="16"/>
  </w:num>
  <w:num w:numId="13">
    <w:abstractNumId w:val="27"/>
  </w:num>
  <w:num w:numId="14">
    <w:abstractNumId w:val="20"/>
  </w:num>
  <w:num w:numId="15">
    <w:abstractNumId w:val="9"/>
  </w:num>
  <w:num w:numId="16">
    <w:abstractNumId w:val="1"/>
  </w:num>
  <w:num w:numId="17">
    <w:abstractNumId w:val="32"/>
  </w:num>
  <w:num w:numId="18">
    <w:abstractNumId w:val="0"/>
  </w:num>
  <w:num w:numId="19">
    <w:abstractNumId w:val="23"/>
  </w:num>
  <w:num w:numId="20">
    <w:abstractNumId w:val="24"/>
  </w:num>
  <w:num w:numId="21">
    <w:abstractNumId w:val="34"/>
  </w:num>
  <w:num w:numId="22">
    <w:abstractNumId w:val="10"/>
  </w:num>
  <w:num w:numId="23">
    <w:abstractNumId w:val="18"/>
  </w:num>
  <w:num w:numId="24">
    <w:abstractNumId w:val="11"/>
  </w:num>
  <w:num w:numId="25">
    <w:abstractNumId w:val="8"/>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5"/>
  </w:num>
  <w:num w:numId="36">
    <w:abstractNumId w:val="31"/>
  </w:num>
  <w:num w:numId="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4"/>
  </w:num>
  <w:num w:numId="41">
    <w:abstractNumId w:val="30"/>
  </w:num>
  <w:num w:numId="42">
    <w:abstractNumId w:val="29"/>
  </w:num>
  <w:num w:numId="43">
    <w:abstractNumId w:val="3"/>
  </w:num>
  <w:num w:numId="44">
    <w:abstractNumId w:val="7"/>
  </w:num>
  <w:num w:numId="45">
    <w:abstractNumId w:val="25"/>
  </w:num>
  <w:num w:numId="46">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6F1CC41B-7666-4742-B621-544E9B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Docs/R1-2303852.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56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2656.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85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purl.org/dc/terms/"/>
    <ds:schemaRef ds:uri="http://www.w3.org/XML/1998/namespace"/>
    <ds:schemaRef ds:uri="http://schemas.microsoft.com/office/2006/documentManagement/types"/>
    <ds:schemaRef ds:uri="3b34c8f0-1ef5-4d1e-bb66-517ce7fe7356"/>
    <ds:schemaRef ds:uri="http://purl.org/dc/elements/1.1/"/>
    <ds:schemaRef ds:uri="http://schemas.microsoft.com/office/infopath/2007/PartnerControls"/>
    <ds:schemaRef ds:uri="http://purl.org/dc/dcmitype/"/>
    <ds:schemaRef ds:uri="http://schemas.openxmlformats.org/package/2006/metadata/core-properties"/>
    <ds:schemaRef ds:uri="ebabf6ce-2443-438c-9946-ecc878e7654a"/>
    <ds:schemaRef ds:uri="95d2e41d-1f11-4347-bb1c-11d6a32975dd"/>
    <ds:schemaRef ds:uri="71c5aaf6-e6ce-465b-b873-5148d2a4c105"/>
    <ds:schemaRef ds:uri="http://schemas.microsoft.com/office/2006/metadata/propertie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4A2E9390-265A-4D0A-A188-9BD1832A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9504</Words>
  <Characters>52330</Characters>
  <Application>Microsoft Office Word</Application>
  <DocSecurity>0</DocSecurity>
  <Lines>436</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61711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 Cheng 2</cp:lastModifiedBy>
  <cp:revision>2</cp:revision>
  <cp:lastPrinted>1901-01-02T03:00:00Z</cp:lastPrinted>
  <dcterms:created xsi:type="dcterms:W3CDTF">2023-04-19T09:45:00Z</dcterms:created>
  <dcterms:modified xsi:type="dcterms:W3CDTF">2023-04-19T09:45:00Z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