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 xml:space="preserve">[112bis-e-R17-URLLC-01] Email discussion on Rel-17 URLLC &amp; </w:t>
      </w:r>
      <w:proofErr w:type="spellStart"/>
      <w:r>
        <w:rPr>
          <w:highlight w:val="cyan"/>
          <w:lang w:eastAsia="x-none"/>
        </w:rPr>
        <w:t>IIoT</w:t>
      </w:r>
      <w:proofErr w:type="spellEnd"/>
      <w:r>
        <w:rPr>
          <w:highlight w:val="cyan"/>
          <w:lang w:eastAsia="x-none"/>
        </w:rPr>
        <w:t xml:space="preserve">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w:t>
            </w:r>
            <w:proofErr w:type="spellStart"/>
            <w:r w:rsidRPr="00156BCE">
              <w:rPr>
                <w:rFonts w:ascii="Arial" w:eastAsia="Times New Roman" w:hAnsi="Arial" w:cs="Arial"/>
                <w:sz w:val="16"/>
                <w:szCs w:val="16"/>
                <w:lang w:val="en-US"/>
              </w:rPr>
              <w:t>IIoT</w:t>
            </w:r>
            <w:proofErr w:type="spellEnd"/>
            <w:r w:rsidRPr="00156BCE">
              <w:rPr>
                <w:rFonts w:ascii="Arial" w:eastAsia="Times New Roman" w:hAnsi="Arial" w:cs="Arial"/>
                <w:sz w:val="16"/>
                <w:szCs w:val="16"/>
                <w:lang w:val="en-US"/>
              </w:rPr>
              <w:t xml:space="preserve">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w:t>
      </w:r>
      <w:proofErr w:type="spellStart"/>
      <w:r>
        <w:rPr>
          <w:rFonts w:eastAsia="Calibri"/>
          <w:sz w:val="22"/>
          <w:szCs w:val="22"/>
          <w:lang w:eastAsia="zh-CN"/>
        </w:rPr>
        <w:t>SCell</w:t>
      </w:r>
      <w:proofErr w:type="spellEnd"/>
      <w:r>
        <w:rPr>
          <w:rFonts w:eastAsia="Calibri"/>
          <w:sz w:val="22"/>
          <w:szCs w:val="22"/>
          <w:lang w:eastAsia="zh-CN"/>
        </w:rPr>
        <w:t xml:space="preserve">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Default="00A51F74" w:rsidP="00A51F74">
      <w:pPr>
        <w:spacing w:after="0" w:line="259" w:lineRule="auto"/>
        <w:jc w:val="both"/>
        <w:rPr>
          <w:rFonts w:eastAsia="Times New Roman"/>
          <w:b/>
          <w:bCs/>
          <w:color w:val="000000" w:themeColor="text1"/>
          <w:sz w:val="22"/>
          <w:szCs w:val="22"/>
          <w:u w:val="single"/>
        </w:rPr>
      </w:pPr>
      <w:r w:rsidRPr="0068267F">
        <w:rPr>
          <w:rFonts w:eastAsia="Calibri"/>
          <w:b/>
          <w:bCs/>
          <w:sz w:val="22"/>
          <w:szCs w:val="22"/>
          <w:highlight w:val="yellow"/>
          <w:lang w:eastAsia="zh-CN"/>
        </w:rPr>
        <w:t xml:space="preserve">Proposal </w:t>
      </w:r>
      <w:r w:rsidR="0068267F" w:rsidRPr="0068267F">
        <w:rPr>
          <w:rFonts w:eastAsia="Calibri"/>
          <w:b/>
          <w:bCs/>
          <w:sz w:val="22"/>
          <w:szCs w:val="22"/>
          <w:highlight w:val="yellow"/>
          <w:lang w:eastAsia="zh-CN"/>
        </w:rPr>
        <w:t>1</w:t>
      </w:r>
      <w:r w:rsidR="0068267F" w:rsidRPr="0068267F">
        <w:rPr>
          <w:rFonts w:eastAsia="Calibri"/>
          <w:b/>
          <w:bCs/>
          <w:color w:val="0070C0"/>
          <w:sz w:val="22"/>
          <w:szCs w:val="22"/>
          <w:highlight w:val="yellow"/>
          <w:lang w:eastAsia="zh-CN"/>
        </w:rPr>
        <w:t>_v1</w:t>
      </w:r>
      <w:r w:rsidRPr="0068267F">
        <w:rPr>
          <w:rFonts w:eastAsia="Calibri"/>
          <w:b/>
          <w:bCs/>
          <w:sz w:val="22"/>
          <w:szCs w:val="22"/>
          <w:highlight w:val="yellow"/>
          <w:lang w:eastAsia="zh-CN"/>
        </w:rPr>
        <w:t>:</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3EDB75BB" w14:textId="77777777" w:rsidR="0068267F" w:rsidRPr="0068267F" w:rsidRDefault="00A51F74" w:rsidP="00A51F74">
      <w:pPr>
        <w:pStyle w:val="ListParagraph"/>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 xml:space="preserve">DCI format 1_1 indicating </w:t>
      </w:r>
      <w:proofErr w:type="spellStart"/>
      <w:r w:rsidRPr="002D38D2">
        <w:rPr>
          <w:rFonts w:eastAsiaTheme="minorEastAsia"/>
          <w:b/>
          <w:bCs/>
          <w:iCs/>
          <w:kern w:val="2"/>
          <w:sz w:val="22"/>
          <w:szCs w:val="22"/>
          <w:lang w:eastAsia="zh-CN"/>
        </w:rPr>
        <w:t>SCell</w:t>
      </w:r>
      <w:proofErr w:type="spellEnd"/>
      <w:r w:rsidRPr="002D38D2">
        <w:rPr>
          <w:rFonts w:eastAsiaTheme="minorEastAsia"/>
          <w:b/>
          <w:bCs/>
          <w:iCs/>
          <w:kern w:val="2"/>
          <w:sz w:val="22"/>
          <w:szCs w:val="22"/>
          <w:lang w:eastAsia="zh-CN"/>
        </w:rPr>
        <w:t xml:space="preserve">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without scheduling PDSCH reception are currently not captured either.</w:t>
      </w:r>
    </w:p>
    <w:p w14:paraId="72FBA381" w14:textId="56F8F6C5" w:rsidR="00A51F74" w:rsidRPr="00E42A94" w:rsidRDefault="0068267F" w:rsidP="00A51F74">
      <w:pPr>
        <w:pStyle w:val="ListParagraph"/>
        <w:numPr>
          <w:ilvl w:val="0"/>
          <w:numId w:val="40"/>
        </w:numPr>
        <w:spacing w:after="160" w:line="259" w:lineRule="auto"/>
        <w:jc w:val="both"/>
        <w:rPr>
          <w:rFonts w:eastAsia="Times New Roman"/>
          <w:b/>
          <w:bCs/>
          <w:color w:val="0070C0"/>
          <w:sz w:val="22"/>
          <w:szCs w:val="22"/>
        </w:rPr>
      </w:pPr>
      <w:r w:rsidRPr="00E42A94">
        <w:rPr>
          <w:rFonts w:eastAsia="Times New Roman"/>
          <w:b/>
          <w:bCs/>
          <w:color w:val="0070C0"/>
          <w:sz w:val="22"/>
          <w:szCs w:val="22"/>
        </w:rPr>
        <w:t xml:space="preserve">Up to editor on how to </w:t>
      </w:r>
      <w:r w:rsidR="00500335" w:rsidRPr="00E42A94">
        <w:rPr>
          <w:rFonts w:eastAsia="Times New Roman"/>
          <w:b/>
          <w:bCs/>
          <w:color w:val="0070C0"/>
          <w:sz w:val="22"/>
          <w:szCs w:val="22"/>
        </w:rPr>
        <w:t>address</w:t>
      </w:r>
      <w:r w:rsidRPr="00E42A94">
        <w:rPr>
          <w:rFonts w:eastAsia="Times New Roman"/>
          <w:b/>
          <w:bCs/>
          <w:color w:val="0070C0"/>
          <w:sz w:val="22"/>
          <w:szCs w:val="22"/>
        </w:rPr>
        <w:t xml:space="preserve"> the situation of increasing functionalities of especially DCI formats scheduling PDSCH/PUSCH in 38.212</w:t>
      </w:r>
      <w:r w:rsidR="00A51F74" w:rsidRPr="00E42A94">
        <w:rPr>
          <w:rFonts w:eastAsiaTheme="minorEastAsia"/>
          <w:b/>
          <w:bCs/>
          <w:iCs/>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7D86C98"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504886">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504886">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504886">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504886">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504886">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504886">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lastRenderedPageBreak/>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lastRenderedPageBreak/>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lastRenderedPageBreak/>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lastRenderedPageBreak/>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5A4EF3DB" w:rsidR="00A51F74" w:rsidRPr="00885D2A" w:rsidRDefault="002F5A9E"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22FCC02" w:rsidR="00A51F74" w:rsidRPr="00885D2A" w:rsidRDefault="00972789" w:rsidP="00504886">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504886">
        <w:tc>
          <w:tcPr>
            <w:tcW w:w="1529"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t>Samsung</w:t>
            </w:r>
          </w:p>
        </w:tc>
        <w:tc>
          <w:tcPr>
            <w:tcW w:w="8105"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504886">
        <w:tc>
          <w:tcPr>
            <w:tcW w:w="1529" w:type="dxa"/>
          </w:tcPr>
          <w:p w14:paraId="24488E02" w14:textId="13113DBD" w:rsidR="00307DF4" w:rsidRPr="00885D2A" w:rsidRDefault="008D5022" w:rsidP="002C6827">
            <w:pPr>
              <w:spacing w:beforeLines="50" w:before="120" w:after="0"/>
              <w:rPr>
                <w:iCs/>
                <w:kern w:val="2"/>
                <w:lang w:eastAsia="zh-CN"/>
              </w:rPr>
            </w:pPr>
            <w:r>
              <w:rPr>
                <w:iCs/>
                <w:kern w:val="2"/>
                <w:lang w:eastAsia="zh-CN"/>
              </w:rPr>
              <w:lastRenderedPageBreak/>
              <w:t>Apple</w:t>
            </w:r>
          </w:p>
        </w:tc>
        <w:tc>
          <w:tcPr>
            <w:tcW w:w="8105"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w:t>
            </w:r>
            <w:proofErr w:type="gramStart"/>
            <w:r>
              <w:rPr>
                <w:iCs/>
                <w:kern w:val="2"/>
                <w:lang w:eastAsia="zh-CN"/>
              </w:rPr>
              <w:t>FR2</w:t>
            </w:r>
            <w:proofErr w:type="gramEnd"/>
            <w:r>
              <w:rPr>
                <w:iCs/>
                <w:kern w:val="2"/>
                <w:lang w:eastAsia="zh-CN"/>
              </w:rPr>
              <w:t xml:space="preserve"> and FR2-2 would impact the UE feature reporting</w:t>
            </w:r>
            <w:r w:rsidR="000D2D52">
              <w:rPr>
                <w:iCs/>
                <w:kern w:val="2"/>
                <w:lang w:eastAsia="zh-CN"/>
              </w:rPr>
              <w:t>.</w:t>
            </w:r>
          </w:p>
        </w:tc>
      </w:tr>
      <w:tr w:rsidR="00307DF4" w:rsidRPr="00885D2A" w14:paraId="4ACDBC3A" w14:textId="77777777" w:rsidTr="00504886">
        <w:tc>
          <w:tcPr>
            <w:tcW w:w="1529" w:type="dxa"/>
          </w:tcPr>
          <w:p w14:paraId="4C75FB88" w14:textId="77777777" w:rsidR="00307DF4" w:rsidRPr="00885D2A" w:rsidRDefault="00307DF4" w:rsidP="002C6827">
            <w:pPr>
              <w:spacing w:beforeLines="50" w:before="120" w:after="0"/>
              <w:rPr>
                <w:iCs/>
                <w:kern w:val="2"/>
                <w:lang w:eastAsia="zh-CN"/>
              </w:rPr>
            </w:pPr>
          </w:p>
        </w:tc>
        <w:tc>
          <w:tcPr>
            <w:tcW w:w="8105" w:type="dxa"/>
          </w:tcPr>
          <w:p w14:paraId="653F5C88" w14:textId="77777777" w:rsidR="00307DF4" w:rsidRPr="00885D2A" w:rsidRDefault="00307DF4" w:rsidP="002C6827">
            <w:pPr>
              <w:spacing w:beforeLines="50" w:before="120" w:after="0"/>
              <w:rPr>
                <w:iCs/>
                <w:kern w:val="2"/>
                <w:lang w:eastAsia="zh-CN"/>
              </w:rPr>
            </w:pPr>
          </w:p>
        </w:tc>
      </w:tr>
      <w:tr w:rsidR="00307DF4" w:rsidRPr="00885D2A" w14:paraId="5F3F709B" w14:textId="77777777" w:rsidTr="00504886">
        <w:tc>
          <w:tcPr>
            <w:tcW w:w="1529" w:type="dxa"/>
          </w:tcPr>
          <w:p w14:paraId="51BAC959" w14:textId="77777777" w:rsidR="00307DF4" w:rsidRPr="00885D2A" w:rsidRDefault="00307DF4" w:rsidP="002C6827">
            <w:pPr>
              <w:spacing w:beforeLines="50" w:before="120" w:after="0"/>
              <w:rPr>
                <w:iCs/>
                <w:kern w:val="2"/>
                <w:lang w:eastAsia="zh-CN"/>
              </w:rPr>
            </w:pPr>
          </w:p>
        </w:tc>
        <w:tc>
          <w:tcPr>
            <w:tcW w:w="8105" w:type="dxa"/>
          </w:tcPr>
          <w:p w14:paraId="05CB31BA" w14:textId="77777777" w:rsidR="00307DF4" w:rsidRPr="00885D2A" w:rsidRDefault="00307DF4" w:rsidP="002C6827">
            <w:pPr>
              <w:spacing w:beforeLines="50" w:before="120" w:after="0"/>
              <w:rPr>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lastRenderedPageBreak/>
              <w:t>For reason 3), there are 16 bits for HARQ process configuration but the number of configured HARQ processes may be less than 16. The intention is to clarify how to 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2574523C"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p>
        </w:tc>
      </w:tr>
      <w:tr w:rsidR="004B4226"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504886">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504886">
            <w:pPr>
              <w:spacing w:beforeLines="50" w:before="120" w:after="0"/>
              <w:rPr>
                <w:rFonts w:eastAsiaTheme="minorEastAsia" w:cs="Times New Roman"/>
                <w:color w:val="0070C0"/>
                <w:kern w:val="2"/>
                <w:lang w:eastAsia="zh-CN"/>
              </w:rPr>
            </w:pPr>
          </w:p>
          <w:p w14:paraId="5C64BE72" w14:textId="01D9DB13" w:rsidR="0068267F" w:rsidRPr="0068267F" w:rsidRDefault="007F791F" w:rsidP="00504886">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504886">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504886">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lastRenderedPageBreak/>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lastRenderedPageBreak/>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w:t>
            </w:r>
            <w:r w:rsidR="00480C1F" w:rsidRPr="0031690D">
              <w:rPr>
                <w:rStyle w:val="ui-provider"/>
                <w:color w:val="FF0000"/>
              </w:rPr>
              <w:lastRenderedPageBreak/>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lastRenderedPageBreak/>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lastRenderedPageBreak/>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555AECC" w:rsidR="00A51F74" w:rsidRPr="00885D2A" w:rsidRDefault="00736259" w:rsidP="00504886">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p>
        </w:tc>
      </w:tr>
      <w:tr w:rsidR="004B4226"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1F5AEB76"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p>
        </w:tc>
      </w:tr>
      <w:tr w:rsidR="004B4226"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lastRenderedPageBreak/>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504886">
            <w:pPr>
              <w:spacing w:beforeLines="50" w:before="120" w:after="0"/>
              <w:rPr>
                <w:rFonts w:eastAsiaTheme="minorEastAsia" w:cs="Times New Roman"/>
                <w:kern w:val="2"/>
                <w:lang w:eastAsia="zh-CN"/>
              </w:rPr>
            </w:pPr>
          </w:p>
          <w:p w14:paraId="182030A0" w14:textId="77777777" w:rsidR="00307DF4" w:rsidRDefault="00307DF4" w:rsidP="00504886">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504886">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504886">
            <w:pPr>
              <w:spacing w:beforeLines="50" w:before="120" w:after="0"/>
              <w:rPr>
                <w:rFonts w:eastAsiaTheme="minorEastAsia" w:cs="Times New Roman"/>
                <w:color w:val="0070C0"/>
                <w:kern w:val="2"/>
                <w:lang w:eastAsia="zh-CN"/>
              </w:rPr>
            </w:pPr>
          </w:p>
          <w:p w14:paraId="30D57AB6" w14:textId="2F688FB3" w:rsidR="00307DF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504886">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504886">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504886">
        <w:tc>
          <w:tcPr>
            <w:tcW w:w="1529" w:type="dxa"/>
          </w:tcPr>
          <w:p w14:paraId="6B3BF3F6" w14:textId="6E5037BA" w:rsidR="00A51F74" w:rsidRPr="00957C55" w:rsidRDefault="00957C55" w:rsidP="00504886">
            <w:pPr>
              <w:spacing w:beforeLines="50" w:before="120" w:after="0"/>
              <w:rPr>
                <w:rFonts w:cs="Times New Roman"/>
                <w:iCs/>
                <w:color w:val="0070C0"/>
                <w:kern w:val="2"/>
                <w:lang w:eastAsia="zh-CN"/>
              </w:rPr>
            </w:pPr>
            <w:r w:rsidRPr="00957C55">
              <w:rPr>
                <w:rFonts w:cs="Times New Roman"/>
                <w:iCs/>
                <w:color w:val="0070C0"/>
                <w:kern w:val="2"/>
                <w:lang w:eastAsia="zh-CN"/>
              </w:rPr>
              <w:lastRenderedPageBreak/>
              <w:t>Moderator</w:t>
            </w:r>
          </w:p>
        </w:tc>
        <w:tc>
          <w:tcPr>
            <w:tcW w:w="8105" w:type="dxa"/>
          </w:tcPr>
          <w:p w14:paraId="119C5479" w14:textId="77777777" w:rsidR="00A51F74" w:rsidRDefault="00957C55" w:rsidP="00504886">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504886">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504886">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504886">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504886">
            <w:pPr>
              <w:spacing w:beforeLines="50" w:before="120" w:after="0"/>
              <w:rPr>
                <w:rFonts w:cs="Times New Roman"/>
                <w:iCs/>
                <w:color w:val="0070C0"/>
                <w:kern w:val="2"/>
                <w:lang w:eastAsia="zh-CN"/>
              </w:rPr>
            </w:pPr>
          </w:p>
        </w:tc>
      </w:tr>
      <w:tr w:rsidR="00307DF4" w:rsidRPr="00885D2A" w14:paraId="3B32B394" w14:textId="77777777" w:rsidTr="00504886">
        <w:tc>
          <w:tcPr>
            <w:tcW w:w="1529" w:type="dxa"/>
          </w:tcPr>
          <w:p w14:paraId="4211FBB1" w14:textId="5A5674E3" w:rsidR="00307DF4" w:rsidRPr="00885D2A" w:rsidRDefault="00F17FCE" w:rsidP="00504886">
            <w:pPr>
              <w:spacing w:beforeLines="50" w:before="120" w:after="0"/>
              <w:rPr>
                <w:iCs/>
                <w:kern w:val="2"/>
                <w:lang w:eastAsia="zh-CN"/>
              </w:rPr>
            </w:pPr>
            <w:r>
              <w:rPr>
                <w:iCs/>
                <w:kern w:val="2"/>
                <w:lang w:eastAsia="zh-CN"/>
              </w:rPr>
              <w:t>QC</w:t>
            </w:r>
          </w:p>
        </w:tc>
        <w:tc>
          <w:tcPr>
            <w:tcW w:w="8105" w:type="dxa"/>
          </w:tcPr>
          <w:p w14:paraId="06E4C159" w14:textId="77777777" w:rsidR="00307DF4" w:rsidRDefault="00F17FCE" w:rsidP="00504886">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504886">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504886">
        <w:tc>
          <w:tcPr>
            <w:tcW w:w="1529" w:type="dxa"/>
          </w:tcPr>
          <w:p w14:paraId="23201473" w14:textId="438BAFBF" w:rsidR="00307DF4" w:rsidRPr="00885D2A" w:rsidRDefault="00974EE8" w:rsidP="00504886">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504886">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504886">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07DF4" w:rsidRPr="00885D2A" w14:paraId="4445B134" w14:textId="77777777" w:rsidTr="00504886">
        <w:tc>
          <w:tcPr>
            <w:tcW w:w="1529" w:type="dxa"/>
          </w:tcPr>
          <w:p w14:paraId="60380C71" w14:textId="77777777" w:rsidR="00307DF4" w:rsidRPr="00885D2A" w:rsidRDefault="00307DF4" w:rsidP="00504886">
            <w:pPr>
              <w:spacing w:beforeLines="50" w:before="120" w:after="0"/>
              <w:rPr>
                <w:iCs/>
                <w:kern w:val="2"/>
                <w:lang w:eastAsia="zh-CN"/>
              </w:rPr>
            </w:pPr>
          </w:p>
        </w:tc>
        <w:tc>
          <w:tcPr>
            <w:tcW w:w="8105" w:type="dxa"/>
          </w:tcPr>
          <w:p w14:paraId="61423705" w14:textId="77777777" w:rsidR="00307DF4" w:rsidRPr="00885D2A" w:rsidRDefault="00307DF4" w:rsidP="00504886">
            <w:pPr>
              <w:spacing w:beforeLines="50" w:before="120" w:after="0"/>
              <w:rPr>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lastRenderedPageBreak/>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w:t>
            </w:r>
            <w:proofErr w:type="spellStart"/>
            <w:r>
              <w:rPr>
                <w:rFonts w:eastAsia="MS Mincho"/>
              </w:rPr>
              <w:t>SCell</w:t>
            </w:r>
            <w:proofErr w:type="spellEnd"/>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B83BF2A"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3BE7" w14:textId="77777777" w:rsidR="003B1D66" w:rsidRDefault="003B1D66">
      <w:r>
        <w:separator/>
      </w:r>
    </w:p>
  </w:endnote>
  <w:endnote w:type="continuationSeparator" w:id="0">
    <w:p w14:paraId="19E7A928" w14:textId="77777777" w:rsidR="003B1D66" w:rsidRDefault="003B1D66">
      <w:r>
        <w:continuationSeparator/>
      </w:r>
    </w:p>
  </w:endnote>
  <w:endnote w:type="continuationNotice" w:id="1">
    <w:p w14:paraId="2C8D9DAB" w14:textId="77777777" w:rsidR="003B1D66" w:rsidRDefault="003B1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
    <w:altName w:val="Microsoft JhengHei"/>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B721B5" w:rsidRDefault="00B721B5">
        <w:pPr>
          <w:pStyle w:val="Footer"/>
        </w:pPr>
        <w:r>
          <w:fldChar w:fldCharType="begin"/>
        </w:r>
        <w:r>
          <w:instrText>PAGE   \* MERGEFORMAT</w:instrText>
        </w:r>
        <w:r>
          <w:fldChar w:fldCharType="separate"/>
        </w:r>
        <w:r w:rsidR="009D2749" w:rsidRPr="009D2749">
          <w:rPr>
            <w:lang w:val="zh-CN" w:eastAsia="zh-CN"/>
          </w:rPr>
          <w:t>21</w:t>
        </w:r>
        <w:r>
          <w:fldChar w:fldCharType="end"/>
        </w:r>
      </w:p>
    </w:sdtContent>
  </w:sdt>
  <w:p w14:paraId="00A820FC" w14:textId="77777777" w:rsidR="00B721B5" w:rsidRDefault="00B721B5">
    <w:pPr>
      <w:pStyle w:val="Footer"/>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672F" w14:textId="77777777" w:rsidR="003B1D66" w:rsidRDefault="003B1D66">
      <w:r>
        <w:separator/>
      </w:r>
    </w:p>
  </w:footnote>
  <w:footnote w:type="continuationSeparator" w:id="0">
    <w:p w14:paraId="05811B90" w14:textId="77777777" w:rsidR="003B1D66" w:rsidRDefault="003B1D66">
      <w:r>
        <w:continuationSeparator/>
      </w:r>
    </w:p>
  </w:footnote>
  <w:footnote w:type="continuationNotice" w:id="1">
    <w:p w14:paraId="547C004E" w14:textId="77777777" w:rsidR="003B1D66" w:rsidRDefault="003B1D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B721B5" w:rsidRDefault="00B721B5">
    <w:pPr>
      <w:pStyle w:val="Header"/>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478301974">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9185562">
    <w:abstractNumId w:val="5"/>
  </w:num>
  <w:num w:numId="3" w16cid:durableId="393891509">
    <w:abstractNumId w:val="34"/>
  </w:num>
  <w:num w:numId="4" w16cid:durableId="1764649567">
    <w:abstractNumId w:val="11"/>
  </w:num>
  <w:num w:numId="5" w16cid:durableId="570383317">
    <w:abstractNumId w:val="2"/>
  </w:num>
  <w:num w:numId="6" w16cid:durableId="241062223">
    <w:abstractNumId w:val="20"/>
  </w:num>
  <w:num w:numId="7" w16cid:durableId="1177380135">
    <w:abstractNumId w:val="35"/>
  </w:num>
  <w:num w:numId="8" w16cid:durableId="72942470">
    <w:abstractNumId w:val="21"/>
  </w:num>
  <w:num w:numId="9" w16cid:durableId="1686667090">
    <w:abstractNumId w:val="18"/>
  </w:num>
  <w:num w:numId="10" w16cid:durableId="165246106">
    <w:abstractNumId w:val="4"/>
  </w:num>
  <w:num w:numId="11" w16cid:durableId="1141842985">
    <w:abstractNumId w:val="31"/>
  </w:num>
  <w:num w:numId="12" w16cid:durableId="646783500">
    <w:abstractNumId w:val="15"/>
  </w:num>
  <w:num w:numId="13" w16cid:durableId="41947882">
    <w:abstractNumId w:val="25"/>
  </w:num>
  <w:num w:numId="14" w16cid:durableId="1992825702">
    <w:abstractNumId w:val="19"/>
  </w:num>
  <w:num w:numId="15" w16cid:durableId="183138214">
    <w:abstractNumId w:val="8"/>
  </w:num>
  <w:num w:numId="16" w16cid:durableId="2054303243">
    <w:abstractNumId w:val="1"/>
  </w:num>
  <w:num w:numId="17" w16cid:durableId="1525560920">
    <w:abstractNumId w:val="30"/>
  </w:num>
  <w:num w:numId="18" w16cid:durableId="416903855">
    <w:abstractNumId w:val="0"/>
  </w:num>
  <w:num w:numId="19" w16cid:durableId="848762764">
    <w:abstractNumId w:val="22"/>
  </w:num>
  <w:num w:numId="20" w16cid:durableId="907568670">
    <w:abstractNumId w:val="23"/>
  </w:num>
  <w:num w:numId="21" w16cid:durableId="1693800684">
    <w:abstractNumId w:val="32"/>
  </w:num>
  <w:num w:numId="22" w16cid:durableId="445584786">
    <w:abstractNumId w:val="9"/>
  </w:num>
  <w:num w:numId="23" w16cid:durableId="1562403988">
    <w:abstractNumId w:val="17"/>
  </w:num>
  <w:num w:numId="24" w16cid:durableId="883172854">
    <w:abstractNumId w:val="10"/>
  </w:num>
  <w:num w:numId="25" w16cid:durableId="32316248">
    <w:abstractNumId w:val="7"/>
  </w:num>
  <w:num w:numId="26" w16cid:durableId="2094163765">
    <w:abstractNumId w:val="5"/>
  </w:num>
  <w:num w:numId="27" w16cid:durableId="2003508035">
    <w:abstractNumId w:val="5"/>
  </w:num>
  <w:num w:numId="28" w16cid:durableId="54926502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015136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7431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5898378">
    <w:abstractNumId w:val="14"/>
  </w:num>
  <w:num w:numId="32" w16cid:durableId="1548685897">
    <w:abstractNumId w:val="16"/>
  </w:num>
  <w:num w:numId="33" w16cid:durableId="1415782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9017090">
    <w:abstractNumId w:val="26"/>
  </w:num>
  <w:num w:numId="35" w16cid:durableId="847526172">
    <w:abstractNumId w:val="33"/>
  </w:num>
  <w:num w:numId="36" w16cid:durableId="122623539">
    <w:abstractNumId w:val="29"/>
  </w:num>
  <w:num w:numId="37" w16cid:durableId="208020542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48352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9007663">
    <w:abstractNumId w:val="24"/>
  </w:num>
  <w:num w:numId="40" w16cid:durableId="1233657970">
    <w:abstractNumId w:val="13"/>
  </w:num>
  <w:num w:numId="41" w16cid:durableId="792021948">
    <w:abstractNumId w:val="28"/>
  </w:num>
  <w:num w:numId="42" w16cid:durableId="1516529138">
    <w:abstractNumId w:val="27"/>
  </w:num>
  <w:num w:numId="43" w16cid:durableId="795024290">
    <w:abstractNumId w:val="3"/>
  </w:num>
  <w:num w:numId="44" w16cid:durableId="1279020542">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E1C18-C21C-4400-AC96-726CEA980E6A}">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C:\Users\esorfal\AppData\Roaming\Microsoft\Templates\3gpp_70.dot</Template>
  <TotalTime>2</TotalTime>
  <Pages>25</Pages>
  <Words>8234</Words>
  <Characters>46939</Characters>
  <Application>Microsoft Office Word</Application>
  <DocSecurity>0</DocSecurity>
  <Lines>391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55063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Apple</cp:lastModifiedBy>
  <cp:revision>2</cp:revision>
  <cp:lastPrinted>1901-01-02T03:00:00Z</cp:lastPrinted>
  <dcterms:created xsi:type="dcterms:W3CDTF">2023-04-19T04:49:00Z</dcterms:created>
  <dcterms:modified xsi:type="dcterms:W3CDTF">2023-04-19T04:49:00Z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