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D40CFB">
      <w:pPr>
        <w:pStyle w:val="ListParagraph"/>
        <w:numPr>
          <w:ilvl w:val="0"/>
          <w:numId w:val="74"/>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D40CFB">
      <w:pPr>
        <w:pStyle w:val="ListParagraph"/>
        <w:numPr>
          <w:ilvl w:val="1"/>
          <w:numId w:val="74"/>
        </w:numPr>
        <w:spacing w:after="0"/>
        <w:jc w:val="both"/>
        <w:rPr>
          <w:b/>
          <w:bCs/>
          <w:lang w:eastAsia="x-none"/>
        </w:rPr>
      </w:pPr>
      <w:r>
        <w:rPr>
          <w:b/>
          <w:bCs/>
          <w:lang w:eastAsia="x-none"/>
        </w:rPr>
        <w:t>Is this to be discussed / handled during RAN1#112bis-e?</w:t>
      </w:r>
    </w:p>
    <w:p w14:paraId="3C8596B5" w14:textId="2E146365" w:rsidR="00D40CFB" w:rsidRDefault="00D40CFB" w:rsidP="00D40CFB">
      <w:pPr>
        <w:pStyle w:val="ListParagraph"/>
        <w:numPr>
          <w:ilvl w:val="1"/>
          <w:numId w:val="74"/>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D40CFB">
      <w:pPr>
        <w:pStyle w:val="ListParagraph"/>
        <w:numPr>
          <w:ilvl w:val="1"/>
          <w:numId w:val="74"/>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B2381">
      <w:pPr>
        <w:pStyle w:val="ListParagraph"/>
        <w:numPr>
          <w:ilvl w:val="2"/>
          <w:numId w:val="74"/>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w:t>
      </w:r>
      <w:proofErr w:type="gramStart"/>
      <w:r w:rsidRPr="007B2381">
        <w:rPr>
          <w:b/>
          <w:bCs/>
          <w:i/>
          <w:iCs/>
          <w:highlight w:val="yellow"/>
          <w:lang w:val="en-US" w:eastAsia="x-none"/>
        </w:rPr>
        <w:t>e</w:t>
      </w:r>
      <w:proofErr w:type="gramEnd"/>
    </w:p>
    <w:p w14:paraId="281629ED" w14:textId="7525D677" w:rsidR="00D40CFB" w:rsidRDefault="00D40CFB" w:rsidP="00D40CFB">
      <w:pPr>
        <w:pStyle w:val="ListParagraph"/>
        <w:numPr>
          <w:ilvl w:val="0"/>
          <w:numId w:val="74"/>
        </w:numPr>
        <w:jc w:val="both"/>
      </w:pPr>
      <w:r>
        <w:t xml:space="preserve">As in Athens in Feb/March, for issues where an approved CR is seen as needed, the moderator is planning to combine some issues in a single/joint CR (to keep the number of CRs low and reduce the needed handling for moderator, </w:t>
      </w:r>
      <w:proofErr w:type="gramStart"/>
      <w:r>
        <w:t>delegates</w:t>
      </w:r>
      <w:proofErr w:type="gramEnd"/>
      <w:r>
        <w:t xml:space="preserve"> and Mr. Chairman/Secretary)</w:t>
      </w:r>
    </w:p>
    <w:p w14:paraId="47A19395" w14:textId="562F09DE" w:rsidR="00D40CFB" w:rsidRDefault="00D40CFB" w:rsidP="00D40CFB">
      <w:pPr>
        <w:pStyle w:val="ListParagraph"/>
        <w:numPr>
          <w:ilvl w:val="1"/>
          <w:numId w:val="74"/>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w:t>
            </w:r>
            <w:proofErr w:type="gramStart"/>
            <w:r>
              <w:rPr>
                <w:rFonts w:cs="Arial"/>
                <w:lang w:eastAsia="zh-CN"/>
              </w:rPr>
              <w:t>1</w:t>
            </w:r>
            <w:proofErr w:type="gramEnd"/>
          </w:p>
          <w:p w14:paraId="6B795691"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0AD3598"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480EDFCA" w:rsidR="00D40CFB" w:rsidRPr="002D6399" w:rsidRDefault="00DE5ADB" w:rsidP="00497B27">
            <w:pPr>
              <w:spacing w:beforeLines="50" w:before="120" w:after="0"/>
              <w:rPr>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 xml:space="preserve">It is not an essential </w:t>
            </w:r>
            <w:proofErr w:type="gramStart"/>
            <w:r>
              <w:rPr>
                <w:iCs/>
                <w:kern w:val="2"/>
                <w:lang w:eastAsia="zh-CN"/>
              </w:rPr>
              <w:t>correction</w:t>
            </w:r>
            <w:proofErr w:type="gramEnd"/>
            <w:r>
              <w:rPr>
                <w:iCs/>
                <w:kern w:val="2"/>
                <w:lang w:eastAsia="zh-CN"/>
              </w:rPr>
              <w:t xml:space="preserve">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497B27">
            <w:pPr>
              <w:spacing w:beforeLines="50" w:before="120" w:after="0"/>
              <w:rPr>
                <w:kern w:val="2"/>
                <w:lang w:eastAsia="zh-CN"/>
              </w:rPr>
            </w:pP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19"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4432E5EF" w:rsidR="00716EDA" w:rsidRPr="00426115" w:rsidRDefault="0009660F" w:rsidP="00497B27">
            <w:pPr>
              <w:spacing w:beforeLines="50" w:before="120" w:after="0"/>
              <w:rPr>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B35A299"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6BF4EB5F" w:rsidR="00716EDA" w:rsidRPr="00C2752F" w:rsidRDefault="0009660F" w:rsidP="00497B27">
            <w:pPr>
              <w:spacing w:beforeLines="50" w:before="120" w:after="0"/>
              <w:rPr>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497B27">
            <w:pPr>
              <w:spacing w:beforeLines="50" w:before="120" w:after="0"/>
              <w:rPr>
                <w:i/>
                <w:kern w:val="2"/>
                <w:lang w:eastAsia="zh-CN"/>
              </w:rPr>
            </w:pPr>
            <w:r w:rsidRPr="002D6399">
              <w:rPr>
                <w:i/>
                <w:kern w:val="2"/>
                <w:lang w:eastAsia="zh-CN"/>
              </w:rPr>
              <w:t xml:space="preserve">Comments </w:t>
            </w:r>
          </w:p>
        </w:tc>
      </w:tr>
      <w:tr w:rsidR="005B6BEE" w:rsidRPr="002D6399" w14:paraId="673A3679" w14:textId="77777777" w:rsidTr="00497B27">
        <w:tc>
          <w:tcPr>
            <w:tcW w:w="1529" w:type="dxa"/>
            <w:tcBorders>
              <w:top w:val="single" w:sz="4" w:space="0" w:color="auto"/>
              <w:left w:val="single" w:sz="4" w:space="0" w:color="auto"/>
              <w:bottom w:val="single" w:sz="4" w:space="0" w:color="auto"/>
              <w:right w:val="single" w:sz="4" w:space="0" w:color="auto"/>
            </w:tcBorders>
          </w:tcPr>
          <w:p w14:paraId="107D671F" w14:textId="0C693774" w:rsidR="005B6BEE" w:rsidRPr="002D6399" w:rsidRDefault="005B6BEE" w:rsidP="005B6BEE">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5E9D918" w14:textId="3B8119FC" w:rsidR="005B6BEE" w:rsidRPr="002D6399" w:rsidRDefault="005B6BEE" w:rsidP="005B6BEE">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5B6BEE" w:rsidRPr="002D6399" w14:paraId="211DEB2A" w14:textId="77777777" w:rsidTr="00497B27">
        <w:tc>
          <w:tcPr>
            <w:tcW w:w="1529" w:type="dxa"/>
            <w:tcBorders>
              <w:top w:val="single" w:sz="4" w:space="0" w:color="auto"/>
              <w:left w:val="single" w:sz="4" w:space="0" w:color="auto"/>
              <w:bottom w:val="single" w:sz="4" w:space="0" w:color="auto"/>
              <w:right w:val="single" w:sz="4" w:space="0" w:color="auto"/>
            </w:tcBorders>
          </w:tcPr>
          <w:p w14:paraId="3F48A81C" w14:textId="70DF2813" w:rsidR="005B6BEE" w:rsidRPr="00C2752F" w:rsidRDefault="00C2752F" w:rsidP="005B6BEE">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35C55BC" w14:textId="207A7F54" w:rsidR="00C2752F" w:rsidRDefault="00C2752F" w:rsidP="005B6BEE">
            <w:pPr>
              <w:spacing w:beforeLines="50" w:before="120" w:after="0"/>
              <w:rPr>
                <w:kern w:val="2"/>
                <w:lang w:eastAsia="zh-CN"/>
              </w:rPr>
            </w:pPr>
            <w:r>
              <w:rPr>
                <w:kern w:val="2"/>
                <w:lang w:eastAsia="zh-CN"/>
              </w:rPr>
              <w:t xml:space="preserve">Agree with HW that there is on agreement on it (and </w:t>
            </w:r>
            <w:proofErr w:type="gramStart"/>
            <w:r>
              <w:rPr>
                <w:kern w:val="2"/>
                <w:lang w:eastAsia="zh-CN"/>
              </w:rPr>
              <w:t>actually maybe</w:t>
            </w:r>
            <w:proofErr w:type="gramEnd"/>
            <w:r>
              <w:rPr>
                <w:kern w:val="2"/>
                <w:lang w:eastAsia="zh-CN"/>
              </w:rPr>
              <w:t xml:space="preserve"> would have been better fitted to the &gt;52.6GHz discussions – as the baseline Type 3 HARQ-ACK codebook is not really a R17 URLLC feature). </w:t>
            </w:r>
          </w:p>
          <w:p w14:paraId="61660014" w14:textId="2A3131F1" w:rsidR="005B6BEE" w:rsidRPr="00C2752F" w:rsidRDefault="00C2752F" w:rsidP="005B6BEE">
            <w:pPr>
              <w:spacing w:beforeLines="50" w:before="120" w:after="0"/>
              <w:rPr>
                <w:kern w:val="2"/>
                <w:lang w:eastAsia="zh-CN"/>
              </w:rPr>
            </w:pPr>
            <w:r>
              <w:rPr>
                <w:kern w:val="2"/>
                <w:lang w:eastAsia="zh-CN"/>
              </w:rPr>
              <w:t xml:space="preserve">I guess we could have a combination here – have an agreement to support this case </w:t>
            </w:r>
            <w:proofErr w:type="gramStart"/>
            <w:r>
              <w:rPr>
                <w:kern w:val="2"/>
                <w:lang w:eastAsia="zh-CN"/>
              </w:rPr>
              <w:t>and also</w:t>
            </w:r>
            <w:proofErr w:type="gramEnd"/>
            <w:r>
              <w:rPr>
                <w:kern w:val="2"/>
                <w:lang w:eastAsia="zh-CN"/>
              </w:rPr>
              <w:t xml:space="preserve"> have the CR approved. But this would require making an agreement on &gt;52.6GHz operation in the Rel-17 URLLC maintenance... </w:t>
            </w:r>
          </w:p>
        </w:tc>
      </w:tr>
      <w:tr w:rsidR="005B6BEE" w:rsidRPr="002D6399" w14:paraId="1D7811FF" w14:textId="77777777" w:rsidTr="00497B27">
        <w:tc>
          <w:tcPr>
            <w:tcW w:w="1529" w:type="dxa"/>
            <w:tcBorders>
              <w:top w:val="single" w:sz="4" w:space="0" w:color="auto"/>
              <w:left w:val="single" w:sz="4" w:space="0" w:color="auto"/>
              <w:bottom w:val="single" w:sz="4" w:space="0" w:color="auto"/>
              <w:right w:val="single" w:sz="4" w:space="0" w:color="auto"/>
            </w:tcBorders>
          </w:tcPr>
          <w:p w14:paraId="13D37351" w14:textId="28D498B1" w:rsidR="005B6BEE" w:rsidRPr="002D6399" w:rsidRDefault="00426115" w:rsidP="005B6BEE">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FBA1B9" w14:textId="30F94C8D" w:rsidR="005B6BEE" w:rsidRPr="002D6399" w:rsidRDefault="00426115" w:rsidP="005B6BEE">
            <w:pPr>
              <w:spacing w:beforeLines="50" w:before="120" w:after="0"/>
              <w:rPr>
                <w:kern w:val="2"/>
                <w:lang w:eastAsia="zh-CN"/>
              </w:rPr>
            </w:pPr>
            <w:r>
              <w:rPr>
                <w:kern w:val="2"/>
                <w:lang w:eastAsia="zh-CN"/>
              </w:rPr>
              <w:t>Agree with Huawei. It is clearly n</w:t>
            </w:r>
            <w:r w:rsidR="008A5869">
              <w:rPr>
                <w:kern w:val="2"/>
                <w:lang w:eastAsia="zh-CN"/>
              </w:rPr>
              <w:t>either</w:t>
            </w:r>
            <w:r>
              <w:rPr>
                <w:kern w:val="2"/>
                <w:lang w:eastAsia="zh-CN"/>
              </w:rPr>
              <w:t xml:space="preserve"> an essential correction nor the type of agreement that should be made </w:t>
            </w:r>
            <w:r w:rsidR="00273D01">
              <w:rPr>
                <w:kern w:val="2"/>
                <w:lang w:eastAsia="zh-CN"/>
              </w:rPr>
              <w:t xml:space="preserve">for a new feature (which does not exist in corresponding UE features for FR2-2) </w:t>
            </w:r>
            <w:r>
              <w:rPr>
                <w:kern w:val="2"/>
                <w:lang w:eastAsia="zh-CN"/>
              </w:rPr>
              <w:t xml:space="preserve">deep into maintenance. </w:t>
            </w:r>
          </w:p>
        </w:tc>
      </w:tr>
      <w:tr w:rsidR="00F37101" w:rsidRPr="002D6399" w14:paraId="55B3111B" w14:textId="77777777" w:rsidTr="00497B27">
        <w:tc>
          <w:tcPr>
            <w:tcW w:w="1529" w:type="dxa"/>
            <w:tcBorders>
              <w:top w:val="single" w:sz="4" w:space="0" w:color="auto"/>
              <w:left w:val="single" w:sz="4" w:space="0" w:color="auto"/>
              <w:bottom w:val="single" w:sz="4" w:space="0" w:color="auto"/>
              <w:right w:val="single" w:sz="4" w:space="0" w:color="auto"/>
            </w:tcBorders>
          </w:tcPr>
          <w:p w14:paraId="22572AAC" w14:textId="01AB8EA8" w:rsidR="00F37101" w:rsidRPr="002D6399" w:rsidRDefault="00F37101" w:rsidP="00F37101">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2D8C7A2E" w14:textId="77777777" w:rsidR="00F37101" w:rsidRPr="002D6399" w:rsidRDefault="00F37101" w:rsidP="00F37101">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01380491" w14:textId="77777777" w:rsidR="00F37101" w:rsidRDefault="00F37101" w:rsidP="00F37101">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5D13EE97" w14:textId="77777777" w:rsidR="00F37101" w:rsidRDefault="00F37101" w:rsidP="00F37101">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60B4EE5F" w14:textId="77777777" w:rsidR="00F37101" w:rsidRDefault="00F37101" w:rsidP="00F37101">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050CC375" w14:textId="42DB1F44" w:rsidR="0035657B" w:rsidRPr="0035657B" w:rsidRDefault="00F37101" w:rsidP="0035657B">
            <w:pPr>
              <w:pStyle w:val="Default"/>
              <w:rPr>
                <w:sz w:val="18"/>
                <w:szCs w:val="18"/>
              </w:rPr>
            </w:pPr>
            <w:r>
              <w:rPr>
                <w:sz w:val="18"/>
                <w:szCs w:val="18"/>
              </w:rPr>
              <w:t xml:space="preserve">We don’t think that a new agreement is needed. If one takes this approach, for every feature, we </w:t>
            </w:r>
            <w:proofErr w:type="gramStart"/>
            <w:r>
              <w:rPr>
                <w:sz w:val="18"/>
                <w:szCs w:val="18"/>
              </w:rPr>
              <w:t>have to</w:t>
            </w:r>
            <w:proofErr w:type="gramEnd"/>
            <w:r>
              <w:rPr>
                <w:sz w:val="18"/>
                <w:szCs w:val="18"/>
              </w:rPr>
              <w:t xml:space="preserve"> do this tedious exercise, and it is not a proper approach.</w:t>
            </w:r>
          </w:p>
        </w:tc>
      </w:tr>
      <w:tr w:rsidR="00F37101" w:rsidRPr="002D6399" w14:paraId="7FEDDD6E" w14:textId="77777777" w:rsidTr="00497B27">
        <w:tc>
          <w:tcPr>
            <w:tcW w:w="1529" w:type="dxa"/>
          </w:tcPr>
          <w:p w14:paraId="51A41C16" w14:textId="01EA7234" w:rsidR="00F37101" w:rsidRPr="002D6399" w:rsidRDefault="0035657B" w:rsidP="00F37101">
            <w:pPr>
              <w:spacing w:beforeLines="50" w:before="120" w:after="0"/>
              <w:rPr>
                <w:iCs/>
                <w:kern w:val="2"/>
                <w:lang w:eastAsia="zh-CN"/>
              </w:rPr>
            </w:pPr>
            <w:r>
              <w:rPr>
                <w:iCs/>
                <w:kern w:val="2"/>
                <w:lang w:eastAsia="zh-CN"/>
              </w:rPr>
              <w:t>Intel</w:t>
            </w:r>
          </w:p>
        </w:tc>
        <w:tc>
          <w:tcPr>
            <w:tcW w:w="8105" w:type="dxa"/>
          </w:tcPr>
          <w:p w14:paraId="1FD66BAF" w14:textId="2D058081" w:rsidR="00F37101" w:rsidRPr="002D6399" w:rsidRDefault="0035657B" w:rsidP="00F37101">
            <w:pPr>
              <w:spacing w:beforeLines="50" w:before="120" w:after="0"/>
              <w:rPr>
                <w:iCs/>
                <w:kern w:val="2"/>
                <w:lang w:eastAsia="zh-CN"/>
              </w:rPr>
            </w:pPr>
            <w:r>
              <w:rPr>
                <w:iCs/>
                <w:kern w:val="2"/>
                <w:lang w:eastAsia="zh-CN"/>
              </w:rPr>
              <w:t>R17 URLLC was not limited to FR1, thus the issue seems valid.</w:t>
            </w:r>
          </w:p>
        </w:tc>
      </w:tr>
      <w:tr w:rsidR="0035657B" w:rsidRPr="002D6399" w14:paraId="35BAE1A8" w14:textId="77777777" w:rsidTr="00497B27">
        <w:tc>
          <w:tcPr>
            <w:tcW w:w="1529" w:type="dxa"/>
          </w:tcPr>
          <w:p w14:paraId="620173E0" w14:textId="77777777" w:rsidR="0035657B" w:rsidRPr="002D6399" w:rsidRDefault="0035657B" w:rsidP="00F37101">
            <w:pPr>
              <w:spacing w:beforeLines="50" w:before="120" w:after="0"/>
              <w:rPr>
                <w:iCs/>
                <w:kern w:val="2"/>
                <w:lang w:eastAsia="zh-CN"/>
              </w:rPr>
            </w:pPr>
          </w:p>
        </w:tc>
        <w:tc>
          <w:tcPr>
            <w:tcW w:w="8105" w:type="dxa"/>
          </w:tcPr>
          <w:p w14:paraId="6CC752A8" w14:textId="77777777" w:rsidR="0035657B" w:rsidRPr="002D6399" w:rsidRDefault="0035657B" w:rsidP="00F37101">
            <w:pPr>
              <w:spacing w:beforeLines="50" w:before="120" w:after="0"/>
              <w:rPr>
                <w:iCs/>
                <w:kern w:val="2"/>
                <w:lang w:eastAsia="zh-CN"/>
              </w:rPr>
            </w:pPr>
          </w:p>
        </w:tc>
      </w:tr>
    </w:tbl>
    <w:p w14:paraId="3A029C13" w14:textId="61B3B6F5" w:rsidR="00964C16" w:rsidRPr="00002EC5" w:rsidRDefault="00964C16" w:rsidP="00002EC5">
      <w:pPr>
        <w:pStyle w:val="Heading1"/>
      </w:pPr>
      <w:r w:rsidRPr="00002EC5">
        <w:lastRenderedPageBreak/>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0"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E11E69">
            <w:pPr>
              <w:pStyle w:val="CRCoverPage"/>
              <w:numPr>
                <w:ilvl w:val="0"/>
                <w:numId w:val="76"/>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E11E69">
            <w:pPr>
              <w:pStyle w:val="CRCoverPage"/>
              <w:numPr>
                <w:ilvl w:val="0"/>
                <w:numId w:val="76"/>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E11E69">
            <w:pPr>
              <w:pStyle w:val="CRCoverPage"/>
              <w:numPr>
                <w:ilvl w:val="0"/>
                <w:numId w:val="76"/>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8B272E">
      <w:pPr>
        <w:pStyle w:val="ListParagraph"/>
        <w:numPr>
          <w:ilvl w:val="0"/>
          <w:numId w:val="77"/>
        </w:numPr>
        <w:jc w:val="both"/>
        <w:rPr>
          <w:b/>
          <w:bCs/>
          <w:sz w:val="22"/>
          <w:szCs w:val="22"/>
          <w:lang w:eastAsia="zh-CN"/>
        </w:rPr>
      </w:pPr>
      <w:r>
        <w:rPr>
          <w:b/>
          <w:bCs/>
          <w:sz w:val="22"/>
          <w:szCs w:val="22"/>
          <w:lang w:eastAsia="zh-CN"/>
        </w:rPr>
        <w:t xml:space="preserve">On the 1. and 2. reason for change, the moderator agrees with the intention – that clarification here on the meaning of the bit could be </w:t>
      </w:r>
      <w:proofErr w:type="gramStart"/>
      <w:r>
        <w:rPr>
          <w:b/>
          <w:bCs/>
          <w:sz w:val="22"/>
          <w:szCs w:val="22"/>
          <w:lang w:eastAsia="zh-CN"/>
        </w:rPr>
        <w:t>useful</w:t>
      </w:r>
      <w:proofErr w:type="gramEnd"/>
    </w:p>
    <w:p w14:paraId="78BFECE1" w14:textId="29B0FB1A" w:rsidR="008B272E" w:rsidRPr="008B272E" w:rsidRDefault="008B272E" w:rsidP="008B272E">
      <w:pPr>
        <w:pStyle w:val="ListParagraph"/>
        <w:numPr>
          <w:ilvl w:val="0"/>
          <w:numId w:val="77"/>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proofErr w:type="gramStart"/>
      <w:r w:rsidR="006A7575">
        <w:rPr>
          <w:b/>
          <w:bCs/>
          <w:sz w:val="22"/>
          <w:szCs w:val="22"/>
          <w:lang w:eastAsia="zh-CN"/>
        </w:rPr>
        <w:t>)</w:t>
      </w:r>
      <w:r>
        <w:rPr>
          <w:b/>
          <w:bCs/>
          <w:sz w:val="22"/>
          <w:szCs w:val="22"/>
          <w:lang w:eastAsia="zh-CN"/>
        </w:rPr>
        <w:t>, or</w:t>
      </w:r>
      <w:proofErr w:type="gramEnd"/>
      <w:r>
        <w:rPr>
          <w:b/>
          <w:bCs/>
          <w:sz w:val="22"/>
          <w:szCs w:val="22"/>
          <w:lang w:eastAsia="zh-CN"/>
        </w:rPr>
        <w:t xml:space="preserve">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5013A2A8" w:rsidR="009465CC" w:rsidRPr="002D3BF0" w:rsidRDefault="00E32A42" w:rsidP="00497B27">
            <w:pPr>
              <w:spacing w:beforeLines="50" w:before="120" w:after="0"/>
              <w:rPr>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F18D968" w:rsidR="009465CC" w:rsidRPr="00C2752F" w:rsidRDefault="00E32A42" w:rsidP="00497B27">
            <w:pPr>
              <w:spacing w:beforeLines="50" w:before="120" w:after="0"/>
              <w:rPr>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lastRenderedPageBreak/>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77777777" w:rsidR="000A593E" w:rsidRPr="002D6399" w:rsidRDefault="000A593E" w:rsidP="000A593E">
            <w:pPr>
              <w:spacing w:beforeLines="50" w:before="120" w:after="0"/>
              <w:rPr>
                <w:iCs/>
                <w:kern w:val="2"/>
                <w:lang w:eastAsia="zh-CN"/>
              </w:rPr>
            </w:pPr>
          </w:p>
        </w:tc>
        <w:tc>
          <w:tcPr>
            <w:tcW w:w="8105" w:type="dxa"/>
          </w:tcPr>
          <w:p w14:paraId="456688B0" w14:textId="77777777" w:rsidR="000A593E" w:rsidRPr="002D6399" w:rsidRDefault="000A593E" w:rsidP="000A593E">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221019">
      <w:pPr>
        <w:pStyle w:val="Heading1"/>
        <w:numPr>
          <w:ilvl w:val="0"/>
          <w:numId w:val="3"/>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CA388A">
      <w:pPr>
        <w:pStyle w:val="ListParagraph"/>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1"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BA18DB">
            <w:pPr>
              <w:pStyle w:val="ListParagraph"/>
              <w:numPr>
                <w:ilvl w:val="0"/>
                <w:numId w:val="78"/>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BA18DB">
            <w:pPr>
              <w:pStyle w:val="ListParagraph"/>
              <w:numPr>
                <w:ilvl w:val="0"/>
                <w:numId w:val="78"/>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BA18DB">
            <w:pPr>
              <w:pStyle w:val="ListParagraph"/>
              <w:numPr>
                <w:ilvl w:val="0"/>
                <w:numId w:val="78"/>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ko-KR"/>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lastRenderedPageBreak/>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 xml:space="preserve">CBG based Type 3/eType3 HARQ-ACK codebook including inter PHY priorities HARQ-ACK </w:t>
            </w:r>
            <w:proofErr w:type="gramStart"/>
            <w:r>
              <w:rPr>
                <w:b/>
                <w:bCs/>
              </w:rPr>
              <w:t>processes</w:t>
            </w:r>
            <w:bookmarkEnd w:id="32"/>
            <w:proofErr w:type="gramEnd"/>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BA18DB">
            <w:pPr>
              <w:pStyle w:val="ListParagraph"/>
              <w:numPr>
                <w:ilvl w:val="0"/>
                <w:numId w:val="79"/>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BA18DB">
            <w:pPr>
              <w:pStyle w:val="ListParagraph"/>
              <w:numPr>
                <w:ilvl w:val="0"/>
                <w:numId w:val="79"/>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BA18DB">
            <w:pPr>
              <w:pStyle w:val="ListParagraph"/>
              <w:numPr>
                <w:ilvl w:val="1"/>
                <w:numId w:val="79"/>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BA18DB">
            <w:pPr>
              <w:pStyle w:val="ListParagraph"/>
              <w:numPr>
                <w:ilvl w:val="0"/>
                <w:numId w:val="79"/>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w:t>
      </w:r>
      <w:proofErr w:type="gramStart"/>
      <w:r>
        <w:rPr>
          <w:b/>
          <w:bCs/>
          <w:sz w:val="22"/>
          <w:szCs w:val="22"/>
          <w:lang w:eastAsia="zh-CN"/>
        </w:rPr>
        <w:t>valid</w:t>
      </w:r>
      <w:proofErr w:type="gramEnd"/>
      <w:r>
        <w:rPr>
          <w:b/>
          <w:bCs/>
          <w:sz w:val="22"/>
          <w:szCs w:val="22"/>
          <w:lang w:eastAsia="zh-CN"/>
        </w:rPr>
        <w:t xml:space="preserve">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1AC85620" w:rsidR="00BA18DB" w:rsidRPr="00C2752F" w:rsidRDefault="0009660F" w:rsidP="00497B27">
            <w:pPr>
              <w:spacing w:beforeLines="50" w:before="120" w:after="0"/>
              <w:rPr>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43B657DA"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ADA572F" w:rsidR="00BA18DB" w:rsidRPr="00C2752F" w:rsidRDefault="0009660F" w:rsidP="00497B27">
            <w:pPr>
              <w:spacing w:beforeLines="50" w:before="120" w:after="0"/>
              <w:rPr>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lastRenderedPageBreak/>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34562F">
      <w:pPr>
        <w:pStyle w:val="Heading1"/>
        <w:numPr>
          <w:ilvl w:val="0"/>
          <w:numId w:val="3"/>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34562F">
      <w:pPr>
        <w:pStyle w:val="ListParagraph"/>
        <w:keepNext/>
        <w:keepLines/>
        <w:numPr>
          <w:ilvl w:val="1"/>
          <w:numId w:val="8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w:t>
            </w:r>
            <w:proofErr w:type="gramStart"/>
            <w:r>
              <w:rPr>
                <w:lang w:val="en-US"/>
              </w:rPr>
              <w:t>13-10, and</w:t>
            </w:r>
            <w:proofErr w:type="gramEnd"/>
            <w:r>
              <w:rPr>
                <w:lang w:val="en-US"/>
              </w:rPr>
              <w:t xml:space="preserve">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34562F">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w:t>
      </w:r>
      <w:proofErr w:type="gramStart"/>
      <w:r>
        <w:rPr>
          <w:b/>
          <w:bCs/>
          <w:sz w:val="22"/>
          <w:szCs w:val="22"/>
          <w:lang w:eastAsia="zh-CN"/>
        </w:rPr>
        <w:t>), or</w:t>
      </w:r>
      <w:proofErr w:type="gramEnd"/>
      <w:r>
        <w:rPr>
          <w:b/>
          <w:bCs/>
          <w:sz w:val="22"/>
          <w:szCs w:val="22"/>
          <w:lang w:eastAsia="zh-CN"/>
        </w:rPr>
        <w:t xml:space="preserve">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34562F">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03A306E7" w:rsidR="0034562F" w:rsidRPr="002D3BF0" w:rsidRDefault="00260D50" w:rsidP="00497B27">
            <w:pPr>
              <w:spacing w:beforeLines="50" w:before="120" w:after="0"/>
              <w:rPr>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B3788B3" w:rsidR="0034562F" w:rsidRPr="002D3BF0" w:rsidRDefault="00260D50" w:rsidP="00497B27">
            <w:pPr>
              <w:spacing w:beforeLines="50" w:before="120" w:after="0"/>
              <w:rPr>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0D8C" w14:textId="77777777" w:rsidR="002E6448" w:rsidRDefault="002E6448">
      <w:r>
        <w:separator/>
      </w:r>
    </w:p>
  </w:endnote>
  <w:endnote w:type="continuationSeparator" w:id="0">
    <w:p w14:paraId="225A211F" w14:textId="77777777" w:rsidR="002E6448" w:rsidRDefault="002E6448">
      <w:r>
        <w:continuationSeparator/>
      </w:r>
    </w:p>
  </w:endnote>
  <w:endnote w:type="continuationNotice" w:id="1">
    <w:p w14:paraId="271414E9" w14:textId="77777777" w:rsidR="002E6448" w:rsidRDefault="002E64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1C473B" w:rsidRDefault="001C473B">
        <w:pPr>
          <w:pStyle w:val="Footer"/>
        </w:pPr>
        <w:r>
          <w:fldChar w:fldCharType="begin"/>
        </w:r>
        <w:r>
          <w:instrText>PAGE   \* MERGEFORMAT</w:instrText>
        </w:r>
        <w:r>
          <w:fldChar w:fldCharType="separate"/>
        </w:r>
        <w:r w:rsidRPr="008944D3">
          <w:rPr>
            <w:lang w:val="zh-CN" w:eastAsia="zh-CN"/>
          </w:rPr>
          <w:t>13</w:t>
        </w:r>
        <w:r>
          <w:fldChar w:fldCharType="end"/>
        </w:r>
      </w:p>
    </w:sdtContent>
  </w:sdt>
  <w:p w14:paraId="00A820FC" w14:textId="77777777" w:rsidR="001C473B" w:rsidRDefault="001C473B">
    <w:pPr>
      <w:pStyle w:val="Footer"/>
    </w:pPr>
  </w:p>
  <w:p w14:paraId="4A48D3F3" w14:textId="77777777" w:rsidR="001C473B" w:rsidRDefault="001C473B"/>
  <w:p w14:paraId="46E31D82" w14:textId="77777777" w:rsidR="001C473B" w:rsidRDefault="001C4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4D44" w14:textId="77777777" w:rsidR="002E6448" w:rsidRDefault="002E6448">
      <w:r>
        <w:separator/>
      </w:r>
    </w:p>
  </w:footnote>
  <w:footnote w:type="continuationSeparator" w:id="0">
    <w:p w14:paraId="34BCD1EB" w14:textId="77777777" w:rsidR="002E6448" w:rsidRDefault="002E6448">
      <w:r>
        <w:continuationSeparator/>
      </w:r>
    </w:p>
  </w:footnote>
  <w:footnote w:type="continuationNotice" w:id="1">
    <w:p w14:paraId="599026F4" w14:textId="77777777" w:rsidR="002E6448" w:rsidRDefault="002E64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C473B" w:rsidRDefault="001C473B">
    <w:pPr>
      <w:pStyle w:val="Header"/>
      <w:tabs>
        <w:tab w:val="right" w:pos="9639"/>
      </w:tabs>
    </w:pPr>
    <w:r>
      <w:tab/>
    </w:r>
  </w:p>
  <w:p w14:paraId="246D48EC" w14:textId="77777777" w:rsidR="001C473B" w:rsidRDefault="001C473B"/>
  <w:p w14:paraId="4F6F578E" w14:textId="77777777" w:rsidR="001C473B" w:rsidRDefault="001C47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2AD27D5"/>
    <w:multiLevelType w:val="hybridMultilevel"/>
    <w:tmpl w:val="909C4FDE"/>
    <w:lvl w:ilvl="0" w:tplc="6312453C">
      <w:start w:val="1"/>
      <w:numFmt w:val="bullet"/>
      <w:lvlText w:val="•"/>
      <w:lvlJc w:val="left"/>
      <w:pPr>
        <w:tabs>
          <w:tab w:val="num" w:pos="720"/>
        </w:tabs>
        <w:ind w:left="720" w:hanging="360"/>
      </w:pPr>
      <w:rPr>
        <w:rFonts w:ascii="Arial" w:hAnsi="Arial" w:hint="default"/>
      </w:rPr>
    </w:lvl>
    <w:lvl w:ilvl="1" w:tplc="9440C9B4">
      <w:start w:val="1"/>
      <w:numFmt w:val="bullet"/>
      <w:lvlText w:val="•"/>
      <w:lvlJc w:val="left"/>
      <w:pPr>
        <w:tabs>
          <w:tab w:val="num" w:pos="1440"/>
        </w:tabs>
        <w:ind w:left="1440" w:hanging="360"/>
      </w:pPr>
      <w:rPr>
        <w:rFonts w:ascii="Arial" w:hAnsi="Arial" w:hint="default"/>
      </w:rPr>
    </w:lvl>
    <w:lvl w:ilvl="2" w:tplc="BD7A94E6" w:tentative="1">
      <w:start w:val="1"/>
      <w:numFmt w:val="bullet"/>
      <w:lvlText w:val="•"/>
      <w:lvlJc w:val="left"/>
      <w:pPr>
        <w:tabs>
          <w:tab w:val="num" w:pos="2160"/>
        </w:tabs>
        <w:ind w:left="2160" w:hanging="360"/>
      </w:pPr>
      <w:rPr>
        <w:rFonts w:ascii="Arial" w:hAnsi="Arial" w:hint="default"/>
      </w:rPr>
    </w:lvl>
    <w:lvl w:ilvl="3" w:tplc="A54CF0A4" w:tentative="1">
      <w:start w:val="1"/>
      <w:numFmt w:val="bullet"/>
      <w:lvlText w:val="•"/>
      <w:lvlJc w:val="left"/>
      <w:pPr>
        <w:tabs>
          <w:tab w:val="num" w:pos="2880"/>
        </w:tabs>
        <w:ind w:left="2880" w:hanging="360"/>
      </w:pPr>
      <w:rPr>
        <w:rFonts w:ascii="Arial" w:hAnsi="Arial" w:hint="default"/>
      </w:rPr>
    </w:lvl>
    <w:lvl w:ilvl="4" w:tplc="62748DEA" w:tentative="1">
      <w:start w:val="1"/>
      <w:numFmt w:val="bullet"/>
      <w:lvlText w:val="•"/>
      <w:lvlJc w:val="left"/>
      <w:pPr>
        <w:tabs>
          <w:tab w:val="num" w:pos="3600"/>
        </w:tabs>
        <w:ind w:left="3600" w:hanging="360"/>
      </w:pPr>
      <w:rPr>
        <w:rFonts w:ascii="Arial" w:hAnsi="Arial" w:hint="default"/>
      </w:rPr>
    </w:lvl>
    <w:lvl w:ilvl="5" w:tplc="C18C8C3A" w:tentative="1">
      <w:start w:val="1"/>
      <w:numFmt w:val="bullet"/>
      <w:lvlText w:val="•"/>
      <w:lvlJc w:val="left"/>
      <w:pPr>
        <w:tabs>
          <w:tab w:val="num" w:pos="4320"/>
        </w:tabs>
        <w:ind w:left="4320" w:hanging="360"/>
      </w:pPr>
      <w:rPr>
        <w:rFonts w:ascii="Arial" w:hAnsi="Arial" w:hint="default"/>
      </w:rPr>
    </w:lvl>
    <w:lvl w:ilvl="6" w:tplc="2E9A1442" w:tentative="1">
      <w:start w:val="1"/>
      <w:numFmt w:val="bullet"/>
      <w:lvlText w:val="•"/>
      <w:lvlJc w:val="left"/>
      <w:pPr>
        <w:tabs>
          <w:tab w:val="num" w:pos="5040"/>
        </w:tabs>
        <w:ind w:left="5040" w:hanging="360"/>
      </w:pPr>
      <w:rPr>
        <w:rFonts w:ascii="Arial" w:hAnsi="Arial" w:hint="default"/>
      </w:rPr>
    </w:lvl>
    <w:lvl w:ilvl="7" w:tplc="A0F096D8" w:tentative="1">
      <w:start w:val="1"/>
      <w:numFmt w:val="bullet"/>
      <w:lvlText w:val="•"/>
      <w:lvlJc w:val="left"/>
      <w:pPr>
        <w:tabs>
          <w:tab w:val="num" w:pos="5760"/>
        </w:tabs>
        <w:ind w:left="5760" w:hanging="360"/>
      </w:pPr>
      <w:rPr>
        <w:rFonts w:ascii="Arial" w:hAnsi="Arial" w:hint="default"/>
      </w:rPr>
    </w:lvl>
    <w:lvl w:ilvl="8" w:tplc="86CE36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2"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6"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26977839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222288">
    <w:abstractNumId w:val="8"/>
  </w:num>
  <w:num w:numId="3" w16cid:durableId="930430963">
    <w:abstractNumId w:val="10"/>
  </w:num>
  <w:num w:numId="4" w16cid:durableId="1124351226">
    <w:abstractNumId w:val="64"/>
  </w:num>
  <w:num w:numId="5" w16cid:durableId="143474110">
    <w:abstractNumId w:val="28"/>
  </w:num>
  <w:num w:numId="6" w16cid:durableId="1967735222">
    <w:abstractNumId w:val="6"/>
  </w:num>
  <w:num w:numId="7" w16cid:durableId="1367485012">
    <w:abstractNumId w:val="43"/>
  </w:num>
  <w:num w:numId="8" w16cid:durableId="1834368484">
    <w:abstractNumId w:val="65"/>
  </w:num>
  <w:num w:numId="9" w16cid:durableId="806820526">
    <w:abstractNumId w:val="45"/>
  </w:num>
  <w:num w:numId="10" w16cid:durableId="1468932015">
    <w:abstractNumId w:val="40"/>
  </w:num>
  <w:num w:numId="11" w16cid:durableId="10231362">
    <w:abstractNumId w:val="7"/>
  </w:num>
  <w:num w:numId="12" w16cid:durableId="76442965">
    <w:abstractNumId w:val="60"/>
  </w:num>
  <w:num w:numId="13" w16cid:durableId="1397047642">
    <w:abstractNumId w:val="35"/>
  </w:num>
  <w:num w:numId="14" w16cid:durableId="1524248089">
    <w:abstractNumId w:val="48"/>
  </w:num>
  <w:num w:numId="15" w16cid:durableId="1149638178">
    <w:abstractNumId w:val="41"/>
  </w:num>
  <w:num w:numId="16" w16cid:durableId="2135825198">
    <w:abstractNumId w:val="22"/>
  </w:num>
  <w:num w:numId="17" w16cid:durableId="522323720">
    <w:abstractNumId w:val="3"/>
  </w:num>
  <w:num w:numId="18" w16cid:durableId="321929461">
    <w:abstractNumId w:val="59"/>
  </w:num>
  <w:num w:numId="19" w16cid:durableId="1324698992">
    <w:abstractNumId w:val="2"/>
  </w:num>
  <w:num w:numId="20" w16cid:durableId="811756773">
    <w:abstractNumId w:val="46"/>
  </w:num>
  <w:num w:numId="21" w16cid:durableId="223638767">
    <w:abstractNumId w:val="47"/>
  </w:num>
  <w:num w:numId="22" w16cid:durableId="858158909">
    <w:abstractNumId w:val="62"/>
  </w:num>
  <w:num w:numId="23" w16cid:durableId="230387069">
    <w:abstractNumId w:val="23"/>
  </w:num>
  <w:num w:numId="24" w16cid:durableId="519702237">
    <w:abstractNumId w:val="39"/>
  </w:num>
  <w:num w:numId="25" w16cid:durableId="583075510">
    <w:abstractNumId w:val="25"/>
  </w:num>
  <w:num w:numId="26" w16cid:durableId="440343388">
    <w:abstractNumId w:val="21"/>
  </w:num>
  <w:num w:numId="27" w16cid:durableId="2057389129">
    <w:abstractNumId w:val="20"/>
  </w:num>
  <w:num w:numId="28" w16cid:durableId="1270355912">
    <w:abstractNumId w:val="55"/>
  </w:num>
  <w:num w:numId="29" w16cid:durableId="1939214467">
    <w:abstractNumId w:val="57"/>
  </w:num>
  <w:num w:numId="30" w16cid:durableId="923998398">
    <w:abstractNumId w:val="5"/>
  </w:num>
  <w:num w:numId="31" w16cid:durableId="1171408230">
    <w:abstractNumId w:val="34"/>
  </w:num>
  <w:num w:numId="32" w16cid:durableId="248588014">
    <w:abstractNumId w:val="51"/>
  </w:num>
  <w:num w:numId="33" w16cid:durableId="2127893745">
    <w:abstractNumId w:val="44"/>
  </w:num>
  <w:num w:numId="34" w16cid:durableId="11008368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3044467">
    <w:abstractNumId w:val="53"/>
  </w:num>
  <w:num w:numId="36" w16cid:durableId="1400326208">
    <w:abstractNumId w:val="9"/>
  </w:num>
  <w:num w:numId="37" w16cid:durableId="770129774">
    <w:abstractNumId w:val="49"/>
  </w:num>
  <w:num w:numId="38" w16cid:durableId="1112358801">
    <w:abstractNumId w:val="16"/>
  </w:num>
  <w:num w:numId="39" w16cid:durableId="790585722">
    <w:abstractNumId w:val="33"/>
  </w:num>
  <w:num w:numId="40" w16cid:durableId="839153435">
    <w:abstractNumId w:val="4"/>
  </w:num>
  <w:num w:numId="41" w16cid:durableId="515772677">
    <w:abstractNumId w:val="0"/>
  </w:num>
  <w:num w:numId="42" w16cid:durableId="1948735278">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539342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1012958">
    <w:abstractNumId w:val="27"/>
  </w:num>
  <w:num w:numId="45" w16cid:durableId="2023436375">
    <w:abstractNumId w:val="10"/>
  </w:num>
  <w:num w:numId="46" w16cid:durableId="1239293373">
    <w:abstractNumId w:val="10"/>
  </w:num>
  <w:num w:numId="47" w16cid:durableId="108024760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5639894">
    <w:abstractNumId w:val="10"/>
  </w:num>
  <w:num w:numId="49" w16cid:durableId="2039039570">
    <w:abstractNumId w:val="10"/>
  </w:num>
  <w:num w:numId="50" w16cid:durableId="1457718451">
    <w:abstractNumId w:val="10"/>
  </w:num>
  <w:num w:numId="51" w16cid:durableId="190934275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316168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5173638">
    <w:abstractNumId w:val="10"/>
  </w:num>
  <w:num w:numId="54" w16cid:durableId="2133132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357923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9147050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0850504">
    <w:abstractNumId w:val="18"/>
  </w:num>
  <w:num w:numId="58" w16cid:durableId="990793569">
    <w:abstractNumId w:val="61"/>
  </w:num>
  <w:num w:numId="59" w16cid:durableId="2129275866">
    <w:abstractNumId w:val="32"/>
  </w:num>
  <w:num w:numId="60" w16cid:durableId="360517962">
    <w:abstractNumId w:val="12"/>
  </w:num>
  <w:num w:numId="61" w16cid:durableId="1479180055">
    <w:abstractNumId w:val="14"/>
  </w:num>
  <w:num w:numId="62" w16cid:durableId="1915433719">
    <w:abstractNumId w:val="24"/>
  </w:num>
  <w:num w:numId="63" w16cid:durableId="250892371">
    <w:abstractNumId w:val="0"/>
  </w:num>
  <w:num w:numId="64" w16cid:durableId="1887641241">
    <w:abstractNumId w:val="15"/>
  </w:num>
  <w:num w:numId="65" w16cid:durableId="248462676">
    <w:abstractNumId w:val="37"/>
  </w:num>
  <w:num w:numId="66" w16cid:durableId="907769022">
    <w:abstractNumId w:val="1"/>
  </w:num>
  <w:num w:numId="67" w16cid:durableId="1262688707">
    <w:abstractNumId w:val="52"/>
  </w:num>
  <w:num w:numId="68" w16cid:durableId="1021588846">
    <w:abstractNumId w:val="26"/>
  </w:num>
  <w:num w:numId="69" w16cid:durableId="1360470779">
    <w:abstractNumId w:val="29"/>
  </w:num>
  <w:num w:numId="70" w16cid:durableId="956564749">
    <w:abstractNumId w:val="36"/>
  </w:num>
  <w:num w:numId="71" w16cid:durableId="1237672154">
    <w:abstractNumId w:val="54"/>
  </w:num>
  <w:num w:numId="72" w16cid:durableId="890651602">
    <w:abstractNumId w:val="42"/>
  </w:num>
  <w:num w:numId="73" w16cid:durableId="533077072">
    <w:abstractNumId w:val="31"/>
  </w:num>
  <w:num w:numId="74" w16cid:durableId="1686712743">
    <w:abstractNumId w:val="38"/>
  </w:num>
  <w:num w:numId="75" w16cid:durableId="574901430">
    <w:abstractNumId w:val="58"/>
  </w:num>
  <w:num w:numId="76" w16cid:durableId="1575511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54576268">
    <w:abstractNumId w:val="50"/>
  </w:num>
  <w:num w:numId="78" w16cid:durableId="1890417701">
    <w:abstractNumId w:val="63"/>
  </w:num>
  <w:num w:numId="79" w16cid:durableId="2086687401">
    <w:abstractNumId w:val="56"/>
  </w:num>
  <w:num w:numId="80" w16cid:durableId="88232642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4171847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97488184">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Docs/R1-23035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6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4132F-3518-47DD-9043-A688B9DA197D}">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14</Pages>
  <Words>4411</Words>
  <Characters>25146</Characters>
  <Application>Microsoft Office Word</Application>
  <DocSecurity>0</DocSecurity>
  <Lines>209</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29499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Panteleev, Sergey</cp:lastModifiedBy>
  <cp:revision>2</cp:revision>
  <cp:lastPrinted>1901-01-02T03:00:00Z</cp:lastPrinted>
  <dcterms:created xsi:type="dcterms:W3CDTF">2023-04-17T21:34:00Z</dcterms:created>
  <dcterms:modified xsi:type="dcterms:W3CDTF">2023-04-17T21:34:00Z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