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42CCEA0" w:rsidR="00FE7EC6" w:rsidRPr="008F7694" w:rsidRDefault="00FE7EC6" w:rsidP="00FE7EC6">
      <w:pPr>
        <w:pStyle w:val="Header"/>
        <w:widowControl w:val="0"/>
        <w:jc w:val="left"/>
        <w:rPr>
          <w:rFonts w:ascii="Arial" w:hAnsi="Arial" w:cs="Arial"/>
          <w:b/>
          <w:bCs/>
          <w:lang w:val="de-DE" w:eastAsia="zh-CN"/>
        </w:rPr>
      </w:pPr>
      <w:r w:rsidRPr="008F7694">
        <w:rPr>
          <w:rFonts w:ascii="Arial" w:hAnsi="Arial" w:cs="Arial"/>
          <w:b/>
          <w:bCs/>
          <w:lang w:val="de-DE"/>
        </w:rPr>
        <w:t>3GPP TSG RAN WG1 #1</w:t>
      </w:r>
      <w:r w:rsidR="00BB5983" w:rsidRPr="008F7694">
        <w:rPr>
          <w:rFonts w:ascii="Arial" w:hAnsi="Arial" w:cs="Arial"/>
          <w:b/>
          <w:bCs/>
          <w:lang w:val="de-DE"/>
        </w:rPr>
        <w:t>1</w:t>
      </w:r>
      <w:r w:rsidRPr="008F7694">
        <w:rPr>
          <w:rFonts w:ascii="Arial" w:hAnsi="Arial" w:cs="Arial"/>
          <w:b/>
          <w:bCs/>
          <w:lang w:val="de-DE"/>
        </w:rPr>
        <w:t>0</w:t>
      </w:r>
      <w:r w:rsidR="00027C50" w:rsidRPr="008F7694">
        <w:rPr>
          <w:rFonts w:ascii="Arial" w:hAnsi="Arial" w:cs="Arial"/>
          <w:b/>
          <w:bCs/>
          <w:lang w:val="de-DE"/>
        </w:rPr>
        <w:t>bis-e</w:t>
      </w:r>
      <w:r w:rsidR="00900890" w:rsidRPr="008F7694">
        <w:rPr>
          <w:rFonts w:ascii="Arial" w:hAnsi="Arial" w:cs="Arial"/>
          <w:b/>
          <w:bCs/>
          <w:lang w:val="de-DE"/>
        </w:rPr>
        <w:t xml:space="preserve">   </w:t>
      </w:r>
      <w:r w:rsidRPr="008F7694">
        <w:rPr>
          <w:rFonts w:ascii="Arial" w:hAnsi="Arial" w:cs="Arial"/>
          <w:b/>
          <w:bCs/>
          <w:lang w:val="de-DE"/>
        </w:rPr>
        <w:t xml:space="preserve">                                                          </w:t>
      </w:r>
      <w:r w:rsidR="00070BC6" w:rsidRPr="008F7694">
        <w:rPr>
          <w:rFonts w:ascii="Arial" w:hAnsi="Arial" w:cs="Arial"/>
          <w:b/>
          <w:bCs/>
          <w:lang w:val="de-DE" w:eastAsia="zh-CN"/>
        </w:rPr>
        <w:t xml:space="preserve">     </w:t>
      </w:r>
      <w:r w:rsidR="00CD482C" w:rsidRPr="008F7694">
        <w:rPr>
          <w:rFonts w:ascii="Arial" w:hAnsi="Arial" w:cs="Arial"/>
          <w:b/>
          <w:bCs/>
          <w:lang w:val="de-DE" w:eastAsia="zh-CN"/>
        </w:rPr>
        <w:t xml:space="preserve"> </w:t>
      </w:r>
      <w:r w:rsidR="00F517E4" w:rsidRPr="008F7694">
        <w:rPr>
          <w:rFonts w:ascii="Arial" w:hAnsi="Arial" w:cs="Arial"/>
          <w:b/>
          <w:bCs/>
          <w:lang w:val="de-DE" w:eastAsia="zh-CN"/>
        </w:rPr>
        <w:t xml:space="preserve">     </w:t>
      </w:r>
      <w:r w:rsidR="00027C50" w:rsidRPr="008F7694">
        <w:rPr>
          <w:rFonts w:ascii="Arial" w:hAnsi="Arial" w:cs="Arial"/>
          <w:b/>
          <w:bCs/>
          <w:lang w:val="de-DE" w:eastAsia="zh-CN"/>
        </w:rPr>
        <w:t xml:space="preserve">     </w:t>
      </w:r>
      <w:r w:rsidR="00523C2E" w:rsidRPr="008F7694">
        <w:rPr>
          <w:rFonts w:ascii="Arial" w:hAnsi="Arial" w:cs="Arial"/>
          <w:b/>
          <w:bCs/>
          <w:lang w:val="de-DE" w:eastAsia="zh-CN"/>
        </w:rPr>
        <w:t>R1-</w:t>
      </w:r>
      <w:r w:rsidR="00027C50" w:rsidRPr="008F7694">
        <w:rPr>
          <w:rFonts w:ascii="Arial" w:hAnsi="Arial" w:cs="Arial"/>
          <w:b/>
          <w:bCs/>
          <w:lang w:val="de-DE" w:eastAsia="zh-CN"/>
        </w:rPr>
        <w:t>220</w:t>
      </w:r>
      <w:r w:rsidR="0082756E">
        <w:rPr>
          <w:rFonts w:ascii="Arial" w:hAnsi="Arial" w:cs="Arial"/>
          <w:b/>
          <w:bCs/>
          <w:lang w:val="de-DE" w:eastAsia="zh-CN"/>
        </w:rPr>
        <w:t>9666</w:t>
      </w:r>
    </w:p>
    <w:p w14:paraId="2501BD26" w14:textId="7B7F31E9"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509ED60"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w:t>
      </w:r>
      <w:r w:rsidR="008F7694">
        <w:rPr>
          <w:rFonts w:ascii="Arial" w:hAnsi="Arial" w:cs="Arial"/>
          <w:b/>
          <w:bCs/>
          <w:szCs w:val="20"/>
          <w:lang w:val="en-GB"/>
        </w:rPr>
        <w:t>13</w:t>
      </w:r>
      <w:r w:rsidR="00444568" w:rsidRPr="00444568">
        <w:rPr>
          <w:rFonts w:ascii="Arial" w:hAnsi="Arial" w:cs="Arial"/>
          <w:b/>
          <w:bCs/>
          <w:szCs w:val="20"/>
          <w:lang w:val="en-GB"/>
        </w:rPr>
        <w:t>.</w:t>
      </w:r>
      <w:r w:rsidR="00B40C5D">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D1528C1"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F7694">
        <w:rPr>
          <w:rFonts w:ascii="Arial" w:hAnsi="Arial" w:cs="Arial"/>
          <w:b/>
          <w:bCs/>
          <w:szCs w:val="20"/>
          <w:lang w:val="en-GB"/>
        </w:rPr>
        <w:t xml:space="preserve">Discussion on the </w:t>
      </w:r>
      <w:r w:rsidR="007C626A">
        <w:rPr>
          <w:rFonts w:ascii="Arial" w:hAnsi="Arial" w:cs="Arial"/>
          <w:b/>
          <w:bCs/>
          <w:szCs w:val="20"/>
          <w:lang w:val="en-GB"/>
        </w:rPr>
        <w:t>receiver architecture</w:t>
      </w:r>
      <w:r w:rsidR="008F7694">
        <w:rPr>
          <w:rFonts w:ascii="Arial" w:hAnsi="Arial" w:cs="Arial"/>
          <w:b/>
          <w:bCs/>
          <w:szCs w:val="20"/>
          <w:lang w:val="en-GB"/>
        </w:rPr>
        <w:t xml:space="preserve"> for low power WUS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1" w:name="_Ref124589705"/>
      <w:bookmarkStart w:id="2" w:name="_Ref129681862"/>
      <w:r w:rsidRPr="003F03CF">
        <w:rPr>
          <w:rFonts w:ascii="Arial" w:hAnsi="Arial" w:cs="Arial"/>
          <w:sz w:val="36"/>
          <w:szCs w:val="36"/>
          <w:lang w:eastAsia="zh-CN"/>
        </w:rPr>
        <w:t>Introduction</w:t>
      </w:r>
      <w:bookmarkEnd w:id="1"/>
      <w:bookmarkEnd w:id="2"/>
    </w:p>
    <w:p w14:paraId="6DDE6259" w14:textId="08157CF5" w:rsidR="003E3A96" w:rsidRPr="003E3A96" w:rsidRDefault="007C626A" w:rsidP="003E3A96">
      <w:pPr>
        <w:ind w:right="-99"/>
        <w:rPr>
          <w:lang w:eastAsia="ja-JP"/>
        </w:rPr>
      </w:pPr>
      <w:r w:rsidRPr="002E1629">
        <w:rPr>
          <w:rFonts w:ascii="Times New Roman" w:hAnsi="Times New Roman" w:cs="Times New Roman"/>
          <w:noProof/>
          <w:highlight w:val="yellow"/>
          <w:lang w:eastAsia="ja-JP"/>
        </w:rPr>
        <mc:AlternateContent>
          <mc:Choice Requires="wps">
            <w:drawing>
              <wp:anchor distT="0" distB="0" distL="114300" distR="114300" simplePos="0" relativeHeight="251659264" behindDoc="1" locked="0" layoutInCell="1" allowOverlap="1" wp14:anchorId="69EE4CE6" wp14:editId="5BA684B1">
                <wp:simplePos x="0" y="0"/>
                <wp:positionH relativeFrom="column">
                  <wp:posOffset>68580</wp:posOffset>
                </wp:positionH>
                <wp:positionV relativeFrom="paragraph">
                  <wp:posOffset>396875</wp:posOffset>
                </wp:positionV>
                <wp:extent cx="5857875" cy="3208020"/>
                <wp:effectExtent l="0" t="0" r="28575" b="11430"/>
                <wp:wrapNone/>
                <wp:docPr id="1" name="Rectangle 1"/>
                <wp:cNvGraphicFramePr/>
                <a:graphic xmlns:a="http://schemas.openxmlformats.org/drawingml/2006/main">
                  <a:graphicData uri="http://schemas.microsoft.com/office/word/2010/wordprocessingShape">
                    <wps:wsp>
                      <wps:cNvSpPr/>
                      <wps:spPr>
                        <a:xfrm>
                          <a:off x="0" y="0"/>
                          <a:ext cx="5857875" cy="32080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E483E3" id="Rectangle 1" o:spid="_x0000_s1026" style="position:absolute;margin-left:5.4pt;margin-top:31.25pt;width:461.25pt;height:252.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c6SQIAAOUEAAAOAAAAZHJzL2Uyb0RvYy54bWysVE2P2jAQvVfqf7B8LwkUuhQRVojVVpXQ&#10;Lipb7dk4NkR1PO7YEOiv79hAQFvUQ9WLGWfmzcfzG8b3+9qwnUJfgS14t5NzpqyEsrLrgn9/efww&#10;5MwHYUthwKqCH5Tn95P378aNG6kebMCUChklsX7UuIJvQnCjLPNyo2rhO+CUJacGrEWgK66zEkVD&#10;2WuT9fL8U9YAlg5BKu/p68PRyScpv9ZKhmetvQrMFJx6C+nEdK7imU3GYrRG4TaVPLUh/qGLWlSW&#10;irapHkQQbIvVH6nqSiJ40KEjoc5A60qqNANN083fTLPcCKfSLESOdy1N/v+llU+7pVsg0dA4P/Jk&#10;xin2Guv4S/2xfSLr0JKl9oFJ+jgYDu6GdwPOJPk+9vJh3kt0Zhe4Qx++KKhZNAqO9BqJJLGb+0Al&#10;KfQcQpdLA8kKB6NiD8Z+U5pVJZXsJXTShpoZZDtBr1r+6MZXpFwpMkJ0ZUwL6t4CmXAGnWIjTCW9&#10;tMD8FvBSrY1OFcGGFlhXFvDvYH2MP099nDWOvYLysECGcFSqd/KxIvLmwoeFQJImiZjWLTzToQ00&#10;BYeTxdkG8Net7zGeFENezhqSesH9z61AxZn5aklLn7v9ftyNdOkP7ugdGV57Vtceu61nQLx3abGd&#10;TGaMD+ZsaoT6lbZyGquSS1hJtQsuA54vs3BcQdprqabTFEb74ESY26WTMXlkNYrjZf8q0J0UFEh8&#10;T3BeCzF6I6RjbERamG4D6Cqp7MLriW/apSSY097HZb2+p6jLv9PkNwAAAP//AwBQSwMEFAAGAAgA&#10;AAAhAGYaVePeAAAACQEAAA8AAABkcnMvZG93bnJldi54bWxMj81OwzAQhO9IvIO1SNyoTaMmNMSp&#10;KgQnEBWlhx7deEki/BPZbpK+PcsJjqMZzXxTbWZr2Igh9t5JuF8IYOgar3vXSjh8vtw9AItJOa2M&#10;dyjhghE29fVVpUrtJ/eB4z61jEpcLJWELqWh5Dw2HVoVF35AR96XD1YlkqHlOqiJyq3hSyFyblXv&#10;aKFTAz512Hzvz1aC3/UXsw3r9/ENi+PrLolpzp+lvL2Zt4/AEs7pLwy/+IQONTGd/NnpyAxpQeRJ&#10;Qr5cASN/nWUZsJOEVV4UwOuK/39Q/wAAAP//AwBQSwECLQAUAAYACAAAACEAtoM4kv4AAADhAQAA&#10;EwAAAAAAAAAAAAAAAAAAAAAAW0NvbnRlbnRfVHlwZXNdLnhtbFBLAQItABQABgAIAAAAIQA4/SH/&#10;1gAAAJQBAAALAAAAAAAAAAAAAAAAAC8BAABfcmVscy8ucmVsc1BLAQItABQABgAIAAAAIQAVJRc6&#10;SQIAAOUEAAAOAAAAAAAAAAAAAAAAAC4CAABkcnMvZTJvRG9jLnhtbFBLAQItABQABgAIAAAAIQBm&#10;GlXj3gAAAAkBAAAPAAAAAAAAAAAAAAAAAKMEAABkcnMvZG93bnJldi54bWxQSwUGAAAAAAQABADz&#10;AAAArgUAAAAA&#10;" fillcolor="white [3201]" strokecolor="black [3200]" strokeweight="1pt"/>
            </w:pict>
          </mc:Fallback>
        </mc:AlternateContent>
      </w:r>
      <w:r w:rsidR="003E3A96" w:rsidRPr="002E1629">
        <w:rPr>
          <w:rFonts w:ascii="Times New Roman" w:hAnsi="Times New Roman" w:cs="Times New Roman"/>
          <w:lang w:eastAsia="ja-JP"/>
        </w:rPr>
        <w:t xml:space="preserve">The </w:t>
      </w:r>
      <w:r w:rsidR="006A0B6D" w:rsidRPr="002E1629">
        <w:rPr>
          <w:rFonts w:ascii="Times New Roman" w:hAnsi="Times New Roman" w:cs="Times New Roman"/>
          <w:lang w:eastAsia="ja-JP"/>
        </w:rPr>
        <w:t xml:space="preserve">Rel-18 </w:t>
      </w:r>
      <w:r w:rsidR="003E3A96" w:rsidRPr="002E1629">
        <w:rPr>
          <w:rFonts w:ascii="Times New Roman" w:hAnsi="Times New Roman" w:cs="Times New Roman"/>
          <w:lang w:eastAsia="ja-JP"/>
        </w:rPr>
        <w:t xml:space="preserve">study item </w:t>
      </w:r>
      <w:r w:rsidR="006A0B6D" w:rsidRPr="002E1629">
        <w:rPr>
          <w:rFonts w:ascii="Times New Roman" w:hAnsi="Times New Roman" w:cs="Times New Roman"/>
          <w:lang w:eastAsia="ja-JP"/>
        </w:rPr>
        <w:t xml:space="preserve">on low power wake up signal was agreed upon during the RAN#94-e and revised in RAN#97-e, where </w:t>
      </w:r>
      <w:r w:rsidR="003E3A96" w:rsidRPr="002E1629">
        <w:rPr>
          <w:rFonts w:ascii="Times New Roman" w:hAnsi="Times New Roman" w:cs="Times New Roman"/>
          <w:lang w:eastAsia="ja-JP"/>
        </w:rPr>
        <w:t xml:space="preserve">following </w:t>
      </w:r>
      <w:r w:rsidR="006A0B6D" w:rsidRPr="002E1629">
        <w:rPr>
          <w:rFonts w:ascii="Times New Roman" w:hAnsi="Times New Roman" w:cs="Times New Roman"/>
          <w:lang w:eastAsia="ja-JP"/>
        </w:rPr>
        <w:t xml:space="preserve">high-lighted SID </w:t>
      </w:r>
      <w:r w:rsidR="003E3A96" w:rsidRPr="002E1629">
        <w:rPr>
          <w:rFonts w:ascii="Times New Roman" w:hAnsi="Times New Roman" w:cs="Times New Roman"/>
          <w:lang w:eastAsia="ja-JP"/>
        </w:rPr>
        <w:t>objective</w:t>
      </w:r>
      <w:r w:rsidR="006A0B6D" w:rsidRPr="002E1629">
        <w:rPr>
          <w:rFonts w:ascii="Times New Roman" w:hAnsi="Times New Roman" w:cs="Times New Roman"/>
          <w:lang w:eastAsia="ja-JP"/>
        </w:rPr>
        <w:t>s were outlined to support the discussion</w:t>
      </w:r>
      <w:r w:rsidR="006A0B6D">
        <w:rPr>
          <w:lang w:eastAsia="ja-JP"/>
        </w:rPr>
        <w:t>:</w:t>
      </w:r>
    </w:p>
    <w:p w14:paraId="076FE3E0" w14:textId="27485C91"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7C626A">
        <w:rPr>
          <w:lang w:eastAsia="ja-JP"/>
        </w:rPr>
        <w:t xml:space="preserve">Identify </w:t>
      </w:r>
      <w:r w:rsidRPr="007C626A">
        <w:rPr>
          <w:rFonts w:hint="eastAsia"/>
          <w:lang w:eastAsia="ja-JP"/>
        </w:rPr>
        <w:t>evaluation methodology</w:t>
      </w:r>
      <w:r w:rsidRPr="007C626A">
        <w:rPr>
          <w:lang w:eastAsia="ja-JP"/>
        </w:rPr>
        <w:t xml:space="preserve"> (including the use cases)</w:t>
      </w:r>
      <w:r w:rsidRPr="007C626A">
        <w:rPr>
          <w:rFonts w:hint="eastAsia"/>
          <w:lang w:eastAsia="ja-JP"/>
        </w:rPr>
        <w:t xml:space="preserve"> &amp; KPIs [RAN1]</w:t>
      </w:r>
    </w:p>
    <w:p w14:paraId="6A85BF72" w14:textId="77777777" w:rsidR="003E3A96" w:rsidRPr="007C626A"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rsidRPr="007C626A">
        <w:rPr>
          <w:lang w:eastAsia="ja-JP"/>
        </w:rPr>
        <w:t>Primarily target low-power WUS/WUR for power-sensitive, small form-factor devices including IoT use cases (such as industrial sensors, controllers) and wearables</w:t>
      </w:r>
    </w:p>
    <w:p w14:paraId="280E65A9" w14:textId="77777777" w:rsidR="003E3A96" w:rsidRPr="007C626A" w:rsidRDefault="003E3A96" w:rsidP="003E3A96">
      <w:pPr>
        <w:numPr>
          <w:ilvl w:val="2"/>
          <w:numId w:val="29"/>
        </w:numPr>
        <w:overflowPunct w:val="0"/>
        <w:autoSpaceDE w:val="0"/>
        <w:autoSpaceDN w:val="0"/>
        <w:adjustRightInd w:val="0"/>
        <w:spacing w:after="180" w:line="240" w:lineRule="auto"/>
        <w:ind w:right="-99"/>
        <w:textAlignment w:val="baseline"/>
        <w:rPr>
          <w:lang w:eastAsia="ja-JP"/>
        </w:rPr>
      </w:pPr>
      <w:r w:rsidRPr="007C626A">
        <w:rPr>
          <w:lang w:eastAsia="ja-JP"/>
        </w:rPr>
        <w:t>Other use cases are not precluded</w:t>
      </w:r>
    </w:p>
    <w:p w14:paraId="4B5ED7CA" w14:textId="77777777"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highlight w:val="yellow"/>
          <w:lang w:eastAsia="ja-JP"/>
        </w:rPr>
      </w:pPr>
      <w:r w:rsidRPr="007C626A">
        <w:rPr>
          <w:rFonts w:hint="eastAsia"/>
          <w:highlight w:val="yellow"/>
          <w:lang w:eastAsia="ja-JP"/>
        </w:rPr>
        <w:t xml:space="preserve">Study and evaluate low-power wake-up receiver architectures [RAN1, RAN4] </w:t>
      </w:r>
    </w:p>
    <w:p w14:paraId="10894098" w14:textId="77777777"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 xml:space="preserve">Study and evaluate wake-up signal designs to support wake-up receivers [RAN1, RAN4] </w:t>
      </w:r>
    </w:p>
    <w:p w14:paraId="7C7FC362" w14:textId="3CCF0A98"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4C778155" w14:textId="77777777"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7C626A">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FA9881A" w14:textId="77777777" w:rsidR="003E3A96"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t xml:space="preserve">Note: The need for RAN2 evaluation will be triggered by RAN1 when necessary. </w:t>
      </w:r>
    </w:p>
    <w:p w14:paraId="49E71BC0" w14:textId="77777777" w:rsidR="00CF0ECE" w:rsidRPr="003E3A96" w:rsidRDefault="00CF0ECE" w:rsidP="00CF0ECE">
      <w:pPr>
        <w:pStyle w:val="BodyText"/>
        <w:rPr>
          <w:lang w:val="en-US"/>
        </w:rPr>
      </w:pPr>
    </w:p>
    <w:p w14:paraId="650A5A97" w14:textId="1419ACFD" w:rsidR="003F0F8B" w:rsidRPr="002E1629" w:rsidRDefault="00A2576A" w:rsidP="00CF0ECE">
      <w:pPr>
        <w:pStyle w:val="BodyText"/>
        <w:rPr>
          <w:sz w:val="22"/>
          <w:szCs w:val="22"/>
        </w:rPr>
      </w:pPr>
      <w:r w:rsidRPr="002E1629">
        <w:rPr>
          <w:sz w:val="22"/>
          <w:szCs w:val="22"/>
          <w:lang w:val="en-US"/>
        </w:rPr>
        <w:t xml:space="preserve">This contribution provides discussion into the </w:t>
      </w:r>
      <w:r w:rsidR="007C626A">
        <w:rPr>
          <w:sz w:val="22"/>
          <w:szCs w:val="22"/>
          <w:lang w:val="en-US"/>
        </w:rPr>
        <w:t>various designs of</w:t>
      </w:r>
      <w:r w:rsidRPr="002E1629">
        <w:rPr>
          <w:sz w:val="22"/>
          <w:szCs w:val="22"/>
          <w:lang w:val="en-US"/>
        </w:rPr>
        <w:t xml:space="preserve"> </w:t>
      </w:r>
      <w:proofErr w:type="gramStart"/>
      <w:r w:rsidRPr="002E1629">
        <w:rPr>
          <w:sz w:val="22"/>
          <w:szCs w:val="22"/>
          <w:lang w:val="en-US"/>
        </w:rPr>
        <w:t>wake up</w:t>
      </w:r>
      <w:proofErr w:type="gramEnd"/>
      <w:r w:rsidRPr="002E1629">
        <w:rPr>
          <w:sz w:val="22"/>
          <w:szCs w:val="22"/>
          <w:lang w:val="en-US"/>
        </w:rPr>
        <w:t xml:space="preserve"> receiver and consideration on </w:t>
      </w:r>
      <w:r w:rsidR="007C626A">
        <w:rPr>
          <w:sz w:val="22"/>
          <w:szCs w:val="22"/>
          <w:lang w:val="en-US"/>
        </w:rPr>
        <w:t xml:space="preserve">design criteria to evaluate different receiver architecture </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77777777"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ow power wake-up architecture</w:t>
      </w:r>
    </w:p>
    <w:p w14:paraId="1C0DCD68" w14:textId="1BDD4D79" w:rsidR="003F03CF" w:rsidRPr="003F03CF" w:rsidRDefault="005C4A45" w:rsidP="005C4A45">
      <w:pPr>
        <w:jc w:val="both"/>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5pt;height:158.3pt" o:ole="">
            <v:imagedata r:id="rId8" o:title=""/>
          </v:shape>
          <o:OLEObject Type="Embed" ProgID="Visio.Drawing.15" ShapeID="_x0000_i1025" DrawAspect="Content" ObjectID="_1726073452" r:id="rId9"/>
        </w:object>
      </w:r>
    </w:p>
    <w:p w14:paraId="0DD9E1DF" w14:textId="09417CFC" w:rsidR="007C626A" w:rsidRDefault="008A2D52" w:rsidP="008A2D52">
      <w:pPr>
        <w:pStyle w:val="Caption"/>
        <w:jc w:val="center"/>
        <w:rPr>
          <w:rFonts w:eastAsia="+mn-ea"/>
          <w:b w:val="0"/>
          <w:bCs w:val="0"/>
          <w:i/>
          <w:iCs/>
          <w:color w:val="000000"/>
          <w:kern w:val="24"/>
          <w:u w:val="single"/>
        </w:rPr>
      </w:pPr>
      <w:r>
        <w:t xml:space="preserve">Figure </w:t>
      </w:r>
      <w:fldSimple w:instr=" SEQ Figure \* ARABIC ">
        <w:r w:rsidR="00260A6A">
          <w:rPr>
            <w:noProof/>
          </w:rPr>
          <w:t>1</w:t>
        </w:r>
      </w:fldSimple>
      <w:r>
        <w:t>: LP-WUR design architecture</w:t>
      </w:r>
    </w:p>
    <w:p w14:paraId="7B652139" w14:textId="02A41F40" w:rsidR="005C4A45" w:rsidRDefault="005C4A45" w:rsidP="005C4A45">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Different receiver architecture such as envelope detector</w:t>
      </w:r>
      <w:r w:rsidR="000D3801">
        <w:rPr>
          <w:rFonts w:ascii="Times New Roman" w:eastAsia="+mn-ea" w:hAnsi="Times New Roman" w:cs="Times New Roman"/>
          <w:color w:val="000000"/>
          <w:kern w:val="24"/>
          <w:sz w:val="20"/>
          <w:szCs w:val="20"/>
        </w:rPr>
        <w:t xml:space="preserve"> based on </w:t>
      </w:r>
      <w:r w:rsidR="0021084A">
        <w:rPr>
          <w:rFonts w:ascii="Times New Roman" w:eastAsia="+mn-ea" w:hAnsi="Times New Roman" w:cs="Times New Roman"/>
          <w:color w:val="000000"/>
          <w:kern w:val="24"/>
          <w:sz w:val="20"/>
          <w:szCs w:val="20"/>
        </w:rPr>
        <w:t>direct envelope detector</w:t>
      </w:r>
      <w:r>
        <w:rPr>
          <w:rFonts w:ascii="Times New Roman" w:eastAsia="+mn-ea" w:hAnsi="Times New Roman" w:cs="Times New Roman"/>
          <w:color w:val="000000"/>
          <w:kern w:val="24"/>
          <w:sz w:val="20"/>
          <w:szCs w:val="20"/>
        </w:rPr>
        <w:t>, zero-IF</w:t>
      </w:r>
      <w:r w:rsidR="0021084A">
        <w:rPr>
          <w:rFonts w:ascii="Times New Roman" w:eastAsia="+mn-ea" w:hAnsi="Times New Roman" w:cs="Times New Roman"/>
          <w:color w:val="000000"/>
          <w:kern w:val="24"/>
          <w:sz w:val="20"/>
          <w:szCs w:val="20"/>
        </w:rPr>
        <w:t>, low-IF</w:t>
      </w:r>
      <w:r w:rsidR="000D3801">
        <w:rPr>
          <w:rFonts w:ascii="Times New Roman" w:eastAsia="+mn-ea" w:hAnsi="Times New Roman" w:cs="Times New Roman"/>
          <w:color w:val="000000"/>
          <w:kern w:val="24"/>
          <w:sz w:val="20"/>
          <w:szCs w:val="20"/>
        </w:rPr>
        <w:t xml:space="preserve"> and</w:t>
      </w:r>
      <w:r>
        <w:rPr>
          <w:rFonts w:ascii="Times New Roman" w:eastAsia="+mn-ea" w:hAnsi="Times New Roman" w:cs="Times New Roman"/>
          <w:color w:val="000000"/>
          <w:kern w:val="24"/>
          <w:sz w:val="20"/>
          <w:szCs w:val="20"/>
        </w:rPr>
        <w:t xml:space="preserve"> </w:t>
      </w:r>
      <w:r w:rsidR="0021084A">
        <w:rPr>
          <w:rFonts w:ascii="Times New Roman" w:eastAsia="+mn-ea" w:hAnsi="Times New Roman" w:cs="Times New Roman"/>
          <w:color w:val="000000"/>
          <w:kern w:val="24"/>
          <w:sz w:val="20"/>
          <w:szCs w:val="20"/>
        </w:rPr>
        <w:t>heterodyne</w:t>
      </w:r>
      <w:r>
        <w:rPr>
          <w:rFonts w:ascii="Times New Roman" w:eastAsia="+mn-ea" w:hAnsi="Times New Roman" w:cs="Times New Roman"/>
          <w:color w:val="000000"/>
          <w:kern w:val="24"/>
          <w:sz w:val="20"/>
          <w:szCs w:val="20"/>
        </w:rPr>
        <w:t xml:space="preserve"> can be selected for initial evaluation together with the candidate waveform such as MC-OOK and FSK. The metric such as power consumption, data rate, sensitivity, interference rejection, coverage etc., are important aspect to be compared against each other. Compare the trade-off between performance Vs power consumption of LP-WUR </w:t>
      </w:r>
      <w:r w:rsidR="00AA6B97">
        <w:rPr>
          <w:rFonts w:ascii="Times New Roman" w:eastAsia="+mn-ea" w:hAnsi="Times New Roman" w:cs="Times New Roman"/>
          <w:color w:val="000000"/>
          <w:kern w:val="24"/>
          <w:sz w:val="20"/>
          <w:szCs w:val="20"/>
        </w:rPr>
        <w:t xml:space="preserve">receiver </w:t>
      </w:r>
      <w:r>
        <w:rPr>
          <w:rFonts w:ascii="Times New Roman" w:eastAsia="+mn-ea" w:hAnsi="Times New Roman" w:cs="Times New Roman"/>
          <w:color w:val="000000"/>
          <w:kern w:val="24"/>
          <w:sz w:val="20"/>
          <w:szCs w:val="20"/>
        </w:rPr>
        <w:t>architecture against each other</w:t>
      </w:r>
      <w:r w:rsidR="00AA6B97">
        <w:rPr>
          <w:rFonts w:ascii="Times New Roman" w:eastAsia="+mn-ea" w:hAnsi="Times New Roman" w:cs="Times New Roman"/>
          <w:color w:val="000000"/>
          <w:kern w:val="24"/>
          <w:sz w:val="20"/>
          <w:szCs w:val="20"/>
        </w:rPr>
        <w:t xml:space="preserve"> and </w:t>
      </w:r>
      <w:r w:rsidR="004A4AD5">
        <w:rPr>
          <w:rFonts w:ascii="Times New Roman" w:eastAsia="+mn-ea" w:hAnsi="Times New Roman" w:cs="Times New Roman"/>
          <w:color w:val="000000"/>
          <w:kern w:val="24"/>
          <w:sz w:val="20"/>
          <w:szCs w:val="20"/>
        </w:rPr>
        <w:t>select</w:t>
      </w:r>
      <w:r w:rsidR="00AA6B97">
        <w:rPr>
          <w:rFonts w:ascii="Times New Roman" w:eastAsia="+mn-ea" w:hAnsi="Times New Roman" w:cs="Times New Roman"/>
          <w:color w:val="000000"/>
          <w:kern w:val="24"/>
          <w:sz w:val="20"/>
          <w:szCs w:val="20"/>
        </w:rPr>
        <w:t xml:space="preserve"> the </w:t>
      </w:r>
      <w:r w:rsidR="004A4AD5">
        <w:rPr>
          <w:rFonts w:ascii="Times New Roman" w:eastAsia="+mn-ea" w:hAnsi="Times New Roman" w:cs="Times New Roman"/>
          <w:color w:val="000000"/>
          <w:kern w:val="24"/>
          <w:sz w:val="20"/>
          <w:szCs w:val="20"/>
        </w:rPr>
        <w:t xml:space="preserve">receiver based on </w:t>
      </w:r>
      <w:r w:rsidR="00AA6B97">
        <w:rPr>
          <w:rFonts w:ascii="Times New Roman" w:eastAsia="+mn-ea" w:hAnsi="Times New Roman" w:cs="Times New Roman"/>
          <w:color w:val="000000"/>
          <w:kern w:val="24"/>
          <w:sz w:val="20"/>
          <w:szCs w:val="20"/>
        </w:rPr>
        <w:t xml:space="preserve">performance target </w:t>
      </w:r>
      <w:r w:rsidR="004A4AD5">
        <w:rPr>
          <w:rFonts w:ascii="Times New Roman" w:eastAsia="+mn-ea" w:hAnsi="Times New Roman" w:cs="Times New Roman"/>
          <w:color w:val="000000"/>
          <w:kern w:val="24"/>
          <w:sz w:val="20"/>
          <w:szCs w:val="20"/>
        </w:rPr>
        <w:t xml:space="preserve">Vs </w:t>
      </w:r>
      <w:r w:rsidR="00AA6B97">
        <w:rPr>
          <w:rFonts w:ascii="Times New Roman" w:eastAsia="+mn-ea" w:hAnsi="Times New Roman" w:cs="Times New Roman"/>
          <w:color w:val="000000"/>
          <w:kern w:val="24"/>
          <w:sz w:val="20"/>
          <w:szCs w:val="20"/>
        </w:rPr>
        <w:t xml:space="preserve">target power consumption </w:t>
      </w:r>
      <w:r w:rsidR="004A4AD5">
        <w:rPr>
          <w:rFonts w:ascii="Times New Roman" w:eastAsia="+mn-ea" w:hAnsi="Times New Roman" w:cs="Times New Roman"/>
          <w:color w:val="000000"/>
          <w:kern w:val="24"/>
          <w:sz w:val="20"/>
          <w:szCs w:val="20"/>
        </w:rPr>
        <w:t>for</w:t>
      </w:r>
      <w:r w:rsidR="00AA6B97">
        <w:rPr>
          <w:rFonts w:ascii="Times New Roman" w:eastAsia="+mn-ea" w:hAnsi="Times New Roman" w:cs="Times New Roman"/>
          <w:color w:val="000000"/>
          <w:kern w:val="24"/>
          <w:sz w:val="20"/>
          <w:szCs w:val="20"/>
        </w:rPr>
        <w:t xml:space="preserve"> the LP-WUR. </w:t>
      </w:r>
      <w:r w:rsidR="00557BF1">
        <w:rPr>
          <w:rFonts w:ascii="Times New Roman" w:eastAsia="+mn-ea" w:hAnsi="Times New Roman" w:cs="Times New Roman"/>
          <w:color w:val="000000"/>
          <w:kern w:val="24"/>
          <w:sz w:val="20"/>
          <w:szCs w:val="20"/>
        </w:rPr>
        <w:t xml:space="preserve">Reducing the RF component reduces the power consumption of the receiver however the performance of the receiver against interference, noise decreases so trade-off receiver is needed to evaluate the candidate waveform and the power consumption is evaluated for </w:t>
      </w:r>
      <w:proofErr w:type="spellStart"/>
      <w:proofErr w:type="gramStart"/>
      <w:r w:rsidR="00557BF1">
        <w:rPr>
          <w:rFonts w:ascii="Times New Roman" w:eastAsia="+mn-ea" w:hAnsi="Times New Roman" w:cs="Times New Roman"/>
          <w:color w:val="000000"/>
          <w:kern w:val="24"/>
          <w:sz w:val="20"/>
          <w:szCs w:val="20"/>
        </w:rPr>
        <w:t>a</w:t>
      </w:r>
      <w:proofErr w:type="spellEnd"/>
      <w:proofErr w:type="gramEnd"/>
      <w:r w:rsidR="00557BF1">
        <w:rPr>
          <w:rFonts w:ascii="Times New Roman" w:eastAsia="+mn-ea" w:hAnsi="Times New Roman" w:cs="Times New Roman"/>
          <w:color w:val="000000"/>
          <w:kern w:val="24"/>
          <w:sz w:val="20"/>
          <w:szCs w:val="20"/>
        </w:rPr>
        <w:t xml:space="preserve"> agreed duty cycle operation. </w:t>
      </w:r>
      <w:r>
        <w:rPr>
          <w:rFonts w:ascii="Times New Roman" w:eastAsia="+mn-ea" w:hAnsi="Times New Roman" w:cs="Times New Roman"/>
          <w:color w:val="000000"/>
          <w:kern w:val="24"/>
          <w:sz w:val="20"/>
          <w:szCs w:val="20"/>
        </w:rPr>
        <w:t xml:space="preserve"> </w:t>
      </w:r>
    </w:p>
    <w:p w14:paraId="2A07396A" w14:textId="77777777" w:rsidR="00260A6A" w:rsidRDefault="00260A6A"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103F6288" w14:textId="6F0FF415" w:rsidR="00260A6A" w:rsidRDefault="00260A6A" w:rsidP="00260A6A">
      <w:pPr>
        <w:pStyle w:val="NormalWeb"/>
        <w:spacing w:before="77" w:beforeAutospacing="0" w:after="120" w:afterAutospacing="0"/>
        <w:jc w:val="center"/>
      </w:pPr>
      <w:r>
        <w:object w:dxaOrig="5461" w:dyaOrig="2065" w14:anchorId="7BA969A1">
          <v:shape id="_x0000_i1026" type="#_x0000_t75" style="width:273.25pt;height:103.4pt" o:ole="">
            <v:imagedata r:id="rId10" o:title=""/>
          </v:shape>
          <o:OLEObject Type="Embed" ProgID="Visio.Drawing.15" ShapeID="_x0000_i1026" DrawAspect="Content" ObjectID="_1726073453" r:id="rId11"/>
        </w:object>
      </w:r>
    </w:p>
    <w:p w14:paraId="5213CBDA" w14:textId="77777777" w:rsidR="00260A6A" w:rsidRDefault="00260A6A" w:rsidP="00260A6A">
      <w:pPr>
        <w:pStyle w:val="NormalWeb"/>
        <w:spacing w:before="77" w:beforeAutospacing="0" w:after="120" w:afterAutospacing="0"/>
        <w:jc w:val="center"/>
        <w:rPr>
          <w:rFonts w:ascii="Times New Roman" w:eastAsia="+mn-ea" w:hAnsi="Times New Roman" w:cs="Times New Roman"/>
          <w:color w:val="000000"/>
          <w:kern w:val="24"/>
          <w:sz w:val="20"/>
          <w:szCs w:val="20"/>
        </w:rPr>
      </w:pPr>
    </w:p>
    <w:p w14:paraId="4F0B51DF" w14:textId="3BB7406F" w:rsidR="007C626A" w:rsidRDefault="00260A6A" w:rsidP="00260A6A">
      <w:pPr>
        <w:pStyle w:val="NormalWeb"/>
        <w:spacing w:before="77" w:beforeAutospacing="0" w:after="120" w:afterAutospacing="0"/>
        <w:jc w:val="center"/>
      </w:pPr>
      <w:r>
        <w:object w:dxaOrig="7309" w:dyaOrig="3901" w14:anchorId="2DF9C6B2">
          <v:shape id="_x0000_i1028" type="#_x0000_t75" style="width:280.15pt;height:149.55pt" o:ole="">
            <v:imagedata r:id="rId12" o:title=""/>
          </v:shape>
          <o:OLEObject Type="Embed" ProgID="Visio.Drawing.15" ShapeID="_x0000_i1028" DrawAspect="Content" ObjectID="_1726073454" r:id="rId13"/>
        </w:object>
      </w:r>
    </w:p>
    <w:p w14:paraId="002FBDD1" w14:textId="03A52B27" w:rsidR="00260A6A" w:rsidRDefault="0021084A" w:rsidP="00260A6A">
      <w:pPr>
        <w:pStyle w:val="NormalWeb"/>
        <w:spacing w:before="77" w:beforeAutospacing="0" w:after="120" w:afterAutospacing="0"/>
        <w:jc w:val="center"/>
      </w:pPr>
      <w:r>
        <w:object w:dxaOrig="7417" w:dyaOrig="2892" w14:anchorId="629519BD">
          <v:shape id="_x0000_i1033" type="#_x0000_t75" style="width:335.55pt;height:130.6pt" o:ole="">
            <v:imagedata r:id="rId14" o:title=""/>
          </v:shape>
          <o:OLEObject Type="Embed" ProgID="Visio.Drawing.15" ShapeID="_x0000_i1033" DrawAspect="Content" ObjectID="_1726073455" r:id="rId15"/>
        </w:object>
      </w:r>
    </w:p>
    <w:p w14:paraId="71423A60" w14:textId="11540BC0" w:rsidR="00260A6A" w:rsidRDefault="0021084A" w:rsidP="00260A6A">
      <w:pPr>
        <w:pStyle w:val="NormalWeb"/>
        <w:spacing w:before="77" w:beforeAutospacing="0" w:after="120" w:afterAutospacing="0"/>
        <w:jc w:val="center"/>
      </w:pPr>
      <w:r>
        <w:object w:dxaOrig="8677" w:dyaOrig="2665" w14:anchorId="2C1F5D26">
          <v:shape id="_x0000_i1036" type="#_x0000_t75" style="width:366.9pt;height:113.1pt" o:ole="">
            <v:imagedata r:id="rId16" o:title=""/>
          </v:shape>
          <o:OLEObject Type="Embed" ProgID="Visio.Drawing.15" ShapeID="_x0000_i1036" DrawAspect="Content" ObjectID="_1726073456" r:id="rId17"/>
        </w:object>
      </w:r>
    </w:p>
    <w:p w14:paraId="08647175" w14:textId="69FFD3FC" w:rsidR="00260A6A" w:rsidRPr="005C4A45" w:rsidRDefault="00260A6A" w:rsidP="00260A6A">
      <w:pPr>
        <w:pStyle w:val="Caption"/>
        <w:jc w:val="center"/>
        <w:rPr>
          <w:rFonts w:eastAsia="+mn-ea"/>
          <w:color w:val="000000"/>
          <w:kern w:val="24"/>
        </w:rPr>
      </w:pPr>
      <w:r>
        <w:t xml:space="preserve">Figure </w:t>
      </w:r>
      <w:fldSimple w:instr=" SEQ Figure \* ARABIC ">
        <w:r>
          <w:rPr>
            <w:noProof/>
          </w:rPr>
          <w:t>2</w:t>
        </w:r>
      </w:fldSimple>
      <w:r>
        <w:t>: Different Receiver architecture</w:t>
      </w:r>
      <w:r w:rsidR="00D71606">
        <w:t xml:space="preserve"> for LP-WUR</w:t>
      </w:r>
    </w:p>
    <w:p w14:paraId="5D2D8EF3" w14:textId="77777777" w:rsidR="002F5475" w:rsidRDefault="002F5475"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p>
    <w:p w14:paraId="57A14A2F" w14:textId="60349B10" w:rsidR="006E4332" w:rsidRPr="00AA6B97"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Proposal 1: Evaluate different receiver architecture for power consumption, data rate, sensitivity, interference rejection, coverage</w:t>
      </w:r>
    </w:p>
    <w:p w14:paraId="7D52E77E" w14:textId="77777777" w:rsidR="006E4332" w:rsidRDefault="006E433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250690D1" w14:textId="77777777" w:rsidR="009161DF" w:rsidRPr="00AA6B97" w:rsidRDefault="009161DF" w:rsidP="009161DF">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Proposal 1: Evaluate different receiver architecture for power consumption, data rate, sensitivity, interference rejection, coverage</w:t>
      </w: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64C3" w14:textId="77777777" w:rsidR="004F5C46" w:rsidRDefault="004F5C46" w:rsidP="000D45AD">
      <w:pPr>
        <w:spacing w:after="0" w:line="240" w:lineRule="auto"/>
      </w:pPr>
      <w:r>
        <w:separator/>
      </w:r>
    </w:p>
  </w:endnote>
  <w:endnote w:type="continuationSeparator" w:id="0">
    <w:p w14:paraId="0C01D8F7" w14:textId="77777777" w:rsidR="004F5C46" w:rsidRDefault="004F5C4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2DF2" w14:textId="77777777" w:rsidR="004F5C46" w:rsidRDefault="004F5C46" w:rsidP="000D45AD">
      <w:pPr>
        <w:spacing w:after="0" w:line="240" w:lineRule="auto"/>
      </w:pPr>
      <w:r>
        <w:separator/>
      </w:r>
    </w:p>
  </w:footnote>
  <w:footnote w:type="continuationSeparator" w:id="0">
    <w:p w14:paraId="5D26FC2C" w14:textId="77777777" w:rsidR="004F5C46" w:rsidRDefault="004F5C4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
  </w:num>
  <w:num w:numId="4">
    <w:abstractNumId w:val="0"/>
  </w:num>
  <w:num w:numId="5">
    <w:abstractNumId w:val="25"/>
  </w:num>
  <w:num w:numId="6">
    <w:abstractNumId w:val="27"/>
  </w:num>
  <w:num w:numId="7">
    <w:abstractNumId w:val="16"/>
  </w:num>
  <w:num w:numId="8">
    <w:abstractNumId w:val="20"/>
  </w:num>
  <w:num w:numId="9">
    <w:abstractNumId w:val="26"/>
  </w:num>
  <w:num w:numId="10">
    <w:abstractNumId w:val="3"/>
  </w:num>
  <w:num w:numId="11">
    <w:abstractNumId w:val="24"/>
  </w:num>
  <w:num w:numId="12">
    <w:abstractNumId w:val="23"/>
  </w:num>
  <w:num w:numId="13">
    <w:abstractNumId w:val="1"/>
  </w:num>
  <w:num w:numId="14">
    <w:abstractNumId w:val="5"/>
  </w:num>
  <w:num w:numId="15">
    <w:abstractNumId w:val="6"/>
  </w:num>
  <w:num w:numId="16">
    <w:abstractNumId w:val="18"/>
  </w:num>
  <w:num w:numId="17">
    <w:abstractNumId w:val="21"/>
  </w:num>
  <w:num w:numId="18">
    <w:abstractNumId w:val="12"/>
  </w:num>
  <w:num w:numId="19">
    <w:abstractNumId w:val="19"/>
  </w:num>
  <w:num w:numId="20">
    <w:abstractNumId w:val="8"/>
  </w:num>
  <w:num w:numId="21">
    <w:abstractNumId w:val="11"/>
  </w:num>
  <w:num w:numId="22">
    <w:abstractNumId w:val="7"/>
  </w:num>
  <w:num w:numId="23">
    <w:abstractNumId w:val="22"/>
  </w:num>
  <w:num w:numId="24">
    <w:abstractNumId w:val="14"/>
  </w:num>
  <w:num w:numId="25">
    <w:abstractNumId w:val="12"/>
  </w:num>
  <w:num w:numId="26">
    <w:abstractNumId w:val="10"/>
  </w:num>
  <w:num w:numId="27">
    <w:abstractNumId w:val="15"/>
  </w:num>
  <w:num w:numId="28">
    <w:abstractNumId w:val="13"/>
  </w:num>
  <w:num w:numId="29">
    <w:abstractNumId w:val="2"/>
  </w:num>
  <w:num w:numId="30">
    <w:abstractNumId w:val="1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3801"/>
    <w:rsid w:val="000D45AD"/>
    <w:rsid w:val="000D69E4"/>
    <w:rsid w:val="000E5E18"/>
    <w:rsid w:val="000E6B5D"/>
    <w:rsid w:val="000E75CB"/>
    <w:rsid w:val="000F45D0"/>
    <w:rsid w:val="000F638D"/>
    <w:rsid w:val="001007C3"/>
    <w:rsid w:val="00101285"/>
    <w:rsid w:val="001157B6"/>
    <w:rsid w:val="00116207"/>
    <w:rsid w:val="00126E78"/>
    <w:rsid w:val="00141D03"/>
    <w:rsid w:val="00145053"/>
    <w:rsid w:val="00145BCA"/>
    <w:rsid w:val="00150C3E"/>
    <w:rsid w:val="00151080"/>
    <w:rsid w:val="00166FE1"/>
    <w:rsid w:val="001771FE"/>
    <w:rsid w:val="00182923"/>
    <w:rsid w:val="00185A17"/>
    <w:rsid w:val="001877F2"/>
    <w:rsid w:val="00190D43"/>
    <w:rsid w:val="001918F4"/>
    <w:rsid w:val="00192E52"/>
    <w:rsid w:val="001A2F7B"/>
    <w:rsid w:val="001B3E93"/>
    <w:rsid w:val="001B7E1B"/>
    <w:rsid w:val="001C044A"/>
    <w:rsid w:val="001D2BE8"/>
    <w:rsid w:val="001D6D70"/>
    <w:rsid w:val="00207872"/>
    <w:rsid w:val="0021084A"/>
    <w:rsid w:val="00210A17"/>
    <w:rsid w:val="002116CE"/>
    <w:rsid w:val="002134BD"/>
    <w:rsid w:val="0022007B"/>
    <w:rsid w:val="002234D8"/>
    <w:rsid w:val="002275A9"/>
    <w:rsid w:val="00230C30"/>
    <w:rsid w:val="00234617"/>
    <w:rsid w:val="00236FBB"/>
    <w:rsid w:val="002402AC"/>
    <w:rsid w:val="00247005"/>
    <w:rsid w:val="0025006B"/>
    <w:rsid w:val="00250271"/>
    <w:rsid w:val="0025236B"/>
    <w:rsid w:val="00257A41"/>
    <w:rsid w:val="00260A6A"/>
    <w:rsid w:val="002627D1"/>
    <w:rsid w:val="002660E2"/>
    <w:rsid w:val="002661A9"/>
    <w:rsid w:val="00267F53"/>
    <w:rsid w:val="00270673"/>
    <w:rsid w:val="00272678"/>
    <w:rsid w:val="00274132"/>
    <w:rsid w:val="002842B2"/>
    <w:rsid w:val="002869F6"/>
    <w:rsid w:val="002926EA"/>
    <w:rsid w:val="00296DB6"/>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2F5475"/>
    <w:rsid w:val="00301291"/>
    <w:rsid w:val="0030192F"/>
    <w:rsid w:val="00301A6B"/>
    <w:rsid w:val="00301EDA"/>
    <w:rsid w:val="003108EF"/>
    <w:rsid w:val="0031345C"/>
    <w:rsid w:val="003227FB"/>
    <w:rsid w:val="0032538A"/>
    <w:rsid w:val="00327FE2"/>
    <w:rsid w:val="003360F8"/>
    <w:rsid w:val="003364FB"/>
    <w:rsid w:val="00336902"/>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A41AE"/>
    <w:rsid w:val="003A5CB8"/>
    <w:rsid w:val="003B1CE6"/>
    <w:rsid w:val="003B34E2"/>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3245B"/>
    <w:rsid w:val="00433A31"/>
    <w:rsid w:val="004358CA"/>
    <w:rsid w:val="00442888"/>
    <w:rsid w:val="00444568"/>
    <w:rsid w:val="00446917"/>
    <w:rsid w:val="00447542"/>
    <w:rsid w:val="004537BF"/>
    <w:rsid w:val="004618EE"/>
    <w:rsid w:val="00462CC3"/>
    <w:rsid w:val="00464095"/>
    <w:rsid w:val="00477909"/>
    <w:rsid w:val="004902ED"/>
    <w:rsid w:val="00491510"/>
    <w:rsid w:val="004A1023"/>
    <w:rsid w:val="004A4AD5"/>
    <w:rsid w:val="004B0A6C"/>
    <w:rsid w:val="004B682D"/>
    <w:rsid w:val="004B776B"/>
    <w:rsid w:val="004C0B6B"/>
    <w:rsid w:val="004C3128"/>
    <w:rsid w:val="004C67A3"/>
    <w:rsid w:val="004E636A"/>
    <w:rsid w:val="004F0B77"/>
    <w:rsid w:val="004F3E93"/>
    <w:rsid w:val="004F5C46"/>
    <w:rsid w:val="005036CD"/>
    <w:rsid w:val="00514979"/>
    <w:rsid w:val="005150E2"/>
    <w:rsid w:val="00520495"/>
    <w:rsid w:val="00523C2E"/>
    <w:rsid w:val="00524E79"/>
    <w:rsid w:val="0053335C"/>
    <w:rsid w:val="0053343B"/>
    <w:rsid w:val="00533D25"/>
    <w:rsid w:val="00536BC5"/>
    <w:rsid w:val="005403B5"/>
    <w:rsid w:val="00557BF1"/>
    <w:rsid w:val="00560C45"/>
    <w:rsid w:val="005708D2"/>
    <w:rsid w:val="00585CC8"/>
    <w:rsid w:val="00592CA0"/>
    <w:rsid w:val="00593E99"/>
    <w:rsid w:val="00595017"/>
    <w:rsid w:val="00597A61"/>
    <w:rsid w:val="005A0804"/>
    <w:rsid w:val="005A247E"/>
    <w:rsid w:val="005A5AB6"/>
    <w:rsid w:val="005C2FA8"/>
    <w:rsid w:val="005C34EE"/>
    <w:rsid w:val="005C4A45"/>
    <w:rsid w:val="005C5263"/>
    <w:rsid w:val="005C73D6"/>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3D2D"/>
    <w:rsid w:val="006867EA"/>
    <w:rsid w:val="0069062D"/>
    <w:rsid w:val="00694C14"/>
    <w:rsid w:val="006A0B6D"/>
    <w:rsid w:val="006B0875"/>
    <w:rsid w:val="006B5A36"/>
    <w:rsid w:val="006B734C"/>
    <w:rsid w:val="006B7CB1"/>
    <w:rsid w:val="006C0715"/>
    <w:rsid w:val="006C5794"/>
    <w:rsid w:val="006D181B"/>
    <w:rsid w:val="006D42E0"/>
    <w:rsid w:val="006E3176"/>
    <w:rsid w:val="006E4332"/>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FA6"/>
    <w:rsid w:val="00751C15"/>
    <w:rsid w:val="007528E9"/>
    <w:rsid w:val="00753F22"/>
    <w:rsid w:val="00755BFB"/>
    <w:rsid w:val="00755C3F"/>
    <w:rsid w:val="00760D18"/>
    <w:rsid w:val="0076250E"/>
    <w:rsid w:val="007771DA"/>
    <w:rsid w:val="007777B0"/>
    <w:rsid w:val="007806C3"/>
    <w:rsid w:val="00781A0B"/>
    <w:rsid w:val="00786D7A"/>
    <w:rsid w:val="007879D1"/>
    <w:rsid w:val="00792A45"/>
    <w:rsid w:val="007A5F55"/>
    <w:rsid w:val="007A6D77"/>
    <w:rsid w:val="007A787E"/>
    <w:rsid w:val="007B27C4"/>
    <w:rsid w:val="007B2C25"/>
    <w:rsid w:val="007C435D"/>
    <w:rsid w:val="007C562D"/>
    <w:rsid w:val="007C626A"/>
    <w:rsid w:val="007C6313"/>
    <w:rsid w:val="007D6399"/>
    <w:rsid w:val="007E4EEB"/>
    <w:rsid w:val="007E65CC"/>
    <w:rsid w:val="007F06B0"/>
    <w:rsid w:val="007F5598"/>
    <w:rsid w:val="00807C91"/>
    <w:rsid w:val="00811C71"/>
    <w:rsid w:val="00822FC8"/>
    <w:rsid w:val="008274A6"/>
    <w:rsid w:val="0082756E"/>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630A"/>
    <w:rsid w:val="0089679E"/>
    <w:rsid w:val="00896FD8"/>
    <w:rsid w:val="008974B7"/>
    <w:rsid w:val="008A2D52"/>
    <w:rsid w:val="008A4BFF"/>
    <w:rsid w:val="008A794E"/>
    <w:rsid w:val="008B0ECC"/>
    <w:rsid w:val="008C1DE0"/>
    <w:rsid w:val="008C3879"/>
    <w:rsid w:val="008C3C4F"/>
    <w:rsid w:val="008D60AB"/>
    <w:rsid w:val="008E2508"/>
    <w:rsid w:val="008E3213"/>
    <w:rsid w:val="008E52B4"/>
    <w:rsid w:val="008F0401"/>
    <w:rsid w:val="008F4AD7"/>
    <w:rsid w:val="008F7694"/>
    <w:rsid w:val="00900890"/>
    <w:rsid w:val="009034A1"/>
    <w:rsid w:val="009037B9"/>
    <w:rsid w:val="00903DA7"/>
    <w:rsid w:val="0090537B"/>
    <w:rsid w:val="0091044B"/>
    <w:rsid w:val="009125B1"/>
    <w:rsid w:val="009161DF"/>
    <w:rsid w:val="009176AA"/>
    <w:rsid w:val="00940BBC"/>
    <w:rsid w:val="009462BB"/>
    <w:rsid w:val="0094687B"/>
    <w:rsid w:val="009529E8"/>
    <w:rsid w:val="00962451"/>
    <w:rsid w:val="00963EC9"/>
    <w:rsid w:val="00965BCB"/>
    <w:rsid w:val="00966384"/>
    <w:rsid w:val="00966E05"/>
    <w:rsid w:val="00967EF3"/>
    <w:rsid w:val="0097159A"/>
    <w:rsid w:val="00976B75"/>
    <w:rsid w:val="0098202C"/>
    <w:rsid w:val="009820F2"/>
    <w:rsid w:val="00984F89"/>
    <w:rsid w:val="00995B80"/>
    <w:rsid w:val="009A1614"/>
    <w:rsid w:val="009A2BB4"/>
    <w:rsid w:val="009B2DC7"/>
    <w:rsid w:val="009B77CF"/>
    <w:rsid w:val="009C62E0"/>
    <w:rsid w:val="009C7176"/>
    <w:rsid w:val="009C7187"/>
    <w:rsid w:val="009D3B87"/>
    <w:rsid w:val="009D4936"/>
    <w:rsid w:val="009E1BDD"/>
    <w:rsid w:val="009E7B77"/>
    <w:rsid w:val="009F07F3"/>
    <w:rsid w:val="009F4BC0"/>
    <w:rsid w:val="009F6A26"/>
    <w:rsid w:val="009F7A0B"/>
    <w:rsid w:val="00A01CE9"/>
    <w:rsid w:val="00A0236E"/>
    <w:rsid w:val="00A13B7A"/>
    <w:rsid w:val="00A16DBA"/>
    <w:rsid w:val="00A17407"/>
    <w:rsid w:val="00A2045B"/>
    <w:rsid w:val="00A2576A"/>
    <w:rsid w:val="00A25992"/>
    <w:rsid w:val="00A31BBA"/>
    <w:rsid w:val="00A33E8C"/>
    <w:rsid w:val="00A40295"/>
    <w:rsid w:val="00A42B74"/>
    <w:rsid w:val="00A44BA4"/>
    <w:rsid w:val="00A45460"/>
    <w:rsid w:val="00A50851"/>
    <w:rsid w:val="00A57751"/>
    <w:rsid w:val="00A667FC"/>
    <w:rsid w:val="00A90C99"/>
    <w:rsid w:val="00A93F81"/>
    <w:rsid w:val="00A944F8"/>
    <w:rsid w:val="00A97F8A"/>
    <w:rsid w:val="00AA6B97"/>
    <w:rsid w:val="00AB1564"/>
    <w:rsid w:val="00AB288C"/>
    <w:rsid w:val="00AB2CA0"/>
    <w:rsid w:val="00AB328A"/>
    <w:rsid w:val="00AB3AF5"/>
    <w:rsid w:val="00AC4B97"/>
    <w:rsid w:val="00AC7116"/>
    <w:rsid w:val="00AC7FB8"/>
    <w:rsid w:val="00AD1434"/>
    <w:rsid w:val="00B03CF0"/>
    <w:rsid w:val="00B10413"/>
    <w:rsid w:val="00B10887"/>
    <w:rsid w:val="00B119A0"/>
    <w:rsid w:val="00B12A8A"/>
    <w:rsid w:val="00B35F57"/>
    <w:rsid w:val="00B3679E"/>
    <w:rsid w:val="00B40C5D"/>
    <w:rsid w:val="00B420BF"/>
    <w:rsid w:val="00B437E3"/>
    <w:rsid w:val="00B45092"/>
    <w:rsid w:val="00B4663E"/>
    <w:rsid w:val="00B468CC"/>
    <w:rsid w:val="00B476D6"/>
    <w:rsid w:val="00B5362B"/>
    <w:rsid w:val="00B677A9"/>
    <w:rsid w:val="00B75AF8"/>
    <w:rsid w:val="00B80ACB"/>
    <w:rsid w:val="00B8120C"/>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5B1F"/>
    <w:rsid w:val="00C95382"/>
    <w:rsid w:val="00CC11BC"/>
    <w:rsid w:val="00CC52C8"/>
    <w:rsid w:val="00CC6540"/>
    <w:rsid w:val="00CD1776"/>
    <w:rsid w:val="00CD482C"/>
    <w:rsid w:val="00CD5D02"/>
    <w:rsid w:val="00CD6405"/>
    <w:rsid w:val="00CE6528"/>
    <w:rsid w:val="00CF0ECE"/>
    <w:rsid w:val="00CF3E86"/>
    <w:rsid w:val="00CF6ED9"/>
    <w:rsid w:val="00CF75C5"/>
    <w:rsid w:val="00D01415"/>
    <w:rsid w:val="00D02606"/>
    <w:rsid w:val="00D06C9B"/>
    <w:rsid w:val="00D075FE"/>
    <w:rsid w:val="00D21E80"/>
    <w:rsid w:val="00D22122"/>
    <w:rsid w:val="00D23190"/>
    <w:rsid w:val="00D27935"/>
    <w:rsid w:val="00D3171F"/>
    <w:rsid w:val="00D41FE4"/>
    <w:rsid w:val="00D44579"/>
    <w:rsid w:val="00D520C0"/>
    <w:rsid w:val="00D560F8"/>
    <w:rsid w:val="00D57654"/>
    <w:rsid w:val="00D66CF9"/>
    <w:rsid w:val="00D67877"/>
    <w:rsid w:val="00D71606"/>
    <w:rsid w:val="00D7293C"/>
    <w:rsid w:val="00D73651"/>
    <w:rsid w:val="00D758E6"/>
    <w:rsid w:val="00D80666"/>
    <w:rsid w:val="00D82AB4"/>
    <w:rsid w:val="00D82C42"/>
    <w:rsid w:val="00D97FC3"/>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43131"/>
    <w:rsid w:val="00E522C0"/>
    <w:rsid w:val="00E541A9"/>
    <w:rsid w:val="00E567B9"/>
    <w:rsid w:val="00E56876"/>
    <w:rsid w:val="00E623CA"/>
    <w:rsid w:val="00E662F6"/>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2315D"/>
    <w:rsid w:val="00F279E4"/>
    <w:rsid w:val="00F32E26"/>
    <w:rsid w:val="00F41739"/>
    <w:rsid w:val="00F419EC"/>
    <w:rsid w:val="00F517E4"/>
    <w:rsid w:val="00F61D24"/>
    <w:rsid w:val="00F62A46"/>
    <w:rsid w:val="00F7174D"/>
    <w:rsid w:val="00F80825"/>
    <w:rsid w:val="00F8574A"/>
    <w:rsid w:val="00FA6144"/>
    <w:rsid w:val="00FB0AA1"/>
    <w:rsid w:val="00FB1005"/>
    <w:rsid w:val="00FB2AD1"/>
    <w:rsid w:val="00FB309C"/>
    <w:rsid w:val="00FB4B18"/>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3</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47</cp:revision>
  <dcterms:created xsi:type="dcterms:W3CDTF">2022-09-26T11:03:00Z</dcterms:created>
  <dcterms:modified xsi:type="dcterms:W3CDTF">2022-09-30T17:56:00Z</dcterms:modified>
</cp:coreProperties>
</file>