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right" w:pos="9216"/>
        </w:tabs>
        <w:spacing w:after="0"/>
        <w:jc w:val="left"/>
        <w:rPr>
          <w:b/>
          <w:kern w:val="2"/>
          <w:highlight w:val="yellow"/>
        </w:rPr>
      </w:pPr>
      <w:r>
        <w:rPr>
          <w:b/>
          <w:kern w:val="2"/>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r>
      <w:r>
        <w:rPr>
          <w:b/>
          <w:kern w:val="2"/>
        </w:rPr>
        <w:t>R1-2210301</w:t>
      </w:r>
    </w:p>
    <w:p>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pPr>
        <w:pBdr>
          <w:top w:val="single" w:color="auto" w:sz="4" w:space="1"/>
        </w:pBdr>
        <w:spacing w:after="0"/>
        <w:jc w:val="left"/>
        <w:rPr>
          <w:b/>
          <w:kern w:val="2"/>
          <w:sz w:val="16"/>
          <w:szCs w:val="16"/>
        </w:rPr>
      </w:pPr>
    </w:p>
    <w:p>
      <w:pPr>
        <w:spacing w:after="60"/>
        <w:ind w:left="1555" w:hanging="1555"/>
        <w:jc w:val="left"/>
        <w:rPr>
          <w:b/>
          <w:kern w:val="2"/>
        </w:rPr>
      </w:pPr>
      <w:r>
        <w:rPr>
          <w:b/>
          <w:kern w:val="2"/>
        </w:rPr>
        <w:t>Agenda Item:</w:t>
      </w:r>
      <w:r>
        <w:rPr>
          <w:b/>
          <w:kern w:val="2"/>
        </w:rPr>
        <w:tab/>
      </w:r>
      <w:r>
        <w:rPr>
          <w:b/>
          <w:kern w:val="2"/>
        </w:rPr>
        <w:t>9.7.1</w:t>
      </w:r>
    </w:p>
    <w:p>
      <w:pPr>
        <w:spacing w:after="60"/>
        <w:ind w:left="1555" w:hanging="1555"/>
        <w:jc w:val="left"/>
        <w:rPr>
          <w:b/>
          <w:kern w:val="2"/>
        </w:rPr>
      </w:pPr>
      <w:r>
        <w:rPr>
          <w:b/>
          <w:kern w:val="2"/>
        </w:rPr>
        <w:t>Source:</w:t>
      </w:r>
      <w:r>
        <w:rPr>
          <w:b/>
          <w:kern w:val="2"/>
        </w:rPr>
        <w:tab/>
      </w:r>
      <w:r>
        <w:rPr>
          <w:b/>
          <w:kern w:val="2"/>
        </w:rPr>
        <w:t>Moderator (Huawei)</w:t>
      </w:r>
    </w:p>
    <w:p>
      <w:pPr>
        <w:spacing w:after="60"/>
        <w:ind w:left="1555" w:hanging="1555"/>
        <w:jc w:val="left"/>
        <w:rPr>
          <w:b/>
          <w:kern w:val="2"/>
        </w:rPr>
      </w:pPr>
      <w:r>
        <w:rPr>
          <w:b/>
          <w:kern w:val="2"/>
        </w:rPr>
        <w:t>Title:</w:t>
      </w:r>
      <w:r>
        <w:rPr>
          <w:b/>
          <w:kern w:val="2"/>
        </w:rPr>
        <w:tab/>
      </w:r>
      <w:r>
        <w:rPr>
          <w:b/>
          <w:kern w:val="2"/>
        </w:rPr>
        <w:t>FL summary#1 for R18 NW_ES</w:t>
      </w:r>
    </w:p>
    <w:p>
      <w:pPr>
        <w:spacing w:after="60"/>
        <w:ind w:left="1555" w:hanging="1555"/>
        <w:jc w:val="left"/>
        <w:rPr>
          <w:b/>
          <w:kern w:val="2"/>
        </w:rPr>
      </w:pPr>
      <w:r>
        <w:rPr>
          <w:b/>
          <w:kern w:val="2"/>
        </w:rPr>
        <w:t>Document for:</w:t>
      </w:r>
      <w:r>
        <w:rPr>
          <w:b/>
          <w:kern w:val="2"/>
        </w:rPr>
        <w:tab/>
      </w:r>
      <w:r>
        <w:rPr>
          <w:b/>
          <w:kern w:val="2"/>
        </w:rPr>
        <w:t>Discussion and Decision</w:t>
      </w:r>
    </w:p>
    <w:p>
      <w:pPr>
        <w:pBdr>
          <w:bottom w:val="single" w:color="auto" w:sz="4" w:space="1"/>
        </w:pBdr>
        <w:spacing w:after="0"/>
        <w:jc w:val="left"/>
        <w:rPr>
          <w:b/>
          <w:kern w:val="2"/>
          <w:sz w:val="16"/>
          <w:szCs w:val="16"/>
        </w:rPr>
      </w:pPr>
    </w:p>
    <w:p>
      <w:pPr>
        <w:pStyle w:val="2"/>
      </w:pPr>
      <w:bookmarkStart w:id="0" w:name="_Ref129681862"/>
      <w:bookmarkStart w:id="1" w:name="_Ref124589705"/>
      <w:r>
        <w:t>Introduction</w:t>
      </w:r>
      <w:bookmarkEnd w:id="0"/>
      <w:bookmarkEnd w:id="1"/>
    </w:p>
    <w:p>
      <w:r>
        <w:t>This triggers the email discussion of the following:</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widowControl w:val="0"/>
              <w:rPr>
                <w:iCs/>
                <w:highlight w:val="cyan"/>
              </w:rPr>
            </w:pPr>
            <w:r>
              <w:rPr>
                <w:highlight w:val="cyan"/>
                <w:lang w:eastAsia="zh-CN"/>
              </w:rPr>
              <w:t>[110bis-e-R18-NW</w:t>
            </w:r>
            <w:r>
              <w:rPr>
                <w:iCs/>
                <w:highlight w:val="cyan"/>
              </w:rPr>
              <w:t>_</w:t>
            </w:r>
            <w:r>
              <w:rPr>
                <w:highlight w:val="cyan"/>
                <w:lang w:eastAsia="zh-CN"/>
              </w:rPr>
              <w:t>ES-01] Email discussion on performance evaluation by October 19 – Yi (Huawei)</w:t>
            </w:r>
          </w:p>
          <w:p>
            <w:pPr>
              <w:widowControl w:val="0"/>
              <w:numPr>
                <w:ilvl w:val="0"/>
                <w:numId w:val="8"/>
              </w:numPr>
              <w:autoSpaceDE/>
              <w:autoSpaceDN/>
              <w:adjustRightInd/>
              <w:snapToGrid/>
              <w:spacing w:after="0" w:line="240" w:lineRule="auto"/>
              <w:jc w:val="left"/>
              <w:rPr>
                <w:highlight w:val="cyan"/>
                <w:lang w:eastAsia="zh-CN"/>
              </w:rPr>
            </w:pPr>
            <w:r>
              <w:rPr>
                <w:highlight w:val="cyan"/>
                <w:lang w:eastAsia="zh-CN"/>
              </w:rPr>
              <w:t>Check points: October 14, October 19</w:t>
            </w:r>
          </w:p>
        </w:tc>
      </w:tr>
    </w:tbl>
    <w:p>
      <w:pPr>
        <w:spacing w:before="120" w:beforeLines="50"/>
      </w:pPr>
      <w:r>
        <w:t>The schedule for Week 1 is currently provided by Chair as</w:t>
      </w:r>
    </w:p>
    <w:p>
      <w:pPr>
        <w:pStyle w:val="48"/>
        <w:numPr>
          <w:ilvl w:val="0"/>
          <w:numId w:val="8"/>
        </w:numPr>
        <w:spacing w:before="120" w:beforeLines="50"/>
        <w:rPr>
          <w:b/>
        </w:rPr>
      </w:pPr>
      <w:r>
        <w:rPr>
          <w:b/>
        </w:rPr>
        <w:t xml:space="preserve">Monday (UTC 12:00~15:00) </w:t>
      </w:r>
      <w:r>
        <w:rPr>
          <w:b/>
        </w:rPr>
        <w:tab/>
      </w:r>
      <w:r>
        <w:rPr>
          <w:b/>
        </w:rPr>
        <w:tab/>
      </w:r>
      <w:r>
        <w:rPr>
          <w:b/>
        </w:rPr>
        <w:t xml:space="preserve">GTW1: </w:t>
      </w:r>
      <w:r>
        <w:rPr>
          <w:b/>
        </w:rPr>
        <w:tab/>
      </w:r>
      <w:r>
        <w:t>R18 MIMO (80min) =&gt;</w:t>
      </w:r>
      <w:r>
        <w:rPr>
          <w:b/>
        </w:rPr>
        <w:t xml:space="preserve"> R18 NW EnSav (30min) </w:t>
      </w:r>
    </w:p>
    <w:p>
      <w:pPr>
        <w:pStyle w:val="48"/>
        <w:numPr>
          <w:ilvl w:val="0"/>
          <w:numId w:val="8"/>
        </w:numPr>
        <w:spacing w:before="120" w:beforeLines="50"/>
        <w:rPr>
          <w:b/>
        </w:rPr>
      </w:pPr>
      <w:r>
        <w:rPr>
          <w:b/>
        </w:rPr>
        <w:t xml:space="preserve">Wednesday (UTC 12:00~15:00) </w:t>
      </w:r>
      <w:r>
        <w:rPr>
          <w:b/>
        </w:rPr>
        <w:tab/>
      </w:r>
      <w:r>
        <w:rPr>
          <w:b/>
        </w:rPr>
        <w:t>GTW1:</w:t>
      </w:r>
      <w:r>
        <w:rPr>
          <w:b/>
        </w:rPr>
        <w:tab/>
      </w:r>
      <w:r>
        <w:rPr>
          <w:b/>
        </w:rPr>
        <w:t>R18 NW EnSav (50min)</w:t>
      </w:r>
    </w:p>
    <w:p>
      <w:pPr>
        <w:spacing w:before="120" w:beforeLines="50"/>
      </w:pPr>
      <w:r>
        <w:t>Therefore, please search for ‘</w:t>
      </w:r>
      <w:r>
        <w:rPr>
          <w:color w:val="FF0000"/>
        </w:rPr>
        <w:t xml:space="preserve">FL1’ </w:t>
      </w:r>
      <w:r>
        <w:t>or refer to ‘</w:t>
      </w:r>
      <w:r>
        <w:rPr>
          <w:color w:val="FF0000"/>
        </w:rPr>
        <w:t>Initial round</w:t>
      </w:r>
      <w:r>
        <w:t xml:space="preserve">’ for proposals and comments, and input for initial round is expected preferably by 1 hour ahead of the first GTW session, which is </w:t>
      </w:r>
      <w:r>
        <w:rPr>
          <w:b/>
          <w:color w:val="FF0000"/>
        </w:rPr>
        <w:t>UTC 11:59 am, Oct. 10</w:t>
      </w:r>
      <w:r>
        <w:rPr>
          <w:b/>
          <w:color w:val="FF0000"/>
          <w:vertAlign w:val="superscript"/>
        </w:rPr>
        <w:t>th</w:t>
      </w:r>
      <w:r>
        <w:rPr>
          <w:b/>
        </w:rPr>
        <w:t xml:space="preserve">. </w:t>
      </w:r>
    </w:p>
    <w:p>
      <w:pPr>
        <w:pStyle w:val="3"/>
        <w:tabs>
          <w:tab w:val="clear" w:pos="432"/>
        </w:tabs>
      </w:pPr>
      <w:r>
        <w:t>Recommendations for GTW/email approval:</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bookmarkStart w:id="2" w:name="_Ref129681832"/>
    </w:p>
    <w:p>
      <w:pPr>
        <w:pStyle w:val="3"/>
        <w:tabs>
          <w:tab w:val="clear" w:pos="432"/>
        </w:tabs>
      </w:pPr>
      <w:r>
        <w:t>Outcome of GTW/email discussion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p>
      <w:pPr>
        <w:pStyle w:val="2"/>
      </w:pPr>
      <w:r>
        <w:t>Energy consumption model for BS</w:t>
      </w:r>
    </w:p>
    <w:p>
      <w:pPr>
        <w:pStyle w:val="3"/>
      </w:pPr>
      <w:bookmarkStart w:id="3" w:name="_Ref71620620"/>
      <w:bookmarkStart w:id="4" w:name="_Ref124589665"/>
      <w:bookmarkStart w:id="5" w:name="_Ref124671424"/>
      <w:r>
        <w:t>Inter-sleep mode transition and handling of low-power UL signal</w:t>
      </w:r>
    </w:p>
    <w:p>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pPr>
        <w:rPr>
          <w:rFonts w:eastAsiaTheme="minorEastAsia"/>
        </w:rPr>
      </w:pPr>
      <w:r>
        <w:rPr>
          <w:rFonts w:eastAsiaTheme="minorEastAsia"/>
        </w:rPr>
        <w:t>InterDigital consider</w:t>
      </w:r>
      <w:r>
        <w:rPr>
          <w:rFonts w:hint="eastAsia" w:eastAsiaTheme="minorEastAsia"/>
        </w:rPr>
        <w:t>s</w:t>
      </w:r>
      <w:r>
        <w:rPr>
          <w:rFonts w:eastAsiaTheme="minorEastAsia"/>
        </w:rPr>
        <w:t xml:space="preserve"> a separate power state for the purpose of detection of WUS can be added in between light sleep and active UL.</w:t>
      </w:r>
    </w:p>
    <w:p>
      <w:r>
        <w:t>Ericsson does not explicitly propose to model inter-sleep mode transition, while there is a similar consideration in calculation of the additional transition energy, using summation of effect of different sleep modes.</w:t>
      </w:r>
    </w:p>
    <w:p>
      <w:pPr>
        <w:pStyle w:val="4"/>
      </w:pPr>
      <w:r>
        <w:t xml:space="preserve">Initial round </w:t>
      </w:r>
    </w:p>
    <w:p>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2.1.1:</w:t>
            </w:r>
          </w:p>
          <w:p>
            <w:pPr>
              <w:widowControl w:val="0"/>
            </w:pPr>
            <w:r>
              <w:t>Inform RAN3 that the study of potential signaling/trigger over BH that changes the BS power state defined in RAN1 is not precluded by the following RAN1 agreements, which is for RAN1 evaluation purpose:</w:t>
            </w:r>
          </w:p>
          <w:p>
            <w:pPr>
              <w:widowControl w:val="0"/>
              <w:autoSpaceDE/>
              <w:jc w:val="left"/>
              <w:rPr>
                <w:rFonts w:ascii="Arial" w:hAnsi="Arial" w:cs="Arial"/>
                <w:bCs/>
                <w:i/>
              </w:rPr>
            </w:pPr>
            <w:r>
              <w:rPr>
                <w:rFonts w:ascii="Arial" w:hAnsi="Arial" w:cs="Arial"/>
                <w:bCs/>
                <w:i/>
                <w:highlight w:val="green"/>
              </w:rPr>
              <w:t>Agreement</w:t>
            </w:r>
          </w:p>
          <w:p>
            <w:pPr>
              <w:widowControl w:val="0"/>
              <w:spacing w:after="0"/>
              <w:jc w:val="left"/>
              <w:rPr>
                <w:rFonts w:ascii="Arial" w:hAnsi="Arial" w:cs="Arial"/>
                <w:bCs/>
                <w:i/>
              </w:rPr>
            </w:pPr>
            <w:r>
              <w:rPr>
                <w:rFonts w:ascii="Arial" w:hAnsi="Arial" w:cs="Arial"/>
                <w:bCs/>
                <w:i/>
              </w:rPr>
              <w:t>For initial evaluations, there is always a non-sleep mode assumed between adjacent sleep modes.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hint="eastAsia" w:eastAsia="Malgun Gothic"/>
                <w:lang w:eastAsia="ko-KR"/>
              </w:rPr>
              <w:t>.</w:t>
            </w:r>
            <w:r>
              <w:rPr>
                <w:rFonts w:eastAsia="Malgun Gothic"/>
                <w:lang w:eastAsia="ko-KR"/>
              </w:rPr>
              <w:t xml:space="preserve"> Otherwise, if RAN1 agree some restriction from gNB’s implementation perspective, we can trigger the discussion on sending LS to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F</w:t>
            </w:r>
            <w:r>
              <w:rPr>
                <w:rFonts w:eastAsia="MS Mincho"/>
                <w:lang w:eastAsia="ja-JP"/>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p>
            <w:pPr>
              <w:widowControl w:val="0"/>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hint="eastAsia" w:eastAsiaTheme="minorEastAsia"/>
              </w:rPr>
              <w:t>t</w:t>
            </w:r>
            <w:r>
              <w:rPr>
                <w:rFonts w:eastAsiaTheme="minorEastAsia"/>
              </w:rPr>
              <w:t>he gNB has a separate LP-WUR, it is 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hint="eastAsia" w:eastAsiaTheme="minorEastAsia"/>
              </w:rPr>
            </w:pPr>
            <w:r>
              <w:rPr>
                <w:rFonts w:hint="eastAsia" w:eastAsiaTheme="minorEastAsia"/>
              </w:rPr>
              <w:t>W</w:t>
            </w:r>
            <w:r>
              <w:rPr>
                <w:rFonts w:eastAsiaTheme="minorEastAsia"/>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keepNext w:val="0"/>
              <w:keepLines w:val="0"/>
              <w:widowControl w:val="0"/>
              <w:suppressLineNumbers w:val="0"/>
              <w:autoSpaceDE w:val="0"/>
              <w:autoSpaceDN w:val="0"/>
              <w:adjustRightInd w:val="0"/>
              <w:snapToGrid w:val="0"/>
              <w:spacing w:before="0" w:beforeAutospacing="0" w:after="0" w:afterAutospacing="0" w:line="256" w:lineRule="auto"/>
              <w:ind w:left="0" w:leftChars="0" w:right="0" w:rightChars="0"/>
              <w:jc w:val="center"/>
              <w:rPr>
                <w:rFonts w:hint="eastAsia" w:ascii="Times New Roman" w:hAnsi="Times New Roman" w:cs="Times New Roman" w:eastAsiaTheme="minorEastAsia"/>
                <w:sz w:val="20"/>
                <w:szCs w:val="20"/>
                <w:lang w:val="en-US" w:eastAsia="zh-CN" w:bidi="ar-SA"/>
              </w:rPr>
            </w:pPr>
            <w:r>
              <w:rPr>
                <w:rFonts w:hint="default" w:ascii="Times New Roman" w:hAnsi="Times New Roman" w:eastAsia="宋体" w:cs="Times New Roman"/>
                <w:snapToGrid/>
                <w:kern w:val="0"/>
                <w:sz w:val="20"/>
                <w:szCs w:val="20"/>
                <w:lang w:val="en-US" w:eastAsia="zh-CN" w:bidi="ar"/>
              </w:rPr>
              <w:t>ZTE, Sanechips</w:t>
            </w:r>
          </w:p>
        </w:tc>
        <w:tc>
          <w:tcPr>
            <w:tcW w:w="8329" w:type="dxa"/>
            <w:vAlign w:val="top"/>
          </w:tcPr>
          <w:p>
            <w:pPr>
              <w:keepNext w:val="0"/>
              <w:keepLines w:val="0"/>
              <w:widowControl w:val="0"/>
              <w:suppressLineNumbers w:val="0"/>
              <w:autoSpaceDE w:val="0"/>
              <w:autoSpaceDN w:val="0"/>
              <w:adjustRightInd w:val="0"/>
              <w:snapToGrid w:val="0"/>
              <w:spacing w:before="0" w:beforeAutospacing="0" w:after="0" w:afterAutospacing="0" w:line="256" w:lineRule="auto"/>
              <w:ind w:left="0" w:leftChars="0" w:right="0" w:rightChars="0"/>
              <w:jc w:val="left"/>
              <w:rPr>
                <w:rFonts w:hint="eastAsia" w:ascii="Times New Roman" w:hAnsi="Times New Roman" w:cs="Times New Roman" w:eastAsiaTheme="minorEastAsia"/>
                <w:sz w:val="20"/>
                <w:szCs w:val="20"/>
                <w:lang w:val="en-US" w:eastAsia="zh-CN" w:bidi="ar-SA"/>
              </w:rPr>
            </w:pPr>
            <w:r>
              <w:rPr>
                <w:rFonts w:hint="default" w:ascii="Times New Roman" w:hAnsi="Times New Roman" w:eastAsia="宋体" w:cs="Times New Roman"/>
                <w:snapToGrid/>
                <w:kern w:val="0"/>
                <w:sz w:val="20"/>
                <w:szCs w:val="20"/>
                <w:lang w:val="en-US" w:eastAsia="zh-CN" w:bidi="ar"/>
              </w:rPr>
              <w:t>Agree.</w:t>
            </w:r>
          </w:p>
        </w:tc>
      </w:tr>
    </w:tbl>
    <w:p/>
    <w:p>
      <w:pPr>
        <w:pStyle w:val="3"/>
      </w:pPr>
      <w:r>
        <w:t>Power values per reference configuration</w:t>
      </w:r>
    </w:p>
    <w:p>
      <w:r>
        <w:t xml:space="preserve">For reference configuration Set 1, working assumption was made for relative power values and the total transition time. </w:t>
      </w:r>
    </w:p>
    <w:p>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pPr>
        <w:rPr>
          <w:u w:val="single"/>
          <w:lang w:val="en-GB"/>
        </w:rPr>
      </w:pPr>
      <w:r>
        <w:rPr>
          <w:u w:val="single"/>
          <w:lang w:val="en-GB"/>
        </w:rPr>
        <w:t xml:space="preserve">For Set 1 reference configuration, </w:t>
      </w:r>
    </w:p>
    <w:p>
      <w:pPr>
        <w:pStyle w:val="48"/>
        <w:numPr>
          <w:ilvl w:val="0"/>
          <w:numId w:val="9"/>
        </w:numPr>
      </w:pPr>
      <w:r>
        <w:t>The following companies consider that the relative power values and transition time as working assumption can be confirmed:</w:t>
      </w:r>
    </w:p>
    <w:p>
      <w:pPr>
        <w:pStyle w:val="48"/>
        <w:numPr>
          <w:ilvl w:val="1"/>
          <w:numId w:val="9"/>
        </w:numPr>
      </w:pPr>
      <w:r>
        <w:t>Huawei/HiSilicon, [Nokia/NSB], vivo, ZTE, CMCC, Rakuten, Samsung, Ericsson, Qualcomm (and clarify the value is per symbol-level)</w:t>
      </w:r>
    </w:p>
    <w:p>
      <w:pPr>
        <w:pStyle w:val="48"/>
        <w:numPr>
          <w:ilvl w:val="0"/>
          <w:numId w:val="9"/>
        </w:numPr>
      </w:pPr>
      <w:r>
        <w:t>The following companies think small adjustment can also be considered:</w:t>
      </w:r>
    </w:p>
    <w:p>
      <w:pPr>
        <w:pStyle w:val="48"/>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r>
        <w:rPr>
          <w:u w:val="single"/>
        </w:rPr>
        <w:t>For Set 2/Set 3 reference configuration,</w:t>
      </w:r>
      <w:r>
        <w:t xml:space="preserve"> apart from the agreements to use the same transition time as that for Set 1, for relative power values, </w:t>
      </w:r>
    </w:p>
    <w:p>
      <w:pPr>
        <w:pStyle w:val="48"/>
        <w:numPr>
          <w:ilvl w:val="0"/>
          <w:numId w:val="9"/>
        </w:numPr>
      </w:pPr>
      <w:r>
        <w:t>Option 1: the values for Set 2/3 should be smaller than those for Set 1. Supported by</w:t>
      </w:r>
    </w:p>
    <w:p>
      <w:pPr>
        <w:pStyle w:val="48"/>
        <w:numPr>
          <w:ilvl w:val="1"/>
          <w:numId w:val="9"/>
        </w:numPr>
      </w:pPr>
      <w:r>
        <w:t>Huawei/HiSilicon (2</w:t>
      </w:r>
      <w:r>
        <w:rPr>
          <w:vertAlign w:val="superscript"/>
        </w:rPr>
        <w:t>nd</w:t>
      </w:r>
      <w:r>
        <w:t>), Nokia/NSB, vivo, OPPO, Ericsson, NTT DOCOMO(2</w:t>
      </w:r>
      <w:r>
        <w:rPr>
          <w:vertAlign w:val="superscript"/>
        </w:rPr>
        <w:t>nd</w:t>
      </w:r>
      <w:r>
        <w:t>), Qualcomm</w:t>
      </w:r>
    </w:p>
    <w:p>
      <w:pPr>
        <w:pStyle w:val="48"/>
        <w:numPr>
          <w:ilvl w:val="0"/>
          <w:numId w:val="9"/>
        </w:numPr>
      </w:pPr>
      <w:r>
        <w:t>Option 2: the values can be based on companies input with averaging approach (similar to the approach for obtaining the values for Set 1), supported by</w:t>
      </w:r>
    </w:p>
    <w:p>
      <w:pPr>
        <w:pStyle w:val="48"/>
        <w:numPr>
          <w:ilvl w:val="1"/>
          <w:numId w:val="9"/>
        </w:numPr>
        <w:tabs>
          <w:tab w:val="left" w:pos="1440"/>
        </w:tabs>
      </w:pPr>
      <w:r>
        <w:t>Huawei/HiSilicon, ZTE(2</w:t>
      </w:r>
      <w:r>
        <w:rPr>
          <w:vertAlign w:val="superscript"/>
        </w:rPr>
        <w:t>nd</w:t>
      </w:r>
      <w:r>
        <w:t>), MediaTek, Rakuten, Samsung, NTT DOCOMO, Lenovo</w:t>
      </w:r>
    </w:p>
    <w:p>
      <w:pPr>
        <w:pStyle w:val="48"/>
        <w:numPr>
          <w:ilvl w:val="0"/>
          <w:numId w:val="9"/>
        </w:numPr>
        <w:tabs>
          <w:tab w:val="left" w:pos="1440"/>
        </w:tabs>
      </w:pPr>
      <w:r>
        <w:t>Option 3: same values as Set 1 can be reused, supported by</w:t>
      </w:r>
    </w:p>
    <w:p>
      <w:pPr>
        <w:pStyle w:val="48"/>
        <w:numPr>
          <w:ilvl w:val="1"/>
          <w:numId w:val="9"/>
        </w:numPr>
        <w:tabs>
          <w:tab w:val="left" w:pos="1440"/>
        </w:tabs>
      </w:pPr>
      <w:r>
        <w:t>ZTE, CMCC</w:t>
      </w:r>
    </w:p>
    <w:p>
      <w:pPr>
        <w:tabs>
          <w:tab w:val="left" w:pos="1440"/>
        </w:tabs>
      </w:pPr>
      <w:r>
        <w:rPr>
          <w:u w:val="single"/>
        </w:rPr>
        <w:t>Other reference configuration</w:t>
      </w:r>
      <w:r>
        <w:t xml:space="preserve"> seems to be proposed by Qualcomm, see section 3.2.</w:t>
      </w:r>
    </w:p>
    <w:p>
      <w:r>
        <w:t xml:space="preserve">The following summarizes the proposed power values for each reference configuration.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pPr>
              <w:widowControl w:val="0"/>
              <w:jc w:val="center"/>
              <w:rPr>
                <w:b/>
              </w:rPr>
            </w:pPr>
            <w:r>
              <w:rPr>
                <w:b/>
              </w:rPr>
              <w:t>Company</w:t>
            </w:r>
          </w:p>
        </w:tc>
        <w:tc>
          <w:tcPr>
            <w:tcW w:w="8502"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Huawei, HiSilicon, ZTE, MediaTek, Rakuten, Samsung (for Cat 2 only), NTT DOCOMO, Lenovo,</w:t>
            </w:r>
          </w:p>
        </w:tc>
        <w:tc>
          <w:tcPr>
            <w:tcW w:w="8502" w:type="dxa"/>
          </w:tcPr>
          <w:p>
            <w:pPr>
              <w:widowControl w:val="0"/>
            </w:pPr>
          </w:p>
          <w:tbl>
            <w:tblPr>
              <w:tblStyle w:val="26"/>
              <w:tblW w:w="8127"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625"/>
              <w:gridCol w:w="1625"/>
              <w:gridCol w:w="1626"/>
              <w:gridCol w:w="1625"/>
              <w:gridCol w:w="162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9" w:hRule="atLeast"/>
              </w:trPr>
              <w:tc>
                <w:tcPr>
                  <w:tcW w:w="162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29" w:hRule="atLeast"/>
              </w:trPr>
              <w:tc>
                <w:tcPr>
                  <w:tcW w:w="1625" w:type="dxa"/>
                  <w:vMerge w:val="continue"/>
                  <w:tcBorders>
                    <w:left w:val="double" w:color="A5A5A5" w:sz="4" w:space="0"/>
                    <w:bottom w:val="double" w:color="A5A5A5" w:sz="4" w:space="0"/>
                    <w:right w:val="double" w:color="A5A5A5" w:sz="4" w:space="0"/>
                  </w:tcBorders>
                  <w:vAlign w:val="center"/>
                </w:tcPr>
                <w:p>
                  <w:pPr>
                    <w:jc w:val="center"/>
                  </w:pP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62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2.6</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40 </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Nokia, NSB</w:t>
            </w:r>
          </w:p>
        </w:tc>
        <w:tc>
          <w:tcPr>
            <w:tcW w:w="8502" w:type="dxa"/>
          </w:tcPr>
          <w:p>
            <w:pPr>
              <w:widowControl w:val="0"/>
              <w:spacing w:afterLines="50"/>
              <w:jc w:val="center"/>
              <w:rPr>
                <w:rFonts w:eastAsia="等线"/>
                <w:b/>
                <w:color w:val="000000" w:themeColor="text1"/>
                <w14:textFill>
                  <w14:solidFill>
                    <w14:schemeClr w14:val="tx1"/>
                  </w14:solidFill>
                </w14:textFill>
              </w:rPr>
            </w:pPr>
            <w:bookmarkStart w:id="6" w:name="_Ref113867490"/>
            <w:r>
              <w:rPr>
                <w:rFonts w:eastAsia="等线"/>
                <w:b/>
                <w:color w:val="000000" w:themeColor="text1"/>
                <w14:textFill>
                  <w14:solidFill>
                    <w14:schemeClr w14:val="tx1"/>
                  </w14:solidFill>
                </w14:textFill>
              </w:rPr>
              <w:t xml:space="preserve">Table </w:t>
            </w:r>
            <w:r>
              <w:fldChar w:fldCharType="begin"/>
            </w:r>
            <w:r>
              <w:rPr>
                <w:rFonts w:eastAsia="等线"/>
                <w:b/>
                <w:color w:val="000000" w:themeColor="text1"/>
                <w14:textFill>
                  <w14:solidFill>
                    <w14:schemeClr w14:val="tx1"/>
                  </w14:solidFill>
                </w14:textFill>
              </w:rPr>
              <w:instrText xml:space="preserve"> SEQ Table \* ARABIC </w:instrText>
            </w:r>
            <w:r>
              <w:fldChar w:fldCharType="separate"/>
            </w:r>
            <w:r>
              <w:rPr>
                <w:rFonts w:eastAsia="等线"/>
                <w:b/>
                <w:color w:val="000000" w:themeColor="text1"/>
                <w14:textFill>
                  <w14:solidFill>
                    <w14:schemeClr w14:val="tx1"/>
                  </w14:solidFill>
                </w14:textFill>
              </w:rPr>
              <w:t>1</w:t>
            </w:r>
            <w:r>
              <w:fldChar w:fldCharType="end"/>
            </w:r>
            <w:bookmarkEnd w:id="6"/>
            <w:r>
              <w:rPr>
                <w:rFonts w:eastAsia="等线"/>
                <w:b/>
                <w:color w:val="000000" w:themeColor="text1"/>
                <w14:textFill>
                  <w14:solidFill>
                    <w14:schemeClr w14:val="tx1"/>
                  </w14:solidFill>
                </w14:textFill>
              </w:rPr>
              <w:t>: Relative Power for FR1 Set 2 Cat.2</w:t>
            </w:r>
          </w:p>
          <w:tbl>
            <w:tblPr>
              <w:tblStyle w:val="26"/>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trPr>
        <w:tc>
          <w:tcPr>
            <w:tcW w:w="1129" w:type="dxa"/>
          </w:tcPr>
          <w:p>
            <w:pPr>
              <w:widowControl w:val="0"/>
            </w:pPr>
            <w:r>
              <w:t>Ericsson</w:t>
            </w:r>
          </w:p>
        </w:tc>
        <w:tc>
          <w:tcPr>
            <w:tcW w:w="8502" w:type="dxa"/>
          </w:tcPr>
          <w:tbl>
            <w:tblPr>
              <w:tblStyle w:val="27"/>
              <w:tblpPr w:leftFromText="180" w:rightFromText="180" w:horzAnchor="margin" w:tblpY="3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834"/>
              <w:gridCol w:w="159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pPr>
              <w:widowControl w:val="0"/>
              <w:jc w:val="center"/>
              <w:rPr>
                <w:rFonts w:ascii="Arial" w:hAnsi="Arial" w:cs="Arial"/>
                <w:lang w:val="en-GB" w:eastAsia="ja-JP"/>
              </w:rPr>
            </w:pPr>
          </w:p>
          <w:p>
            <w:pPr>
              <w:widowControl w:val="0"/>
              <w:spacing w:afterLines="50"/>
              <w:rPr>
                <w:rFonts w:eastAsia="等线"/>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t>Qualcomm</w:t>
            </w:r>
          </w:p>
        </w:tc>
        <w:tc>
          <w:tcPr>
            <w:tcW w:w="8502" w:type="dxa"/>
          </w:tcPr>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jc w:val="center"/>
              <w:rPr>
                <w:bCs/>
                <w:sz w:val="21"/>
                <w:szCs w:val="21"/>
              </w:rPr>
            </w:pPr>
          </w:p>
          <w:tbl>
            <w:tblPr>
              <w:tblStyle w:val="27"/>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rPr>
                <w:bCs/>
                <w:sz w:val="21"/>
                <w:szCs w:val="21"/>
              </w:rPr>
            </w:pPr>
          </w:p>
        </w:tc>
      </w:tr>
    </w:tbl>
    <w:p/>
    <w:p>
      <w:pPr>
        <w:pStyle w:val="4"/>
      </w:pPr>
      <w:r>
        <w:t>Initial round</w:t>
      </w:r>
    </w:p>
    <w:p>
      <w:r>
        <w:t xml:space="preserve">The relative power values are closely implementation related, and when reported they are relative values so may not need to clarify it is symbol level or slot level. </w:t>
      </w:r>
    </w:p>
    <w:p>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r>
        <w:t>The root cause for this discrepancy come from the input from some companies who use the same values for Set 1 and other Sets. Thus there could be several approaches for addressing this:</w:t>
      </w:r>
    </w:p>
    <w:p>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2.2.1:</w:t>
            </w:r>
          </w:p>
          <w:p>
            <w:pPr>
              <w:widowControl w:val="0"/>
              <w:rPr>
                <w:b/>
              </w:rPr>
            </w:pPr>
            <w:r>
              <w:rPr>
                <w:b/>
              </w:rPr>
              <w:t>Confirm the Working Assumption with the following udpate:</w:t>
            </w:r>
          </w:p>
          <w:p>
            <w:pPr>
              <w:pStyle w:val="48"/>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pPr>
              <w:pStyle w:val="48"/>
              <w:widowControl/>
              <w:numPr>
                <w:ilvl w:val="0"/>
                <w:numId w:val="9"/>
              </w:numPr>
              <w:rPr>
                <w:b/>
                <w:color w:val="FF0000"/>
              </w:rPr>
            </w:pPr>
            <w:r>
              <w:rPr>
                <w:b/>
                <w:color w:val="FF0000"/>
              </w:rPr>
              <w:t>Other values can be optionally reported.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77"/>
              <w:gridCol w:w="1878"/>
              <w:gridCol w:w="1877"/>
              <w:gridCol w:w="1878"/>
              <w:gridCol w:w="187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spacing w:after="0"/>
              <w:jc w:val="left"/>
              <w:rPr>
                <w:rFonts w:eastAsiaTheme="minorEastAsia"/>
                <w:lang w:val="en-GB"/>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Not agree.</w:t>
            </w:r>
          </w:p>
          <w:p>
            <w:pPr>
              <w:widowControl w:val="0"/>
              <w:spacing w:after="0"/>
              <w:jc w:val="left"/>
              <w:rPr>
                <w:rFonts w:eastAsiaTheme="minorEastAsia"/>
              </w:rPr>
            </w:pPr>
            <w:r>
              <w:rPr>
                <w:rFonts w:hint="eastAsia" w:eastAsiaTheme="minor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pPr>
              <w:widowControl w:val="0"/>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pPr>
              <w:widowControl w:val="0"/>
              <w:spacing w:after="0"/>
              <w:jc w:val="left"/>
              <w:rPr>
                <w:rFonts w:eastAsia="MS Mincho"/>
                <w:lang w:eastAsia="ja-JP"/>
              </w:rPr>
            </w:pPr>
            <w:r>
              <w:rPr>
                <w:rFonts w:eastAsiaTheme="minorEastAsia"/>
              </w:rPr>
              <w:t>Thus, we prefer to have different set of values for Set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have no strong position. It is important we have the realistic values to guide the evaluation, otherwise, we may be in vain finally.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hint="eastAsia" w:eastAsiaTheme="minorEastAsia"/>
              </w:rPr>
            </w:pPr>
            <w:r>
              <w:rPr>
                <w:rFonts w:hint="eastAsia" w:eastAsiaTheme="minor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sz w:val="20"/>
                <w:szCs w:val="20"/>
                <w:lang w:val="en-US" w:eastAsia="zh-CN" w:bidi="ar-SA"/>
              </w:rPr>
            </w:pPr>
            <w:r>
              <w:rPr>
                <w:rFonts w:hint="eastAsia" w:eastAsiaTheme="minorEastAsia"/>
                <w:sz w:val="20"/>
                <w:szCs w:val="20"/>
                <w:lang w:val="en-US" w:eastAsia="zh-CN"/>
              </w:rPr>
              <w:t>ZTE, Sanechips</w:t>
            </w:r>
          </w:p>
        </w:tc>
        <w:tc>
          <w:tcPr>
            <w:tcW w:w="8329" w:type="dxa"/>
            <w:vAlign w:val="top"/>
          </w:tcPr>
          <w:p>
            <w:pPr>
              <w:keepNext w:val="0"/>
              <w:keepLines w:val="0"/>
              <w:widowControl w:val="0"/>
              <w:suppressLineNumbers w:val="0"/>
              <w:spacing w:before="0" w:beforeAutospacing="0" w:after="0" w:afterAutospacing="0"/>
              <w:ind w:left="0" w:right="0"/>
              <w:jc w:val="left"/>
              <w:rPr>
                <w:rFonts w:hint="eastAsia" w:eastAsiaTheme="minorEastAsia"/>
                <w:sz w:val="20"/>
                <w:szCs w:val="20"/>
                <w:lang w:val="en-US" w:eastAsia="zh-CN"/>
              </w:rPr>
            </w:pPr>
            <w:r>
              <w:rPr>
                <w:rFonts w:hint="eastAsia" w:eastAsiaTheme="minorEastAsia"/>
                <w:sz w:val="20"/>
                <w:szCs w:val="20"/>
                <w:lang w:val="en-US" w:eastAsia="zh-CN"/>
              </w:rPr>
              <w:t xml:space="preserve">Agree. </w:t>
            </w:r>
          </w:p>
          <w:p>
            <w:pPr>
              <w:keepNext w:val="0"/>
              <w:keepLines w:val="0"/>
              <w:widowControl w:val="0"/>
              <w:suppressLineNumbers w:val="0"/>
              <w:spacing w:before="0" w:beforeAutospacing="0" w:after="0" w:afterAutospacing="0"/>
              <w:ind w:left="0" w:right="0"/>
              <w:jc w:val="left"/>
              <w:rPr>
                <w:rFonts w:hint="eastAsia" w:eastAsiaTheme="minorEastAsia"/>
                <w:sz w:val="20"/>
                <w:szCs w:val="20"/>
                <w:lang w:val="en-US" w:eastAsia="zh-CN"/>
              </w:rPr>
            </w:pPr>
            <w:r>
              <w:rPr>
                <w:rFonts w:hint="eastAsia" w:eastAsiaTheme="minorEastAsia"/>
                <w:sz w:val="20"/>
                <w:szCs w:val="20"/>
                <w:lang w:val="en-US" w:eastAsia="zh-CN"/>
              </w:rPr>
              <w:t xml:space="preserve">The network power consumption model is </w:t>
            </w:r>
            <w:r>
              <w:rPr>
                <w:rFonts w:hint="eastAsia" w:eastAsiaTheme="minorEastAsia"/>
                <w:sz w:val="20"/>
                <w:szCs w:val="20"/>
              </w:rPr>
              <w:t xml:space="preserve">a relative power consumption model instead of absolute power consumption model, </w:t>
            </w:r>
            <w:r>
              <w:rPr>
                <w:rFonts w:hint="eastAsia" w:eastAsiaTheme="minorEastAsia"/>
                <w:sz w:val="20"/>
                <w:szCs w:val="20"/>
                <w:lang w:val="en-US" w:eastAsia="zh-CN"/>
              </w:rPr>
              <w:t>and</w:t>
            </w:r>
            <w:r>
              <w:rPr>
                <w:rFonts w:hint="eastAsia" w:eastAsiaTheme="minorEastAsia"/>
                <w:sz w:val="20"/>
                <w:szCs w:val="20"/>
              </w:rPr>
              <w:t xml:space="preserve"> the power values of other states are defined in relative to the deep sleep mode</w:t>
            </w:r>
            <w:r>
              <w:rPr>
                <w:rFonts w:hint="eastAsia" w:eastAsiaTheme="minorEastAsia"/>
                <w:sz w:val="20"/>
                <w:szCs w:val="20"/>
                <w:lang w:val="en-US" w:eastAsia="zh-CN"/>
              </w:rPr>
              <w:t xml:space="preserve">. </w:t>
            </w:r>
            <w:r>
              <w:rPr>
                <w:rFonts w:hint="eastAsia" w:eastAsiaTheme="minorEastAsia"/>
                <w:sz w:val="20"/>
                <w:szCs w:val="20"/>
              </w:rPr>
              <w:t>Even the absolute power values are different for FR1 TDD BS and FDD BS, the ratio between other state and deep sleep state is similar based on the current implementation</w:t>
            </w:r>
            <w:r>
              <w:rPr>
                <w:rFonts w:hint="eastAsia" w:eastAsiaTheme="minorEastAsia"/>
                <w:sz w:val="20"/>
                <w:szCs w:val="20"/>
                <w:lang w:val="en-US" w:eastAsia="zh-CN"/>
              </w:rPr>
              <w:t xml:space="preserve"> at least for FR1 BS.</w:t>
            </w:r>
          </w:p>
          <w:p>
            <w:pPr>
              <w:keepNext w:val="0"/>
              <w:keepLines w:val="0"/>
              <w:widowControl w:val="0"/>
              <w:suppressLineNumbers w:val="0"/>
              <w:spacing w:before="0" w:beforeAutospacing="0" w:after="0" w:afterAutospacing="0"/>
              <w:ind w:left="0" w:leftChars="0" w:right="0" w:rightChars="0"/>
              <w:jc w:val="left"/>
              <w:rPr>
                <w:rFonts w:hint="eastAsia" w:ascii="Times New Roman" w:hAnsi="Times New Roman" w:cs="Times New Roman" w:eastAsiaTheme="minorEastAsia"/>
                <w:sz w:val="20"/>
                <w:szCs w:val="20"/>
                <w:lang w:val="en-US" w:eastAsia="zh-CN" w:bidi="ar-SA"/>
              </w:rPr>
            </w:pPr>
            <w:r>
              <w:rPr>
                <w:rFonts w:hint="eastAsia" w:eastAsiaTheme="minorEastAsia"/>
                <w:sz w:val="20"/>
                <w:szCs w:val="20"/>
                <w:lang w:val="en-US" w:eastAsia="zh-CN"/>
              </w:rPr>
              <w:t>Considering the limited TU left, using the same values for all the sets is fine for us.</w:t>
            </w:r>
          </w:p>
        </w:tc>
      </w:tr>
    </w:tbl>
    <w:p/>
    <w:p>
      <w:pPr>
        <w:pStyle w:val="3"/>
      </w:pPr>
      <w:r>
        <w:t>Additional transition energy</w:t>
      </w:r>
    </w:p>
    <w:p>
      <w:r>
        <w:t xml:space="preserve">For the calculation of additional transition energy, there are a few possible approaches. </w:t>
      </w:r>
    </w:p>
    <w:p>
      <w:pPr>
        <w:pStyle w:val="48"/>
        <w:numPr>
          <w:ilvl w:val="0"/>
          <w:numId w:val="9"/>
        </w:numPr>
      </w:pPr>
      <w:r>
        <w:t xml:space="preserve">Option 1: as discussed in RAN1#110 meeting and similar to the methodology of UE power saving study, i.e. </w:t>
      </w:r>
    </w:p>
    <w:p>
      <w:pPr>
        <w:pStyle w:val="48"/>
        <w:numPr>
          <w:ilvl w:val="0"/>
          <w:numId w:val="8"/>
        </w:numPr>
      </w:pPr>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w:r>
        <w:rPr>
          <w:bCs/>
          <w:sz w:val="22"/>
          <w:szCs w:val="22"/>
        </w:rPr>
        <w:t xml:space="preserve">  </w:t>
      </w:r>
    </w:p>
    <w:p>
      <w:pPr>
        <w:pStyle w:val="48"/>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ctrlPr>
              <w:rPr>
                <w:rFonts w:ascii="Cambria Math" w:hAnsi="Cambria Math"/>
                <w:bCs/>
                <w:i/>
              </w:rPr>
            </m:ctrlPr>
          </m:e>
          <m:sub>
            <m:r>
              <w:rPr>
                <w:rFonts w:ascii="Cambria Math" w:hAnsi="Cambria Math"/>
              </w:rPr>
              <m:t>i</m:t>
            </m:r>
            <m:ctrlPr>
              <w:rPr>
                <w:rFonts w:ascii="Cambria Math" w:hAnsi="Cambria Math"/>
                <w:bCs/>
                <w:i/>
              </w:rPr>
            </m:ctrlP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pPr>
        <w:pStyle w:val="48"/>
        <w:numPr>
          <w:ilvl w:val="0"/>
          <w:numId w:val="8"/>
        </w:numPr>
        <w:rPr>
          <w:lang w:val="en-US" w:eastAsia="zh-CN"/>
        </w:rPr>
      </w:pPr>
      <w:r>
        <w:rPr>
          <w:bCs/>
        </w:rPr>
        <w:t>This is supported by Nokia/NSB, vivo, OPPO, CATT, CMCC, LGE, Samsung,</w:t>
      </w:r>
    </w:p>
    <w:p>
      <w:pPr>
        <w:pStyle w:val="48"/>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pPr>
        <w:pStyle w:val="48"/>
        <w:numPr>
          <w:ilvl w:val="1"/>
          <w:numId w:val="9"/>
        </w:numPr>
      </w:pPr>
      <w:r>
        <w:t>This is supported by Huawei/HiSilicon, Spreadtrum, Intel, ZTE, MediaTek</w:t>
      </w:r>
    </w:p>
    <w:p>
      <w:pPr>
        <w:pStyle w:val="48"/>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pPr>
        <w:pStyle w:val="48"/>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ctrlPr>
              <w:rPr>
                <w:rFonts w:ascii="Cambria Math" w:hAnsi="Cambria Math"/>
                <w:sz w:val="22"/>
                <w:szCs w:val="22"/>
              </w:rPr>
            </m:ctrlPr>
          </m:sub>
          <m:sup>
            <m:r>
              <w:rPr>
                <w:rFonts w:ascii="Cambria Math" w:hAnsi="Cambria Math"/>
                <w:sz w:val="22"/>
                <w:szCs w:val="22"/>
              </w:rPr>
              <m:t>k-1</m:t>
            </m:r>
            <m:ctrlPr>
              <w:rPr>
                <w:rFonts w:ascii="Cambria Math" w:hAnsi="Cambria Math"/>
                <w:sz w:val="22"/>
                <w:szCs w:val="22"/>
              </w:rPr>
            </m:ctrlP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ctrlPr>
                          <w:rPr>
                            <w:rFonts w:ascii="Cambria Math" w:hAnsi="Cambria Math"/>
                            <w:sz w:val="22"/>
                            <w:szCs w:val="22"/>
                          </w:rPr>
                        </m:ctrlPr>
                      </m:e>
                      <m:sub>
                        <m:r>
                          <w:rPr>
                            <w:rFonts w:ascii="Cambria Math" w:hAnsi="Cambria Math"/>
                            <w:sz w:val="22"/>
                            <w:szCs w:val="22"/>
                          </w:rPr>
                          <m:t>i+1</m:t>
                        </m:r>
                        <m:ctrlPr>
                          <w:rPr>
                            <w:rFonts w:ascii="Cambria Math" w:hAnsi="Cambria Math"/>
                            <w:sz w:val="22"/>
                            <w:szCs w:val="22"/>
                          </w:rPr>
                        </m:ctrlPr>
                      </m:sub>
                    </m:sSub>
                    <m:ctrlPr>
                      <w:rPr>
                        <w:rFonts w:ascii="Cambria Math" w:hAnsi="Cambria Math"/>
                        <w:sz w:val="22"/>
                        <w:szCs w:val="22"/>
                      </w:rPr>
                    </m:ctrlPr>
                  </m:num>
                  <m:den>
                    <m:r>
                      <w:rPr>
                        <w:rFonts w:ascii="Cambria Math" w:hAnsi="Cambria Math"/>
                        <w:sz w:val="22"/>
                        <w:szCs w:val="22"/>
                      </w:rPr>
                      <m:t>2</m:t>
                    </m:r>
                    <m:ctrlPr>
                      <w:rPr>
                        <w:rFonts w:ascii="Cambria Math" w:hAnsi="Cambria Math"/>
                        <w:sz w:val="22"/>
                        <w:szCs w:val="22"/>
                      </w:rPr>
                    </m:ctrlP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m:t>
                        </m:r>
                        <m:ctrlPr>
                          <w:rPr>
                            <w:rFonts w:ascii="Cambria Math" w:hAnsi="Cambria Math"/>
                            <w:sz w:val="22"/>
                            <w:szCs w:val="22"/>
                          </w:rPr>
                        </m:ctrlP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ctrlPr>
                          <w:rPr>
                            <w:rFonts w:ascii="Cambria Math" w:hAnsi="Cambria Math"/>
                            <w:sz w:val="22"/>
                            <w:szCs w:val="22"/>
                          </w:rPr>
                        </m:ctrlPr>
                      </m:e>
                      <m:sub>
                        <m:r>
                          <w:rPr>
                            <w:rFonts w:ascii="Cambria Math" w:hAnsi="Cambria Math"/>
                            <w:sz w:val="22"/>
                            <w:szCs w:val="22"/>
                          </w:rPr>
                          <m:t>SM,i+1</m:t>
                        </m:r>
                        <m:ctrlPr>
                          <w:rPr>
                            <w:rFonts w:ascii="Cambria Math" w:hAnsi="Cambria Math"/>
                            <w:sz w:val="22"/>
                            <w:szCs w:val="22"/>
                          </w:rPr>
                        </m:ctrlPr>
                      </m:sub>
                    </m:sSub>
                    <m:ctrlPr>
                      <w:rPr>
                        <w:rFonts w:ascii="Cambria Math" w:hAnsi="Cambria Math"/>
                        <w:sz w:val="22"/>
                        <w:szCs w:val="22"/>
                      </w:rPr>
                    </m:ctrlPr>
                  </m:e>
                </m:d>
                <m:ctrlPr>
                  <w:rPr>
                    <w:rFonts w:ascii="Cambria Math" w:hAnsi="Cambria Math"/>
                    <w:sz w:val="22"/>
                    <w:szCs w:val="22"/>
                  </w:rPr>
                </m:ctrlPr>
              </m:e>
            </m:d>
            <m:r>
              <m:rPr>
                <m:sty m:val="p"/>
              </m:rPr>
              <w:rPr>
                <w:rFonts w:ascii="Cambria Math" w:hAnsi="Cambria Math" w:cs="Arial"/>
                <w:sz w:val="22"/>
                <w:szCs w:val="22"/>
              </w:rPr>
              <m:t xml:space="preserve"> </m:t>
            </m:r>
            <m:ctrlPr>
              <w:rPr>
                <w:rFonts w:ascii="Cambria Math" w:hAnsi="Cambria Math"/>
                <w:sz w:val="22"/>
                <w:szCs w:val="22"/>
              </w:rPr>
            </m:ctrlPr>
          </m:e>
        </m:nary>
      </m:oMath>
    </w:p>
    <w:p>
      <w:pPr>
        <w:pStyle w:val="48"/>
        <w:numPr>
          <w:ilvl w:val="1"/>
          <w:numId w:val="9"/>
        </w:numPr>
      </w:pPr>
      <w:r>
        <w:t>This is supported by China Telecom (former), Ericsson(later)</w:t>
      </w:r>
    </w:p>
    <w:p>
      <w:pPr>
        <w:pStyle w:val="48"/>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pPr>
        <w:pStyle w:val="48"/>
        <w:numPr>
          <w:ilvl w:val="1"/>
          <w:numId w:val="9"/>
        </w:numPr>
      </w:pPr>
      <w:r>
        <w:t>ZTE, CMCC</w:t>
      </w:r>
    </w:p>
    <w:p>
      <w:r>
        <w:t>The following summarizes the transition energy values proposed in contributions.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Huawei/HiSilicon</w:t>
            </w:r>
          </w:p>
        </w:tc>
        <w:tc>
          <w:tcPr>
            <w:tcW w:w="7970" w:type="dxa"/>
          </w:tcPr>
          <w:p>
            <w:pPr>
              <w:widowControl w:val="0"/>
              <w:spacing w:before="240"/>
              <w:rPr>
                <w:lang w:val="en-GB"/>
              </w:rPr>
            </w:pPr>
            <w:r>
              <w:rPr>
                <w:i/>
                <w:u w:val="single"/>
                <w:lang w:val="en-GB"/>
              </w:rPr>
              <w:t>Proposal 8:</w:t>
            </w:r>
            <w:r>
              <w:rPr>
                <w:i/>
                <w:lang w:val="en-GB"/>
              </w:rPr>
              <w:t xml:space="preserve"> The additional transition energy of Set 1 is recommended as follow.</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strike/>
                    </w:rPr>
                  </w:pPr>
                  <w:r>
                    <w:t>1326</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13172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150</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2173</w:t>
                  </w:r>
                </w:p>
              </w:tc>
            </w:tr>
          </w:tbl>
          <w:p>
            <w:pPr>
              <w:widowControl w:val="0"/>
            </w:pPr>
          </w:p>
          <w:p>
            <w:pPr>
              <w:widowControl w:val="0"/>
            </w:pPr>
            <w:r>
              <w:t>For Set 2 FR1 FDD and Set 3 FR2, the same calculation method can be applied.</w:t>
            </w:r>
          </w:p>
          <w:p>
            <w:pPr>
              <w:widowControl w:val="0"/>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Style w:val="26"/>
              <w:tblW w:w="7419"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9"/>
              <w:gridCol w:w="1537"/>
              <w:gridCol w:w="1537"/>
              <w:gridCol w:w="1537"/>
              <w:gridCol w:w="1537"/>
              <w:gridCol w:w="22"/>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23" w:hRule="atLeast"/>
                <w:jc w:val="center"/>
              </w:trPr>
              <w:tc>
                <w:tcPr>
                  <w:tcW w:w="1249"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6170" w:type="dxa"/>
                  <w:gridSpan w:val="5"/>
                  <w:tcBorders>
                    <w:top w:val="double" w:color="A5A5A5" w:sz="4" w:space="0"/>
                    <w:left w:val="double" w:color="A5A5A5" w:sz="4" w:space="0"/>
                    <w:right w:val="double" w:color="A5A5A5" w:sz="4" w:space="0"/>
                  </w:tcBorders>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325" w:hRule="atLeast"/>
                <w:jc w:val="center"/>
              </w:trPr>
              <w:tc>
                <w:tcPr>
                  <w:tcW w:w="1249" w:type="dxa"/>
                  <w:vMerge w:val="continue"/>
                  <w:tcBorders>
                    <w:left w:val="double" w:color="A5A5A5" w:sz="4" w:space="0"/>
                    <w:bottom w:val="double" w:color="A5A5A5" w:sz="4" w:space="0"/>
                    <w:right w:val="double" w:color="A5A5A5" w:sz="4" w:space="0"/>
                  </w:tcBorders>
                  <w:vAlign w:val="center"/>
                </w:tcPr>
                <w:p>
                  <w:pPr>
                    <w:jc w:val="center"/>
                  </w:pP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2</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8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1213</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7533</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021</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767</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9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135</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534</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9</w:t>
                  </w:r>
                  <w:r>
                    <w:t>0</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7</w:t>
                  </w:r>
                  <w:r>
                    <w:t>67</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6" w:hRule="atLeast"/>
        </w:trPr>
        <w:tc>
          <w:tcPr>
            <w:tcW w:w="1661" w:type="dxa"/>
          </w:tcPr>
          <w:p>
            <w:pPr>
              <w:widowControl w:val="0"/>
            </w:pPr>
            <w:r>
              <w:t>Nokia/NSB, vivo, OPPO, CATT,CMCC, LGE</w:t>
            </w:r>
          </w:p>
        </w:tc>
        <w:tc>
          <w:tcPr>
            <w:tcW w:w="7970" w:type="dxa"/>
          </w:tcPr>
          <w:p>
            <w:pPr>
              <w:widowControl w:val="0"/>
            </w:pPr>
          </w:p>
          <w:tbl>
            <w:tblPr>
              <w:tblStyle w:val="26"/>
              <w:tblW w:w="7103"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8"/>
              <w:gridCol w:w="1685"/>
              <w:gridCol w:w="168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restart"/>
                  <w:shd w:val="clear" w:color="auto" w:fill="F1F1F1" w:themeFill="background1" w:themeFillShade="F2"/>
                  <w:tcMar>
                    <w:top w:w="54" w:type="dxa"/>
                    <w:left w:w="108" w:type="dxa"/>
                    <w:bottom w:w="54" w:type="dxa"/>
                    <w:right w:w="108" w:type="dxa"/>
                  </w:tcMar>
                  <w:vAlign w:val="center"/>
                </w:tcPr>
                <w:p>
                  <w:pPr>
                    <w:jc w:val="center"/>
                    <w:rPr>
                      <w:rFonts w:eastAsia="Times New Roman" w:asciiTheme="minorHAnsi" w:hAnsiTheme="minorHAnsi" w:cstheme="minorHAnsi"/>
                    </w:rPr>
                  </w:pPr>
                  <w:r>
                    <w:rPr>
                      <w:rFonts w:asciiTheme="minorHAnsi" w:hAnsiTheme="minorHAnsi" w:cstheme="minorHAnsi"/>
                    </w:rPr>
                    <w:t>Power State</w:t>
                  </w:r>
                </w:p>
              </w:tc>
              <w:tc>
                <w:tcPr>
                  <w:tcW w:w="3370" w:type="dxa"/>
                  <w:gridSpan w:val="2"/>
                  <w:shd w:val="clear" w:color="auto" w:fill="F1F1F1" w:themeFill="background1" w:themeFillShade="F2"/>
                </w:tcPr>
                <w:p>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ctrlPr>
                            <w:rPr>
                              <w:rFonts w:ascii="Cambria Math" w:hAnsi="Cambria Math"/>
                              <w:bCs/>
                              <w:sz w:val="22"/>
                              <w:szCs w:val="22"/>
                            </w:rPr>
                          </m:ctrlPr>
                        </m:num>
                        <m:den>
                          <m:r>
                            <w:rPr>
                              <w:rFonts w:ascii="Cambria Math" w:hAnsi="Cambria Math"/>
                              <w:sz w:val="22"/>
                              <w:szCs w:val="22"/>
                            </w:rPr>
                            <m:t>2</m:t>
                          </m:r>
                          <m:ctrlPr>
                            <w:rPr>
                              <w:rFonts w:ascii="Cambria Math" w:hAnsi="Cambria Math"/>
                              <w:bCs/>
                              <w:sz w:val="22"/>
                              <w:szCs w:val="22"/>
                            </w:rPr>
                          </m:ctrlP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ctrlPr>
                            <w:rPr>
                              <w:rFonts w:ascii="Cambria Math" w:hAnsi="Cambria Math"/>
                              <w:bCs/>
                              <w:i/>
                              <w:sz w:val="22"/>
                              <w:szCs w:val="22"/>
                            </w:rPr>
                          </m:ctrlPr>
                        </m:e>
                        <m:sub>
                          <m:r>
                            <w:rPr>
                              <w:rFonts w:ascii="Cambria Math" w:hAnsi="Cambria Math"/>
                              <w:sz w:val="22"/>
                              <w:szCs w:val="22"/>
                            </w:rPr>
                            <m:t>i</m:t>
                          </m:r>
                          <m:ctrlPr>
                            <w:rPr>
                              <w:rFonts w:ascii="Cambria Math" w:hAnsi="Cambria Math"/>
                              <w:bCs/>
                              <w:i/>
                              <w:sz w:val="22"/>
                              <w:szCs w:val="22"/>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continue"/>
                  <w:shd w:val="clear" w:color="auto" w:fill="F1F1F1" w:themeFill="background1" w:themeFillShade="F2"/>
                  <w:tcMar>
                    <w:top w:w="54" w:type="dxa"/>
                    <w:left w:w="108" w:type="dxa"/>
                    <w:bottom w:w="54" w:type="dxa"/>
                    <w:right w:w="108" w:type="dxa"/>
                  </w:tcMar>
                </w:tcPr>
                <w:p>
                  <w:pPr>
                    <w:jc w:val="center"/>
                    <w:rPr>
                      <w:rFonts w:asciiTheme="minorHAnsi" w:hAnsiTheme="minorHAnsi" w:cstheme="minorHAnsi"/>
                    </w:rPr>
                  </w:pPr>
                </w:p>
              </w:tc>
              <w:tc>
                <w:tcPr>
                  <w:tcW w:w="1684"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1 FR1</w:t>
                  </w:r>
                </w:p>
                <w:p>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2 FR1</w:t>
                  </w:r>
                </w:p>
                <w:p>
                  <w:pPr>
                    <w:spacing w:after="0"/>
                    <w:jc w:val="center"/>
                    <w:rPr>
                      <w:rFonts w:asciiTheme="minorHAnsi" w:hAnsiTheme="minorHAnsi" w:cstheme="minorHAnsi"/>
                    </w:rPr>
                  </w:pPr>
                  <w:r>
                    <w:rPr>
                      <w:rFonts w:asciiTheme="minorHAnsi" w:hAnsiTheme="minorHAnsi" w:cstheme="minorHAnsi"/>
                    </w:rPr>
                    <w:t>(as per proposed power consumption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2048"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1684" w:type="dxa"/>
                </w:tcPr>
                <w:p>
                  <w:pPr>
                    <w:spacing w:after="0"/>
                    <w:jc w:val="center"/>
                    <w:rPr>
                      <w:rFonts w:asciiTheme="minorHAnsi" w:hAnsiTheme="minorHAnsi" w:cstheme="minorHAnsi"/>
                    </w:rPr>
                  </w:pPr>
                  <w:r>
                    <w:rPr>
                      <w:rFonts w:asciiTheme="minorHAnsi" w:hAnsiTheme="minorHAnsi" w:cstheme="minorHAnsi"/>
                    </w:rPr>
                    <w:t>22500</w:t>
                  </w:r>
                </w:p>
              </w:tc>
              <w:tc>
                <w:tcPr>
                  <w:tcW w:w="1686" w:type="dxa"/>
                </w:tcPr>
                <w:p>
                  <w:pPr>
                    <w:spacing w:after="0"/>
                    <w:jc w:val="center"/>
                    <w:rPr>
                      <w:rFonts w:asciiTheme="minorHAnsi" w:hAnsiTheme="minorHAnsi" w:cstheme="minorHAnsi"/>
                    </w:rPr>
                  </w:pPr>
                  <w:r>
                    <w:rPr>
                      <w:rFonts w:asciiTheme="minorHAnsi" w:hAnsiTheme="minorHAnsi" w:cstheme="minorHAnsi"/>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1088</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UL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bl>
          <w:p>
            <w:pPr>
              <w:widowControl w:val="0"/>
            </w:pPr>
          </w:p>
          <w:tbl>
            <w:tblPr>
              <w:tblStyle w:val="27"/>
              <w:tblW w:w="4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3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tcPr>
                <w:p>
                  <w:pPr>
                    <w:widowControl w:val="0"/>
                    <w:jc w:val="center"/>
                    <w:rPr>
                      <w:rFonts w:eastAsia="Malgun Gothic"/>
                      <w:bCs/>
                      <w:kern w:val="2"/>
                      <w:szCs w:val="22"/>
                    </w:rPr>
                  </w:pPr>
                  <w:r>
                    <w:rPr>
                      <w:rFonts w:eastAsia="Malgun Gothic"/>
                      <w:bCs/>
                      <w:kern w:val="2"/>
                      <w:szCs w:val="22"/>
                    </w:rPr>
                    <w:t>Power state</w:t>
                  </w:r>
                </w:p>
              </w:tc>
              <w:tc>
                <w:tcPr>
                  <w:tcW w:w="3139" w:type="dxa"/>
                  <w:gridSpan w:val="2"/>
                </w:tcPr>
                <w:p>
                  <w:pPr>
                    <w:pStyle w:val="69"/>
                    <w:widowControl w:val="0"/>
                    <w:spacing w:after="120"/>
                    <w:rPr>
                      <w:rFonts w:ascii="Times New Roman" w:hAnsi="Times New Roman" w:eastAsia="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pPr>
                    <w:widowControl w:val="0"/>
                    <w:jc w:val="center"/>
                  </w:pPr>
                </w:p>
              </w:tc>
              <w:tc>
                <w:tcPr>
                  <w:tcW w:w="1438" w:type="dxa"/>
                </w:tcPr>
                <w:p>
                  <w:pPr>
                    <w:widowControl w:val="0"/>
                    <w:jc w:val="center"/>
                    <w:rPr>
                      <w:highlight w:val="yellow"/>
                    </w:rPr>
                  </w:pPr>
                  <w:r>
                    <w:rPr>
                      <w:highlight w:val="yellow"/>
                    </w:rPr>
                    <w:t>Category 1</w:t>
                  </w:r>
                </w:p>
              </w:tc>
              <w:tc>
                <w:tcPr>
                  <w:tcW w:w="1701" w:type="dxa"/>
                </w:tcPr>
                <w:p>
                  <w:pPr>
                    <w:widowControl w:val="0"/>
                    <w:jc w:val="center"/>
                  </w:pPr>
                  <w: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Deep sleep</w:t>
                  </w:r>
                </w:p>
              </w:tc>
              <w:tc>
                <w:tcPr>
                  <w:tcW w:w="1438" w:type="dxa"/>
                </w:tcPr>
                <w:p>
                  <w:pPr>
                    <w:widowControl w:val="0"/>
                    <w:jc w:val="center"/>
                  </w:pPr>
                  <w:r>
                    <w:t>1350</w:t>
                  </w:r>
                </w:p>
              </w:tc>
              <w:tc>
                <w:tcPr>
                  <w:tcW w:w="1701" w:type="dxa"/>
                </w:tcPr>
                <w:p>
                  <w:pPr>
                    <w:widowControl w:val="0"/>
                    <w:jc w:val="center"/>
                  </w:pPr>
                  <w:r>
                    <w:t>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Light sleep</w:t>
                  </w:r>
                </w:p>
              </w:tc>
              <w:tc>
                <w:tcPr>
                  <w:tcW w:w="1438" w:type="dxa"/>
                </w:tcPr>
                <w:p>
                  <w:pPr>
                    <w:widowControl w:val="0"/>
                    <w:jc w:val="center"/>
                  </w:pPr>
                  <w:r>
                    <w:t>90</w:t>
                  </w:r>
                </w:p>
              </w:tc>
              <w:tc>
                <w:tcPr>
                  <w:tcW w:w="1701" w:type="dxa"/>
                </w:tcPr>
                <w:p>
                  <w:pPr>
                    <w:widowControl w:val="0"/>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1661" w:type="dxa"/>
          </w:tcPr>
          <w:p>
            <w:pPr>
              <w:widowControl w:val="0"/>
            </w:pPr>
            <w:r>
              <w:t>Intel</w:t>
            </w:r>
          </w:p>
        </w:tc>
        <w:tc>
          <w:tcPr>
            <w:tcW w:w="7970" w:type="dxa"/>
          </w:tcPr>
          <w:tbl>
            <w:tblPr>
              <w:tblStyle w:val="26"/>
              <w:tblW w:w="4521" w:type="dxa"/>
              <w:jc w:val="cente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autofit"/>
              <w:tblCellMar>
                <w:top w:w="0" w:type="dxa"/>
                <w:left w:w="108" w:type="dxa"/>
                <w:bottom w:w="0" w:type="dxa"/>
                <w:right w:w="108" w:type="dxa"/>
              </w:tblCellMar>
            </w:tblPr>
            <w:tblGrid>
              <w:gridCol w:w="1382"/>
              <w:gridCol w:w="1438"/>
              <w:gridCol w:w="1701"/>
            </w:tblGrid>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restart"/>
                  <w:vAlign w:val="center"/>
                </w:tcPr>
                <w:p>
                  <w:pPr>
                    <w:jc w:val="center"/>
                    <w:rPr>
                      <w:rFonts w:eastAsia="Malgun Gothic"/>
                      <w:bCs/>
                      <w:kern w:val="2"/>
                      <w:szCs w:val="22"/>
                    </w:rPr>
                  </w:pPr>
                  <w:r>
                    <w:rPr>
                      <w:lang w:val="en-GB" w:eastAsia="zh-CN"/>
                    </w:rPr>
                    <w:t xml:space="preserve">    </w:t>
                  </w:r>
                  <w:r>
                    <w:rPr>
                      <w:rFonts w:eastAsia="Malgun Gothic"/>
                      <w:bCs/>
                      <w:kern w:val="2"/>
                      <w:szCs w:val="22"/>
                    </w:rPr>
                    <w:t>Power state</w:t>
                  </w:r>
                </w:p>
              </w:tc>
              <w:tc>
                <w:tcPr>
                  <w:tcW w:w="3139" w:type="dxa"/>
                  <w:gridSpan w:val="2"/>
                  <w:vAlign w:val="center"/>
                </w:tcPr>
                <w:p>
                  <w:pPr>
                    <w:pStyle w:val="69"/>
                    <w:rPr>
                      <w:rFonts w:ascii="Times New Roman" w:hAnsi="Times New Roman" w:eastAsia="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p>
                  <w:pPr>
                    <w:pStyle w:val="69"/>
                    <w:rPr>
                      <w:rFonts w:ascii="Times New Roman" w:hAnsi="Times New Roman" w:eastAsia="Times New Roman"/>
                      <w:b w:val="0"/>
                      <w:bCs/>
                      <w:kern w:val="2"/>
                      <w:sz w:val="20"/>
                      <w:szCs w:val="22"/>
                      <w:lang w:val="en-US"/>
                    </w:rPr>
                  </w:pPr>
                  <w:bookmarkStart w:id="7" w:name="_Hlk115379203"/>
                  <w:r>
                    <w:rPr>
                      <w:rFonts w:ascii="Times New Roman" w:hAnsi="Times New Roman"/>
                      <w:b w:val="0"/>
                      <w:bCs/>
                    </w:rPr>
                    <w:t>(unit in relative power*ms)</w:t>
                  </w:r>
                  <w:bookmarkEnd w:id="7"/>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continue"/>
                  <w:vAlign w:val="center"/>
                </w:tcPr>
                <w:p>
                  <w:pPr>
                    <w:jc w:val="center"/>
                  </w:pPr>
                </w:p>
              </w:tc>
              <w:tc>
                <w:tcPr>
                  <w:tcW w:w="1438" w:type="dxa"/>
                </w:tcPr>
                <w:p>
                  <w:pPr>
                    <w:jc w:val="center"/>
                  </w:pPr>
                  <w:r>
                    <w:t>Category 1</w:t>
                  </w:r>
                </w:p>
              </w:tc>
              <w:tc>
                <w:tcPr>
                  <w:tcW w:w="1701" w:type="dxa"/>
                </w:tcPr>
                <w:p>
                  <w:pPr>
                    <w:jc w:val="center"/>
                  </w:pPr>
                  <w:r>
                    <w:t>Category 2</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Deep sleep</w:t>
                  </w:r>
                </w:p>
              </w:tc>
              <w:tc>
                <w:tcPr>
                  <w:tcW w:w="1438" w:type="dxa"/>
                </w:tcPr>
                <w:p>
                  <w:pPr>
                    <w:jc w:val="center"/>
                  </w:pPr>
                  <w:r>
                    <w:t>1350</w:t>
                  </w:r>
                </w:p>
              </w:tc>
              <w:tc>
                <w:tcPr>
                  <w:tcW w:w="1701" w:type="dxa"/>
                </w:tcPr>
                <w:p>
                  <w:pPr>
                    <w:jc w:val="center"/>
                  </w:pPr>
                  <w:r>
                    <w:t>13000</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Light sleep</w:t>
                  </w:r>
                </w:p>
              </w:tc>
              <w:tc>
                <w:tcPr>
                  <w:tcW w:w="1438" w:type="dxa"/>
                </w:tcPr>
                <w:p>
                  <w:pPr>
                    <w:jc w:val="center"/>
                  </w:pPr>
                  <w:r>
                    <w:t>90</w:t>
                  </w:r>
                </w:p>
              </w:tc>
              <w:tc>
                <w:tcPr>
                  <w:tcW w:w="1701" w:type="dxa"/>
                </w:tcPr>
                <w:p>
                  <w:pPr>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61" w:type="dxa"/>
          </w:tcPr>
          <w:p>
            <w:pPr>
              <w:widowControl w:val="0"/>
            </w:pPr>
            <w:r>
              <w:t>ZTE</w:t>
            </w:r>
          </w:p>
        </w:tc>
        <w:tc>
          <w:tcPr>
            <w:tcW w:w="7970" w:type="dxa"/>
          </w:tcPr>
          <w:p>
            <w:pPr>
              <w:widowControl w:val="0"/>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1350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r>
              <w:rPr>
                <w:rFonts w:ascii="Calibri" w:hAnsi="Calibri" w:eastAsia="Malgun Gothic"/>
                <w:bCs/>
                <w:kern w:val="2"/>
                <w:szCs w:val="22"/>
              </w:rPr>
              <w:t>Or</w:t>
            </w:r>
          </w:p>
          <w:p>
            <w:pPr>
              <w:widowControl w:val="0"/>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w:t>
                  </w:r>
                  <w:r>
                    <w:rPr>
                      <w:rFonts w:hint="eastAsia"/>
                      <w:szCs w:val="21"/>
                    </w:rPr>
                    <w:t>2</w:t>
                  </w:r>
                  <w:r>
                    <w:rPr>
                      <w:szCs w:val="21"/>
                    </w:rPr>
                    <w:t>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rFonts w:hint="eastAsia"/>
                      <w:szCs w:val="21"/>
                    </w:rPr>
                    <w:t>120</w:t>
                  </w:r>
                  <w:r>
                    <w:rPr>
                      <w:szCs w:val="21"/>
                    </w:rPr>
                    <w:t>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1661" w:type="dxa"/>
          </w:tcPr>
          <w:p>
            <w:pPr>
              <w:widowControl w:val="0"/>
            </w:pPr>
            <w:r>
              <w:t>MediaTek</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37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vMerge w:val="restart"/>
                  <w:vAlign w:val="center"/>
                </w:tcPr>
                <w:p>
                  <w:pPr>
                    <w:widowControl w:val="0"/>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pPr>
                    <w:pStyle w:val="69"/>
                    <w:widowControl w:val="0"/>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ctrlPr>
                          <w:rPr>
                            <w:rFonts w:ascii="Cambria Math" w:hAnsi="Cambria Math" w:cstheme="minorHAnsi"/>
                            <w:b w:val="0"/>
                            <w:i/>
                            <w:sz w:val="22"/>
                            <w:szCs w:val="22"/>
                          </w:rPr>
                        </m:ctrlPr>
                      </m:e>
                      <m:sub>
                        <m:r>
                          <m:rPr>
                            <m:sty m:val="bi"/>
                          </m:rPr>
                          <w:rPr>
                            <w:rFonts w:ascii="Cambria Math" w:hAnsi="Cambria Math" w:cstheme="minorHAnsi"/>
                            <w:sz w:val="22"/>
                            <w:szCs w:val="22"/>
                          </w:rPr>
                          <m:t>i</m:t>
                        </m:r>
                        <m:ctrlPr>
                          <w:rPr>
                            <w:rFonts w:ascii="Cambria Math" w:hAnsi="Cambria Math" w:cstheme="minorHAnsi"/>
                            <w:b w:val="0"/>
                            <w:i/>
                            <w:sz w:val="22"/>
                            <w:szCs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vAlign w:val="center"/>
                </w:tcPr>
                <w:p>
                  <w:pPr>
                    <w:widowControl w:val="0"/>
                    <w:jc w:val="center"/>
                    <w:rPr>
                      <w:rFonts w:cstheme="minorHAnsi"/>
                      <w:sz w:val="22"/>
                      <w:szCs w:val="22"/>
                    </w:rPr>
                  </w:pPr>
                </w:p>
              </w:tc>
              <w:tc>
                <w:tcPr>
                  <w:tcW w:w="0" w:type="auto"/>
                  <w:vAlign w:val="center"/>
                </w:tcPr>
                <w:p>
                  <w:pPr>
                    <w:widowControl w:val="0"/>
                    <w:jc w:val="center"/>
                    <w:rPr>
                      <w:rFonts w:cstheme="minorHAnsi"/>
                      <w:sz w:val="22"/>
                      <w:szCs w:val="22"/>
                    </w:rPr>
                  </w:pPr>
                  <w:r>
                    <w:rPr>
                      <w:rFonts w:cstheme="minorHAnsi"/>
                      <w:sz w:val="22"/>
                      <w:szCs w:val="22"/>
                    </w:rPr>
                    <w:t>Category 1</w:t>
                  </w:r>
                </w:p>
              </w:tc>
              <w:tc>
                <w:tcPr>
                  <w:tcW w:w="0" w:type="auto"/>
                  <w:vAlign w:val="center"/>
                </w:tcPr>
                <w:p>
                  <w:pPr>
                    <w:widowControl w:val="0"/>
                    <w:jc w:val="center"/>
                    <w:rPr>
                      <w:rFonts w:cstheme="minorHAnsi"/>
                      <w:sz w:val="22"/>
                      <w:szCs w:val="22"/>
                    </w:rPr>
                  </w:pPr>
                  <w:r>
                    <w:rPr>
                      <w:rFonts w:cstheme="minorHAnsi"/>
                      <w:sz w:val="22"/>
                      <w:szCs w:val="22"/>
                    </w:rP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0" w:type="auto"/>
                  <w:vAlign w:val="center"/>
                </w:tcPr>
                <w:p>
                  <w:pPr>
                    <w:widowControl w:val="0"/>
                    <w:jc w:val="center"/>
                    <w:rPr>
                      <w:rFonts w:cstheme="minorHAnsi"/>
                      <w:sz w:val="22"/>
                      <w:szCs w:val="22"/>
                    </w:rPr>
                  </w:pPr>
                  <w:r>
                    <w:rPr>
                      <w:rFonts w:cstheme="minorHAnsi"/>
                      <w:sz w:val="22"/>
                      <w:szCs w:val="22"/>
                    </w:rPr>
                    <w:t>Deep sleep</w:t>
                  </w:r>
                </w:p>
              </w:tc>
              <w:tc>
                <w:tcPr>
                  <w:tcW w:w="0" w:type="auto"/>
                  <w:vAlign w:val="center"/>
                </w:tcPr>
                <w:p>
                  <w:pPr>
                    <w:widowControl w:val="0"/>
                    <w:jc w:val="center"/>
                    <w:rPr>
                      <w:rFonts w:cstheme="minorHAnsi"/>
                      <w:bCs/>
                      <w:sz w:val="22"/>
                      <w:szCs w:val="22"/>
                    </w:rPr>
                  </w:pPr>
                  <w:r>
                    <w:rPr>
                      <w:rFonts w:cstheme="minorHAnsi"/>
                      <w:bCs/>
                      <w:sz w:val="22"/>
                      <w:szCs w:val="22"/>
                    </w:rPr>
                    <w:t>1350</w:t>
                  </w:r>
                </w:p>
              </w:tc>
              <w:tc>
                <w:tcPr>
                  <w:tcW w:w="0" w:type="auto"/>
                  <w:vAlign w:val="center"/>
                </w:tcPr>
                <w:p>
                  <w:pPr>
                    <w:widowControl w:val="0"/>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vAlign w:val="center"/>
                </w:tcPr>
                <w:p>
                  <w:pPr>
                    <w:widowControl w:val="0"/>
                    <w:jc w:val="center"/>
                    <w:rPr>
                      <w:rFonts w:cstheme="minorHAnsi"/>
                      <w:sz w:val="22"/>
                      <w:szCs w:val="22"/>
                    </w:rPr>
                  </w:pPr>
                  <w:r>
                    <w:rPr>
                      <w:rFonts w:cstheme="minorHAnsi"/>
                      <w:sz w:val="22"/>
                      <w:szCs w:val="22"/>
                    </w:rPr>
                    <w:t>Light sleep</w:t>
                  </w:r>
                </w:p>
              </w:tc>
              <w:tc>
                <w:tcPr>
                  <w:tcW w:w="0" w:type="auto"/>
                  <w:vAlign w:val="center"/>
                </w:tcPr>
                <w:p>
                  <w:pPr>
                    <w:widowControl w:val="0"/>
                    <w:jc w:val="center"/>
                    <w:rPr>
                      <w:rFonts w:cstheme="minorHAnsi"/>
                      <w:bCs/>
                      <w:sz w:val="22"/>
                      <w:szCs w:val="22"/>
                    </w:rPr>
                  </w:pPr>
                  <w:r>
                    <w:rPr>
                      <w:rFonts w:cstheme="minorHAnsi"/>
                      <w:bCs/>
                      <w:sz w:val="22"/>
                      <w:szCs w:val="22"/>
                    </w:rPr>
                    <w:t>90</w:t>
                  </w:r>
                </w:p>
              </w:tc>
              <w:tc>
                <w:tcPr>
                  <w:tcW w:w="0" w:type="auto"/>
                  <w:vAlign w:val="center"/>
                </w:tcPr>
                <w:p>
                  <w:pPr>
                    <w:widowControl w:val="0"/>
                    <w:jc w:val="center"/>
                    <w:rPr>
                      <w:rFonts w:cstheme="minorHAnsi"/>
                      <w:bCs/>
                      <w:sz w:val="22"/>
                      <w:szCs w:val="22"/>
                    </w:rPr>
                  </w:pPr>
                  <w:r>
                    <w:rPr>
                      <w:rFonts w:cstheme="minorHAnsi"/>
                      <w:bCs/>
                      <w:sz w:val="22"/>
                      <w:szCs w:val="22"/>
                    </w:rPr>
                    <w:t>1088</w:t>
                  </w:r>
                </w:p>
              </w:tc>
            </w:tr>
          </w:tbl>
          <w:p>
            <w:pPr>
              <w:widowControl w:val="0"/>
              <w:spacing w:before="120" w:line="256"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Samsung (with set 1 values same as Nokia/NSB, vivo… etc.)</w:t>
            </w:r>
          </w:p>
        </w:tc>
        <w:tc>
          <w:tcPr>
            <w:tcW w:w="7970" w:type="dxa"/>
          </w:tcPr>
          <w:p>
            <w:pPr>
              <w:pStyle w:val="48"/>
              <w:widowControl w:val="0"/>
              <w:numPr>
                <w:ilvl w:val="0"/>
                <w:numId w:val="10"/>
              </w:numPr>
              <w:snapToGrid w:val="0"/>
              <w:rPr>
                <w:b/>
              </w:rPr>
            </w:pPr>
            <w:r>
              <w:rPr>
                <w:b/>
              </w:rPr>
              <w:t xml:space="preserve">For set 1,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10"/>
              </w:numPr>
              <w:snapToGrid w:val="0"/>
              <w:rPr>
                <w:b/>
              </w:rPr>
            </w:pPr>
            <w:r>
              <w:rPr>
                <w:b/>
              </w:rPr>
              <w:t xml:space="preserve">For set 2,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w:t>
                  </w:r>
                  <w:r>
                    <w:rPr>
                      <w:lang w:eastAsia="ko-KR"/>
                    </w:rPr>
                    <w:t>225</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81</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768</w:t>
                  </w:r>
                </w:p>
              </w:tc>
            </w:tr>
          </w:tbl>
          <w:p>
            <w:pPr>
              <w:pStyle w:val="48"/>
              <w:widowControl w:val="0"/>
              <w:numPr>
                <w:ilvl w:val="0"/>
                <w:numId w:val="10"/>
              </w:numPr>
              <w:snapToGrid w:val="0"/>
              <w:rPr>
                <w:b/>
              </w:rPr>
            </w:pPr>
            <w:r>
              <w:rPr>
                <w:b/>
              </w:rPr>
              <w:t xml:space="preserve">For set 3, the additional energy (unit in relative power*(duration in </w:t>
            </w:r>
            <w:r>
              <w:rPr>
                <w:b/>
                <w:i/>
              </w:rPr>
              <w:t>ms</w:t>
            </w:r>
            <w:r>
              <w:rPr>
                <w:b/>
              </w:rPr>
              <w:t xml:space="preserve">))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925</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54</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384</w:t>
                  </w:r>
                </w:p>
              </w:tc>
            </w:tr>
          </w:tbl>
          <w:p>
            <w:pPr>
              <w:widowControl w:val="0"/>
              <w:jc w:val="center"/>
              <w:rPr>
                <w:rFonts w:eastAsia="Malgun Gothic" w:cstheme="minorHAnsi"/>
                <w:bCs/>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Ericsson</w:t>
            </w:r>
          </w:p>
        </w:tc>
        <w:tc>
          <w:tcPr>
            <w:tcW w:w="7970" w:type="dxa"/>
          </w:tcPr>
          <w:p>
            <w:pPr>
              <w:pStyle w:val="48"/>
              <w:widowControl w:val="0"/>
              <w:snapToGrid w:val="0"/>
              <w:rPr>
                <w:b/>
              </w:rPr>
            </w:pPr>
            <w:r>
              <w:rPr>
                <w:lang w:val="en-US" w:eastAsia="zh-CN"/>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Style w:val="26"/>
              <w:tblW w:w="7371" w:type="dxa"/>
              <w:tblInd w:w="201" w:type="dxa"/>
              <w:tblLayout w:type="autofit"/>
              <w:tblCellMar>
                <w:top w:w="0" w:type="dxa"/>
                <w:left w:w="108" w:type="dxa"/>
                <w:bottom w:w="0" w:type="dxa"/>
                <w:right w:w="108" w:type="dxa"/>
              </w:tblCellMar>
            </w:tblPr>
            <w:tblGrid>
              <w:gridCol w:w="2344"/>
              <w:gridCol w:w="1072"/>
              <w:gridCol w:w="1072"/>
              <w:gridCol w:w="751"/>
              <w:gridCol w:w="2132"/>
            </w:tblGrid>
            <w:tr>
              <w:tblPrEx>
                <w:tblCellMar>
                  <w:top w:w="0" w:type="dxa"/>
                  <w:left w:w="108" w:type="dxa"/>
                  <w:bottom w:w="0" w:type="dxa"/>
                  <w:right w:w="108" w:type="dxa"/>
                </w:tblCellMar>
              </w:tblPrEx>
              <w:trPr>
                <w:trHeight w:val="41" w:hRule="atLeast"/>
              </w:trPr>
              <w:tc>
                <w:tcPr>
                  <w:tcW w:w="2690" w:type="dxa"/>
                  <w:vMerge w:val="restart"/>
                  <w:tcBorders>
                    <w:top w:val="single" w:color="auto" w:sz="8" w:space="0"/>
                    <w:left w:val="single" w:color="auto" w:sz="8" w:space="0"/>
                    <w:bottom w:val="nil"/>
                    <w:right w:val="single" w:color="auto" w:sz="8" w:space="0"/>
                  </w:tcBorders>
                  <w:shd w:val="clear" w:color="auto" w:fill="auto"/>
                  <w:vAlign w:val="center"/>
                </w:tcPr>
                <w:p>
                  <w:pPr>
                    <w:rPr>
                      <w:rFonts w:ascii="Arial" w:hAnsi="Arial" w:cs="Arial"/>
                      <w:b/>
                      <w:bCs/>
                      <w:color w:val="000000"/>
                    </w:rPr>
                  </w:pPr>
                  <w:r>
                    <w:rPr>
                      <w:rFonts w:ascii="Arial" w:hAnsi="Arial" w:cs="Arial"/>
                      <w:b/>
                      <w:bCs/>
                      <w:color w:val="000000"/>
                      <w:lang w:val="en-GB" w:eastAsia="ja-JP"/>
                    </w:rPr>
                    <w:t>Transitions</w:t>
                  </w:r>
                </w:p>
                <w:p>
                  <w:pPr>
                    <w:rPr>
                      <w:rFonts w:ascii="Arial" w:hAnsi="Arial" w:cs="Arial"/>
                      <w:b/>
                      <w:bCs/>
                      <w:color w:val="000000"/>
                    </w:rPr>
                  </w:pPr>
                  <w:r>
                    <w:rPr>
                      <w:rFonts w:ascii="Arial" w:hAnsi="Arial" w:cs="Arial"/>
                      <w:b/>
                      <w:bCs/>
                      <w:color w:val="000000"/>
                    </w:rPr>
                    <w:t> </w:t>
                  </w:r>
                </w:p>
              </w:tc>
              <w:tc>
                <w:tcPr>
                  <w:tcW w:w="2343" w:type="dxa"/>
                  <w:gridSpan w:val="3"/>
                  <w:tcBorders>
                    <w:top w:val="single" w:color="auto" w:sz="8" w:space="0"/>
                    <w:left w:val="nil"/>
                    <w:bottom w:val="single" w:color="auto" w:sz="8" w:space="0"/>
                    <w:right w:val="single" w:color="auto" w:sz="8" w:space="0"/>
                  </w:tcBorders>
                  <w:shd w:val="clear" w:color="auto" w:fill="auto"/>
                  <w:noWrap/>
                  <w:vAlign w:val="bottom"/>
                </w:tcPr>
                <w:p>
                  <w:pPr>
                    <w:rPr>
                      <w:rFonts w:ascii="Calibri" w:hAnsi="Calibri" w:cs="Calibri"/>
                      <w:color w:val="000000"/>
                    </w:rPr>
                  </w:pPr>
                  <w:r>
                    <w:rPr>
                      <w:rFonts w:ascii="Calibri" w:hAnsi="Calibri" w:cs="Calibri"/>
                      <w:color w:val="000000"/>
                    </w:rPr>
                    <w:t> </w:t>
                  </w:r>
                </w:p>
                <w:p>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pPr>
                    <w:jc w:val="center"/>
                    <w:rPr>
                      <w:rFonts w:ascii="Arial" w:hAnsi="Arial" w:cs="Arial"/>
                      <w:b/>
                      <w:bCs/>
                      <w:color w:val="000000"/>
                    </w:rPr>
                  </w:pPr>
                  <w:r>
                    <w:rPr>
                      <w:rFonts w:ascii="Arial" w:hAnsi="Arial" w:cs="Arial"/>
                      <w:b/>
                      <w:bCs/>
                      <w:color w:val="000000"/>
                    </w:rPr>
                    <w:t> </w:t>
                  </w:r>
                </w:p>
              </w:tc>
              <w:tc>
                <w:tcPr>
                  <w:tcW w:w="2338" w:type="dxa"/>
                  <w:vMerge w:val="restart"/>
                  <w:tcBorders>
                    <w:top w:val="single" w:color="auto" w:sz="8" w:space="0"/>
                    <w:left w:val="nil"/>
                    <w:bottom w:val="nil"/>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Transition time (ms)</w:t>
                  </w:r>
                </w:p>
                <w:p>
                  <w:pPr>
                    <w:jc w:val="center"/>
                    <w:rPr>
                      <w:rFonts w:ascii="Arial" w:hAnsi="Arial" w:cs="Arial"/>
                      <w:i/>
                      <w:color w:val="000000"/>
                    </w:rPr>
                  </w:pPr>
                  <w:r>
                    <w:rPr>
                      <w:rFonts w:ascii="Arial" w:hAnsi="Arial" w:cs="Arial"/>
                      <w:i/>
                      <w:color w:val="000000"/>
                      <w:lang w:val="en-GB" w:eastAsia="ja-JP"/>
                    </w:rPr>
                    <w:t>(incl. ramp down/up)</w:t>
                  </w:r>
                </w:p>
                <w:p>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tblPrEx>
                <w:tblCellMar>
                  <w:top w:w="0" w:type="dxa"/>
                  <w:left w:w="108" w:type="dxa"/>
                  <w:bottom w:w="0" w:type="dxa"/>
                  <w:right w:w="108" w:type="dxa"/>
                </w:tblCellMar>
              </w:tblPrEx>
              <w:trPr>
                <w:trHeight w:val="186" w:hRule="atLeast"/>
              </w:trPr>
              <w:tc>
                <w:tcPr>
                  <w:tcW w:w="2690" w:type="dxa"/>
                  <w:vMerge w:val="continue"/>
                  <w:tcBorders>
                    <w:left w:val="single" w:color="auto" w:sz="8" w:space="0"/>
                    <w:bottom w:val="single" w:color="auto" w:sz="8" w:space="0"/>
                    <w:right w:val="single" w:color="auto" w:sz="8" w:space="0"/>
                  </w:tcBorders>
                  <w:shd w:val="clear" w:color="auto" w:fill="auto"/>
                  <w:vAlign w:val="center"/>
                </w:tcPr>
                <w:p>
                  <w:pPr>
                    <w:rPr>
                      <w:rFonts w:ascii="Arial" w:hAnsi="Arial" w:cs="Arial"/>
                      <w:b/>
                      <w:bCs/>
                      <w:color w:val="000000"/>
                      <w:sz w:val="22"/>
                      <w:szCs w:val="22"/>
                    </w:rPr>
                  </w:pPr>
                </w:p>
              </w:tc>
              <w:tc>
                <w:tcPr>
                  <w:tcW w:w="828"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FR1-TDD</w:t>
                  </w:r>
                </w:p>
                <w:p>
                  <w:pPr>
                    <w:rPr>
                      <w:rFonts w:ascii="Arial" w:hAnsi="Arial" w:cs="Arial"/>
                      <w:color w:val="000000"/>
                    </w:rPr>
                  </w:pPr>
                  <w:r>
                    <w:rPr>
                      <w:rFonts w:ascii="Arial" w:hAnsi="Arial" w:cs="Arial"/>
                      <w:color w:val="000000"/>
                    </w:rPr>
                    <w:t>Set 1</w:t>
                  </w:r>
                </w:p>
              </w:tc>
              <w:tc>
                <w:tcPr>
                  <w:tcW w:w="764"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FR1-FDD</w:t>
                  </w:r>
                </w:p>
                <w:p>
                  <w:pPr>
                    <w:rPr>
                      <w:rFonts w:ascii="Arial" w:hAnsi="Arial" w:cs="Arial"/>
                      <w:color w:val="000000"/>
                    </w:rPr>
                  </w:pPr>
                  <w:r>
                    <w:rPr>
                      <w:rFonts w:ascii="Arial" w:hAnsi="Arial" w:cs="Arial"/>
                      <w:color w:val="000000"/>
                    </w:rPr>
                    <w:t>Set 2</w:t>
                  </w:r>
                </w:p>
              </w:tc>
              <w:tc>
                <w:tcPr>
                  <w:tcW w:w="751"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FR2</w:t>
                  </w:r>
                </w:p>
                <w:p>
                  <w:pPr>
                    <w:rPr>
                      <w:rFonts w:ascii="Arial" w:hAnsi="Arial" w:cs="Arial"/>
                      <w:color w:val="000000"/>
                    </w:rPr>
                  </w:pPr>
                  <w:r>
                    <w:rPr>
                      <w:rFonts w:ascii="Arial" w:hAnsi="Arial" w:cs="Arial"/>
                      <w:color w:val="000000"/>
                    </w:rPr>
                    <w:t>Set 3</w:t>
                  </w:r>
                </w:p>
              </w:tc>
              <w:tc>
                <w:tcPr>
                  <w:tcW w:w="2338" w:type="dxa"/>
                  <w:vMerge w:val="continue"/>
                  <w:tcBorders>
                    <w:left w:val="nil"/>
                    <w:bottom w:val="single" w:color="auto" w:sz="8" w:space="0"/>
                    <w:right w:val="single" w:color="auto" w:sz="8" w:space="0"/>
                  </w:tcBorders>
                  <w:shd w:val="clear" w:color="auto" w:fill="auto"/>
                  <w:vAlign w:val="center"/>
                </w:tcPr>
                <w:p>
                  <w:pPr>
                    <w:jc w:val="center"/>
                    <w:rPr>
                      <w:rFonts w:ascii="Arial" w:hAnsi="Arial" w:cs="Arial"/>
                      <w:i/>
                      <w:color w:val="000000"/>
                      <w:sz w:val="22"/>
                      <w:szCs w:val="22"/>
                    </w:rPr>
                  </w:pPr>
                </w:p>
              </w:tc>
            </w:tr>
            <w:tr>
              <w:tblPrEx>
                <w:tblCellMar>
                  <w:top w:w="0" w:type="dxa"/>
                  <w:left w:w="108" w:type="dxa"/>
                  <w:bottom w:w="0" w:type="dxa"/>
                  <w:right w:w="108" w:type="dxa"/>
                </w:tblCellMar>
              </w:tblPrEx>
              <w:trPr>
                <w:trHeight w:val="222"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0</w:t>
                  </w:r>
                </w:p>
              </w:tc>
            </w:tr>
            <w:tr>
              <w:tblPrEx>
                <w:tblCellMar>
                  <w:top w:w="0" w:type="dxa"/>
                  <w:left w:w="108" w:type="dxa"/>
                  <w:bottom w:w="0" w:type="dxa"/>
                  <w:right w:w="108" w:type="dxa"/>
                </w:tblCellMar>
              </w:tblPrEx>
              <w:trPr>
                <w:trHeight w:val="115"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6</w:t>
                  </w:r>
                </w:p>
              </w:tc>
            </w:tr>
            <w:tr>
              <w:tblPrEx>
                <w:tblCellMar>
                  <w:top w:w="0" w:type="dxa"/>
                  <w:left w:w="108" w:type="dxa"/>
                  <w:bottom w:w="0" w:type="dxa"/>
                  <w:right w:w="108" w:type="dxa"/>
                </w:tblCellMar>
              </w:tblPrEx>
              <w:trPr>
                <w:trHeight w:val="209"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50</w:t>
                  </w:r>
                </w:p>
              </w:tc>
            </w:tr>
          </w:tbl>
          <w:p>
            <w:pPr>
              <w:pStyle w:val="48"/>
              <w:widowControl w:val="0"/>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trPr>
        <w:tc>
          <w:tcPr>
            <w:tcW w:w="1661" w:type="dxa"/>
          </w:tcPr>
          <w:p>
            <w:pPr>
              <w:widowControl w:val="0"/>
            </w:pPr>
            <w:r>
              <w:t>Qualcomm</w:t>
            </w:r>
          </w:p>
        </w:tc>
        <w:tc>
          <w:tcPr>
            <w:tcW w:w="7970" w:type="dxa"/>
          </w:tcPr>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341"/>
              <w:gridCol w:w="22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restart"/>
                </w:tcPr>
                <w:p>
                  <w:pPr>
                    <w:widowControl w:val="0"/>
                    <w:ind w:right="220"/>
                    <w:jc w:val="center"/>
                    <w:rPr>
                      <w:lang w:eastAsia="ja-JP"/>
                    </w:rPr>
                  </w:pPr>
                  <w:r>
                    <w:rPr>
                      <w:b/>
                      <w:lang w:eastAsia="ja-JP"/>
                    </w:rPr>
                    <w:t>Sleep state</w:t>
                  </w:r>
                </w:p>
              </w:tc>
              <w:tc>
                <w:tcPr>
                  <w:tcW w:w="5125" w:type="dxa"/>
                  <w:gridSpan w:val="2"/>
                </w:tcPr>
                <w:p>
                  <w:pPr>
                    <w:widowControl w:val="0"/>
                    <w:jc w:val="center"/>
                    <w:rPr>
                      <w:b/>
                      <w:bCs/>
                      <w:lang w:eastAsia="ja-JP"/>
                    </w:rPr>
                  </w:pPr>
                  <w:r>
                    <w:rPr>
                      <w:b/>
                      <w:bCs/>
                      <w:lang w:eastAsia="ja-JP"/>
                    </w:rPr>
                    <w:t xml:space="preserve">Additional transition energy </w:t>
                  </w:r>
                </w:p>
                <w:p>
                  <w:pPr>
                    <w:widowControl w:val="0"/>
                    <w:jc w:val="center"/>
                    <w:rPr>
                      <w:b/>
                      <w:bCs/>
                      <w:lang w:eastAsia="ja-JP"/>
                    </w:rPr>
                  </w:pPr>
                  <w:r>
                    <w:rPr>
                      <w:b/>
                      <w:bCs/>
                      <w:lang w:eastAsia="ja-JP"/>
                    </w:rPr>
                    <w:t>(relative power x ms)</w:t>
                  </w:r>
                </w:p>
              </w:tc>
              <w:tc>
                <w:tcPr>
                  <w:tcW w:w="1672" w:type="dxa"/>
                  <w:vMerge w:val="restart"/>
                </w:tcPr>
                <w:p>
                  <w:pPr>
                    <w:widowControl w:val="0"/>
                    <w:jc w:val="center"/>
                    <w:rPr>
                      <w:b/>
                      <w:bCs/>
                      <w:lang w:eastAsia="ja-JP"/>
                    </w:rPr>
                  </w:pPr>
                  <w:r>
                    <w:rPr>
                      <w:b/>
                      <w:bCs/>
                      <w:lang w:eastAsia="ja-JP"/>
                    </w:rPr>
                    <w:t xml:space="preserve">Transition time </w:t>
                  </w:r>
                </w:p>
                <w:p>
                  <w:pPr>
                    <w:widowControl w:val="0"/>
                    <w:jc w:val="center"/>
                    <w:rPr>
                      <w:lang w:eastAsia="ja-JP"/>
                    </w:rPr>
                  </w:pPr>
                  <w:r>
                    <w:rPr>
                      <w:b/>
                      <w:bCs/>
                      <w:lang w:eastAsia="ja-JP"/>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continue"/>
                </w:tcPr>
                <w:p>
                  <w:pPr>
                    <w:widowControl w:val="0"/>
                    <w:ind w:right="220"/>
                    <w:jc w:val="center"/>
                    <w:rPr>
                      <w:b/>
                      <w:lang w:eastAsia="ja-JP"/>
                    </w:rPr>
                  </w:pPr>
                </w:p>
              </w:tc>
              <w:tc>
                <w:tcPr>
                  <w:tcW w:w="2605" w:type="dxa"/>
                </w:tcPr>
                <w:p>
                  <w:pPr>
                    <w:widowControl w:val="0"/>
                    <w:ind w:right="220"/>
                    <w:jc w:val="center"/>
                    <w:rPr>
                      <w:b/>
                      <w:bCs/>
                      <w:lang w:eastAsia="ja-JP"/>
                    </w:rPr>
                  </w:pPr>
                  <w:r>
                    <w:rPr>
                      <w:b/>
                      <w:bCs/>
                      <w:lang w:eastAsia="ja-JP"/>
                    </w:rPr>
                    <w:t>Set 1 FR1 for Category 1</w:t>
                  </w:r>
                </w:p>
              </w:tc>
              <w:tc>
                <w:tcPr>
                  <w:tcW w:w="2520" w:type="dxa"/>
                </w:tcPr>
                <w:p>
                  <w:pPr>
                    <w:widowControl w:val="0"/>
                    <w:jc w:val="center"/>
                    <w:rPr>
                      <w:b/>
                      <w:bCs/>
                      <w:lang w:eastAsia="ja-JP"/>
                    </w:rPr>
                  </w:pPr>
                  <w:r>
                    <w:rPr>
                      <w:b/>
                      <w:bCs/>
                      <w:lang w:eastAsia="ja-JP"/>
                    </w:rPr>
                    <w:t>Set 2 FR1</w:t>
                  </w:r>
                </w:p>
              </w:tc>
              <w:tc>
                <w:tcPr>
                  <w:tcW w:w="1672" w:type="dxa"/>
                  <w:vMerge w:val="continue"/>
                </w:tcPr>
                <w:p>
                  <w:pPr>
                    <w:widowControl w:val="0"/>
                    <w:jc w:val="center"/>
                    <w:rPr>
                      <w:b/>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Micro sleep</w:t>
                  </w:r>
                </w:p>
              </w:tc>
              <w:tc>
                <w:tcPr>
                  <w:tcW w:w="2605" w:type="dxa"/>
                </w:tcPr>
                <w:p>
                  <w:pPr>
                    <w:widowControl w:val="0"/>
                    <w:ind w:right="220"/>
                    <w:jc w:val="center"/>
                    <w:rPr>
                      <w:lang w:eastAsia="ja-JP"/>
                    </w:rPr>
                  </w:pPr>
                  <w:r>
                    <w:rPr>
                      <w:lang w:eastAsia="ja-JP"/>
                    </w:rPr>
                    <w:t>0</w:t>
                  </w:r>
                </w:p>
              </w:tc>
              <w:tc>
                <w:tcPr>
                  <w:tcW w:w="2520" w:type="dxa"/>
                </w:tcPr>
                <w:p>
                  <w:pPr>
                    <w:widowControl w:val="0"/>
                    <w:ind w:right="220"/>
                    <w:jc w:val="center"/>
                    <w:rPr>
                      <w:lang w:eastAsia="ja-JP"/>
                    </w:rPr>
                  </w:pPr>
                  <w:r>
                    <w:rPr>
                      <w:lang w:eastAsia="ja-JP"/>
                    </w:rPr>
                    <w:t>0</w:t>
                  </w:r>
                </w:p>
              </w:tc>
              <w:tc>
                <w:tcPr>
                  <w:tcW w:w="1672" w:type="dxa"/>
                </w:tcPr>
                <w:p>
                  <w:pPr>
                    <w:widowControl w:val="0"/>
                    <w:ind w:right="220"/>
                    <w:jc w:val="center"/>
                    <w:rPr>
                      <w:lang w:eastAsia="ja-JP"/>
                    </w:rPr>
                  </w:pPr>
                  <w:r>
                    <w:rPr>
                      <w:lang w:eastAsia="ja-JP"/>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Light sleep</w:t>
                  </w:r>
                </w:p>
              </w:tc>
              <w:tc>
                <w:tcPr>
                  <w:tcW w:w="2605" w:type="dxa"/>
                </w:tcPr>
                <w:p>
                  <w:pPr>
                    <w:widowControl w:val="0"/>
                    <w:ind w:right="220"/>
                    <w:jc w:val="center"/>
                    <w:rPr>
                      <w:lang w:eastAsia="ja-JP"/>
                    </w:rPr>
                  </w:pPr>
                  <w:r>
                    <w:rPr>
                      <w:lang w:eastAsia="ja-JP"/>
                    </w:rPr>
                    <w:t>[90]</w:t>
                  </w:r>
                </w:p>
              </w:tc>
              <w:tc>
                <w:tcPr>
                  <w:tcW w:w="2520" w:type="dxa"/>
                </w:tcPr>
                <w:p>
                  <w:pPr>
                    <w:widowControl w:val="0"/>
                    <w:ind w:right="220"/>
                    <w:jc w:val="center"/>
                    <w:rPr>
                      <w:lang w:eastAsia="ja-JP"/>
                    </w:rPr>
                  </w:pPr>
                  <w:r>
                    <w:rPr>
                      <w:lang w:eastAsia="ja-JP"/>
                    </w:rPr>
                    <w:t>[90]</w:t>
                  </w:r>
                </w:p>
              </w:tc>
              <w:tc>
                <w:tcPr>
                  <w:tcW w:w="1672" w:type="dxa"/>
                </w:tcPr>
                <w:p>
                  <w:pPr>
                    <w:widowControl w:val="0"/>
                    <w:ind w:right="220"/>
                    <w:jc w:val="center"/>
                    <w:rPr>
                      <w:lang w:eastAsia="ja-JP"/>
                    </w:rPr>
                  </w:pPr>
                  <w:r>
                    <w:rPr>
                      <w:lang w:eastAsia="ja-JP"/>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Deep sleep</w:t>
                  </w:r>
                </w:p>
              </w:tc>
              <w:tc>
                <w:tcPr>
                  <w:tcW w:w="2605" w:type="dxa"/>
                </w:tcPr>
                <w:p>
                  <w:pPr>
                    <w:widowControl w:val="0"/>
                    <w:ind w:right="220"/>
                    <w:jc w:val="center"/>
                    <w:rPr>
                      <w:lang w:eastAsia="ja-JP"/>
                    </w:rPr>
                  </w:pPr>
                  <w:r>
                    <w:rPr>
                      <w:lang w:eastAsia="ja-JP"/>
                    </w:rPr>
                    <w:t>[760]</w:t>
                  </w:r>
                </w:p>
              </w:tc>
              <w:tc>
                <w:tcPr>
                  <w:tcW w:w="2520" w:type="dxa"/>
                </w:tcPr>
                <w:p>
                  <w:pPr>
                    <w:widowControl w:val="0"/>
                    <w:ind w:right="220"/>
                    <w:jc w:val="center"/>
                    <w:rPr>
                      <w:lang w:eastAsia="ja-JP"/>
                    </w:rPr>
                  </w:pPr>
                  <w:r>
                    <w:rPr>
                      <w:lang w:eastAsia="ja-JP"/>
                    </w:rPr>
                    <w:t>[620]</w:t>
                  </w:r>
                </w:p>
              </w:tc>
              <w:tc>
                <w:tcPr>
                  <w:tcW w:w="1672" w:type="dxa"/>
                </w:tcPr>
                <w:p>
                  <w:pPr>
                    <w:widowControl w:val="0"/>
                    <w:ind w:right="220"/>
                    <w:jc w:val="center"/>
                    <w:rPr>
                      <w:lang w:eastAsia="ja-JP"/>
                    </w:rPr>
                  </w:pPr>
                  <w:r>
                    <w:rPr>
                      <w:lang w:eastAsia="ja-JP"/>
                    </w:rPr>
                    <w:t>50</w:t>
                  </w:r>
                </w:p>
              </w:tc>
            </w:tr>
          </w:tbl>
          <w:p>
            <w:pPr>
              <w:pStyle w:val="48"/>
              <w:widowControl w:val="0"/>
              <w:snapToGrid w:val="0"/>
              <w:rPr>
                <w:lang w:eastAsia="zh-CN"/>
              </w:rPr>
            </w:pPr>
          </w:p>
        </w:tc>
      </w:tr>
    </w:tbl>
    <w:p/>
    <w:p>
      <w:pPr>
        <w:pStyle w:val="4"/>
      </w:pPr>
      <w:r>
        <w:t>Initial round</w:t>
      </w:r>
    </w:p>
    <w:p>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4" w:type="dxa"/>
            <w:gridSpan w:val="2"/>
          </w:tcPr>
          <w:p>
            <w:pPr>
              <w:widowControl w:val="0"/>
              <w:rPr>
                <w:b/>
                <w:bCs/>
              </w:rPr>
            </w:pPr>
            <w:r>
              <w:rPr>
                <w:b/>
                <w:bCs/>
              </w:rPr>
              <w:t>FL1 Proposal 2.3.1:</w:t>
            </w:r>
          </w:p>
          <w:p>
            <w:pPr>
              <w:pStyle w:val="48"/>
              <w:widowControl w:val="0"/>
              <w:numPr>
                <w:ilvl w:val="0"/>
                <w:numId w:val="9"/>
              </w:numPr>
              <w:rPr>
                <w:b/>
              </w:rPr>
            </w:pPr>
            <w:r>
              <w:rPr>
                <w:b/>
              </w:rPr>
              <w:t xml:space="preserve">For set 1/2/3, the additional energy (unit in relative power*(duration in ms)) is </w:t>
            </w:r>
          </w:p>
          <w:tbl>
            <w:tblPr>
              <w:tblStyle w:val="26"/>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1"/>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Option 2 but can live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hint="eastAsia" w:eastAsiaTheme="minorEastAsia"/>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sz w:val="20"/>
                <w:szCs w:val="20"/>
                <w:lang w:val="en-US" w:eastAsia="zh-CN" w:bidi="ar-SA"/>
              </w:rPr>
            </w:pPr>
            <w:r>
              <w:rPr>
                <w:rFonts w:hint="eastAsia" w:eastAsiaTheme="minorEastAsia"/>
                <w:sz w:val="20"/>
                <w:szCs w:val="20"/>
                <w:lang w:val="en-US" w:eastAsia="zh-CN"/>
              </w:rPr>
              <w:t>ZTE, Sanechips</w:t>
            </w:r>
          </w:p>
        </w:tc>
        <w:tc>
          <w:tcPr>
            <w:tcW w:w="8329" w:type="dxa"/>
            <w:vAlign w:val="top"/>
          </w:tcPr>
          <w:p>
            <w:pPr>
              <w:keepNext w:val="0"/>
              <w:keepLines w:val="0"/>
              <w:widowControl w:val="0"/>
              <w:suppressLineNumbers w:val="0"/>
              <w:spacing w:before="0" w:beforeAutospacing="0" w:after="0" w:afterAutospacing="0"/>
              <w:ind w:left="0" w:right="0"/>
              <w:jc w:val="left"/>
              <w:rPr>
                <w:rFonts w:hint="eastAsia" w:eastAsiaTheme="minorEastAsia"/>
                <w:sz w:val="20"/>
                <w:szCs w:val="20"/>
                <w:lang w:val="en-US" w:eastAsia="zh-CN"/>
              </w:rPr>
            </w:pPr>
            <w:r>
              <w:rPr>
                <w:rFonts w:hint="eastAsia" w:eastAsiaTheme="minorEastAsia"/>
                <w:sz w:val="20"/>
                <w:szCs w:val="20"/>
                <w:lang w:val="en-US" w:eastAsia="zh-CN"/>
              </w:rPr>
              <w:t xml:space="preserve">OK. </w:t>
            </w:r>
          </w:p>
          <w:p>
            <w:pPr>
              <w:keepNext w:val="0"/>
              <w:keepLines w:val="0"/>
              <w:widowControl w:val="0"/>
              <w:suppressLineNumbers w:val="0"/>
              <w:spacing w:before="0" w:beforeAutospacing="0" w:after="0" w:afterAutospacing="0"/>
              <w:ind w:left="0" w:leftChars="0" w:right="0" w:rightChars="0"/>
              <w:jc w:val="left"/>
              <w:rPr>
                <w:rFonts w:hint="eastAsia" w:ascii="Times New Roman" w:hAnsi="Times New Roman" w:cs="Times New Roman" w:eastAsiaTheme="minorEastAsia"/>
                <w:sz w:val="20"/>
                <w:szCs w:val="20"/>
                <w:lang w:val="en-US" w:eastAsia="zh-CN" w:bidi="ar-SA"/>
              </w:rPr>
            </w:pPr>
            <w:r>
              <w:rPr>
                <w:rFonts w:hint="eastAsia" w:eastAsiaTheme="minorEastAsia"/>
                <w:sz w:val="20"/>
                <w:szCs w:val="20"/>
                <w:lang w:val="en-US" w:eastAsia="zh-CN"/>
              </w:rPr>
              <w:t>T</w:t>
            </w:r>
            <w:r>
              <w:rPr>
                <w:rFonts w:hint="default" w:eastAsiaTheme="minorEastAsia"/>
                <w:sz w:val="20"/>
                <w:szCs w:val="20"/>
                <w:lang w:val="en-US" w:eastAsia="zh-CN"/>
              </w:rPr>
              <w:t>he additional transition energy can be the same for the three reference configuration sets similar to the UE power saving model</w:t>
            </w:r>
            <w:r>
              <w:rPr>
                <w:rFonts w:hint="eastAsia" w:eastAsiaTheme="minorEastAsia"/>
                <w:sz w:val="20"/>
                <w:szCs w:val="20"/>
                <w:lang w:val="en-US" w:eastAsia="zh-CN"/>
              </w:rPr>
              <w:t xml:space="preserve">. </w:t>
            </w:r>
          </w:p>
        </w:tc>
      </w:tr>
    </w:tbl>
    <w:p>
      <w:pPr>
        <w:rPr>
          <w:lang w:val="en-GB"/>
        </w:rPr>
      </w:pPr>
    </w:p>
    <w:p>
      <w:pPr>
        <w:pStyle w:val="3"/>
      </w:pPr>
      <w:r>
        <w:t>Scaling details</w:t>
      </w:r>
    </w:p>
    <w:p>
      <w:pPr>
        <w:spacing w:after="0"/>
      </w:pPr>
      <w:r>
        <w:t xml:space="preserve">Two alternatives (Alt 1 or its variation, and Alt 3 or its variation) were extensively discussed in the post meeting email discussion of RAN1#110 in R1-2208312. </w:t>
      </w:r>
    </w:p>
    <w:p>
      <w:pPr>
        <w:rPr>
          <w:rFonts w:ascii="Arial" w:hAnsi="Arial" w:cs="Arial"/>
          <w:i/>
          <w:sz w:val="18"/>
          <w:szCs w:val="18"/>
          <w:u w:val="single"/>
        </w:rPr>
      </w:pPr>
      <w:r>
        <w:rPr>
          <w:rFonts w:ascii="Arial" w:hAnsi="Arial" w:cs="Arial"/>
          <w:i/>
          <w:sz w:val="18"/>
          <w:szCs w:val="18"/>
          <w:u w:val="single"/>
        </w:rPr>
        <w:t>Conclusion</w:t>
      </w:r>
    </w:p>
    <w:p>
      <w:pPr>
        <w:overflowPunct w:val="0"/>
        <w:rPr>
          <w:rFonts w:ascii="Arial" w:hAnsi="Arial" w:cs="Arial"/>
          <w:i/>
          <w:sz w:val="18"/>
          <w:szCs w:val="18"/>
          <w:lang w:eastAsia="zh-CN"/>
        </w:rPr>
      </w:pPr>
      <w:r>
        <w:rPr>
          <w:rFonts w:ascii="Arial" w:hAnsi="Arial" w:cs="Arial"/>
          <w:bCs/>
          <w:i/>
          <w:sz w:val="18"/>
          <w:szCs w:val="18"/>
          <w:lang w:eastAsia="zh-CN"/>
        </w:rPr>
        <w:t xml:space="preserve">Companies are encouraged to check discussion in section 2.2.2 of </w:t>
      </w:r>
      <w:r>
        <w:fldChar w:fldCharType="begin"/>
      </w:r>
      <w:r>
        <w:instrText xml:space="preserve"> HYPERLINK "file:///D:\\Users\\erdem.bala\\Downloads\\Docs\\R1-2208312.zip" </w:instrText>
      </w:r>
      <w:r>
        <w:fldChar w:fldCharType="separate"/>
      </w:r>
      <w:r>
        <w:rPr>
          <w:rStyle w:val="30"/>
          <w:rFonts w:ascii="Arial" w:hAnsi="Arial" w:cs="Arial"/>
          <w:bCs/>
          <w:i/>
          <w:sz w:val="18"/>
          <w:szCs w:val="18"/>
          <w:lang w:eastAsia="zh-CN"/>
        </w:rPr>
        <w:t>R1-2208312</w:t>
      </w:r>
      <w:r>
        <w:rPr>
          <w:rStyle w:val="30"/>
          <w:rFonts w:ascii="Arial" w:hAnsi="Arial" w:cs="Arial"/>
          <w:bCs/>
          <w:i/>
          <w:sz w:val="18"/>
          <w:szCs w:val="18"/>
          <w:lang w:eastAsia="zh-CN"/>
        </w:rPr>
        <w:fldChar w:fldCharType="end"/>
      </w:r>
      <w:r>
        <w:rPr>
          <w:rFonts w:ascii="Arial" w:hAnsi="Arial" w:cs="Arial"/>
          <w:bCs/>
          <w:i/>
          <w:sz w:val="18"/>
          <w:szCs w:val="18"/>
          <w:lang w:eastAsia="zh-CN"/>
        </w:rPr>
        <w:t xml:space="preserve"> for scaling discussion in the next meeting.</w:t>
      </w:r>
    </w:p>
    <w:p>
      <w:pPr>
        <w:spacing w:after="0"/>
      </w:pPr>
    </w:p>
    <w:p>
      <w:pPr>
        <w:spacing w:after="0"/>
      </w:pPr>
      <w:r>
        <w:t>According the contributions submitted in this meeting:</w:t>
      </w:r>
    </w:p>
    <w:p>
      <w:pPr>
        <w:spacing w:after="0"/>
      </w:pPr>
      <w:r>
        <w:t xml:space="preserve"> </w:t>
      </w:r>
    </w:p>
    <w:p>
      <w:pPr>
        <w:spacing w:after="0"/>
        <w:rPr>
          <w:b/>
        </w:rPr>
      </w:pPr>
      <w:r>
        <w:rPr>
          <w:b/>
        </w:rPr>
        <w:t xml:space="preserve">Based on (revised) Alt 1, </w:t>
      </w:r>
    </w:p>
    <w:p>
      <w:pPr>
        <w:pStyle w:val="48"/>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pPr>
        <w:pStyle w:val="48"/>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pPr>
        <w:pStyle w:val="48"/>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pPr>
        <w:pStyle w:val="48"/>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4</m:t>
            </m:r>
            <m:ctrlPr>
              <w:rPr>
                <w:rFonts w:ascii="Cambria Math" w:hAnsi="Cambria Math"/>
              </w:rPr>
            </m:ctrlPr>
          </m:sub>
        </m:sSub>
      </m:oMath>
      <w:r>
        <w:t xml:space="preserve"> (similar constraints applies to UL).</w:t>
      </w:r>
    </w:p>
    <w:p>
      <w:pPr>
        <w:pStyle w:val="48"/>
        <w:numPr>
          <w:ilvl w:val="0"/>
          <w:numId w:val="9"/>
        </w:numPr>
      </w:pPr>
      <w:r>
        <w:t>China Telecom considers both Alt 1 and Alt 3 has similar structure and need to consider some constraints similar to vivo.</w:t>
      </w:r>
    </w:p>
    <w:p>
      <w:pPr>
        <w:pStyle w:val="48"/>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pPr>
        <w:pStyle w:val="48"/>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pPr>
        <w:pStyle w:val="48"/>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PA efficiency can be 1 by default.</w:t>
      </w:r>
    </w:p>
    <w:p>
      <w:pPr>
        <w:pStyle w:val="48"/>
        <w:numPr>
          <w:ilvl w:val="0"/>
          <w:numId w:val="9"/>
        </w:numPr>
      </w:pPr>
      <w:r>
        <w:t>ZTE consider Pstatic can be the power of BS in micro sleep, and that the same scaling factors applies between Cat 1 and Cat 2.</w:t>
      </w:r>
    </w:p>
    <w:p>
      <w:pPr>
        <w:pStyle w:val="48"/>
        <w:numPr>
          <w:ilvl w:val="0"/>
          <w:numId w:val="9"/>
        </w:numPr>
      </w:pPr>
      <w:r>
        <w:t>CMCC consider Pstatic can be the power of BS in micro sleep.</w:t>
      </w:r>
    </w:p>
    <w:p>
      <w:pPr>
        <w:pStyle w:val="48"/>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pPr>
        <w:pStyle w:val="48"/>
        <w:numPr>
          <w:ilvl w:val="0"/>
          <w:numId w:val="9"/>
        </w:numPr>
      </w:pPr>
      <w:r>
        <w:t>Samsung consider Pstatic can be the power of BS in micro sleep, PA efficiency of 0.34 as a reasonable/practical value, and provides candidate values for scaling factors of each domain.</w:t>
      </w:r>
    </w:p>
    <w:p>
      <w:pPr>
        <w:pStyle w:val="48"/>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pPr>
        <w:spacing w:after="0"/>
      </w:pPr>
    </w:p>
    <w:p>
      <w:pPr>
        <w:spacing w:after="0"/>
        <w:rPr>
          <w:b/>
        </w:rPr>
      </w:pPr>
      <w:r>
        <w:rPr>
          <w:b/>
        </w:rPr>
        <w:t>Based on (revised) Alt 3,</w:t>
      </w:r>
    </w:p>
    <w:p>
      <w:pPr>
        <w:pStyle w:val="48"/>
        <w:numPr>
          <w:ilvl w:val="0"/>
          <w:numId w:val="9"/>
        </w:numPr>
      </w:pPr>
      <w:r>
        <w:t>Vivo, NTT DOCOMO consider it can be optionally reported.</w:t>
      </w:r>
    </w:p>
    <w:p>
      <w:pPr>
        <w:pStyle w:val="48"/>
        <w:numPr>
          <w:ilvl w:val="0"/>
          <w:numId w:val="9"/>
        </w:numPr>
      </w:pPr>
      <w:r>
        <w:t>China Telecom consider that there is conflicts in the current Alt 3 formula and modification is needed to satisfy the constraint P3&lt;0.03*P4.</w:t>
      </w:r>
    </w:p>
    <w:p>
      <w:pPr>
        <w:pStyle w:val="48"/>
        <w:numPr>
          <w:ilvl w:val="0"/>
          <w:numId w:val="9"/>
        </w:numPr>
      </w:pPr>
      <w:r>
        <w:t>OPPO supports this approach and consider the power of static part equals P3.</w:t>
      </w:r>
    </w:p>
    <w:p>
      <w:pPr>
        <w:pStyle w:val="48"/>
        <w:numPr>
          <w:ilvl w:val="0"/>
          <w:numId w:val="9"/>
        </w:numPr>
      </w:pPr>
      <w:r>
        <w:t>LGE and Rakuten consider this approach is easier/simpler and accurate enough from discussion point of view compared to Alt 1.</w:t>
      </w:r>
    </w:p>
    <w:p>
      <w:pPr>
        <w:pStyle w:val="48"/>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p>
      <w:pPr>
        <w:spacing w:after="0"/>
        <w:rPr>
          <w:rFonts w:eastAsiaTheme="minorEastAsia"/>
          <w:b/>
        </w:rPr>
      </w:pPr>
      <w:r>
        <w:rPr>
          <w:b/>
        </w:rPr>
        <w:t xml:space="preserve">Other Alternatives, e.g. Alt 2 where </w:t>
      </w:r>
      <w:r>
        <w:rPr>
          <w:rFonts w:eastAsiaTheme="minorEastAsia"/>
          <w:b/>
        </w:rPr>
        <w:t>power scaling in</w:t>
      </w:r>
      <w:r>
        <w:rPr>
          <w:rFonts w:hint="eastAsia" w:eastAsiaTheme="minorEastAsia"/>
          <w:b/>
        </w:rPr>
        <w:t xml:space="preserve"> </w:t>
      </w:r>
      <w:r>
        <w:rPr>
          <w:rFonts w:eastAsiaTheme="minorEastAsia"/>
          <w:b/>
        </w:rPr>
        <w:t>time, frequency, spatial, and power domain are defined based on the framework of the power model defined for UE power consumption in TR38.840</w:t>
      </w:r>
    </w:p>
    <w:p>
      <w:pPr>
        <w:pStyle w:val="48"/>
        <w:numPr>
          <w:ilvl w:val="0"/>
          <w:numId w:val="9"/>
        </w:numPr>
      </w:pPr>
      <w:r>
        <w:t>Supported by CATT(1</w:t>
      </w:r>
      <w:r>
        <w:rPr>
          <w:vertAlign w:val="superscript"/>
        </w:rPr>
        <w:t>st</w:t>
      </w:r>
      <w:r>
        <w:t>), Ericsson(1</w:t>
      </w:r>
      <w:r>
        <w:rPr>
          <w:vertAlign w:val="superscript"/>
        </w:rPr>
        <w:t>st</w:t>
      </w:r>
      <w:r>
        <w:t>), Qualcomm (for UL)</w:t>
      </w:r>
    </w:p>
    <w:p>
      <w:pPr>
        <w:spacing w:after="0"/>
      </w:pPr>
    </w:p>
    <w:p>
      <w:pPr>
        <w:spacing w:after="0"/>
      </w:pPr>
      <w:r>
        <w:t xml:space="preserve">The following summarizes the scaling approaches and relative power values submitted from contributions.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661" w:type="dxa"/>
          </w:tcPr>
          <w:p>
            <w:pPr>
              <w:widowControl w:val="0"/>
            </w:pPr>
            <w:r>
              <w:t>Huawei/HiSilicon</w:t>
            </w:r>
          </w:p>
        </w:tc>
        <w:tc>
          <w:tcPr>
            <w:tcW w:w="7970" w:type="dxa"/>
          </w:tcPr>
          <w:p>
            <w:pPr>
              <w:widowControl w:val="0"/>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dyn,ante</m:t>
                  </m:r>
                  <m:ctrlPr>
                    <w:rPr>
                      <w:rFonts w:ascii="Cambria Math" w:hAnsi="Cambria Math"/>
                      <w:bCs/>
                      <w:i/>
                      <w:lang w:val="en-GB"/>
                    </w:rPr>
                  </m:ctrlP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w:rPr>
                      <w:rFonts w:ascii="Cambria Math" w:hAnsi="Cambria Math"/>
                      <w:lang w:val="en-GB"/>
                    </w:rPr>
                    <m:t>dyn,joint</m:t>
                  </m:r>
                  <m:ctrlPr>
                    <w:rPr>
                      <w:rFonts w:ascii="Cambria Math" w:hAnsi="Cambria Math"/>
                      <w:bCs/>
                      <w:i/>
                      <w:lang w:val="en-GB"/>
                    </w:rPr>
                  </m:ctrlP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sSub>
                    <m:sSubPr>
                      <m:ctrlPr>
                        <w:rPr>
                          <w:rFonts w:ascii="Cambria Math" w:hAnsi="Cambria Math"/>
                          <w:bCs/>
                          <w:i/>
                          <w:lang w:val="en-GB"/>
                        </w:rPr>
                      </m:ctrlPr>
                    </m:sSubPr>
                    <m:e>
                      <m:r>
                        <w:rPr>
                          <w:rFonts w:ascii="Cambria Math" w:hAnsi="Cambria Math"/>
                          <w:lang w:val="en-GB"/>
                        </w:rPr>
                        <m:t>,  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ctrlPr>
                    <w:rPr>
                      <w:rFonts w:ascii="Cambria Math" w:hAnsi="Cambria Math"/>
                      <w:bCs/>
                      <w:i/>
                      <w:lang w:val="en-GB"/>
                    </w:rPr>
                  </m:ctrlPr>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f</m:t>
                  </m:r>
                  <m:ctrlPr>
                    <w:rPr>
                      <w:rFonts w:ascii="Cambria Math" w:hAnsi="Cambria Math"/>
                      <w:bCs/>
                      <w:i/>
                      <w:lang w:val="en-GB"/>
                    </w:rPr>
                  </m:ctrlP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p</m:t>
                  </m:r>
                  <m:ctrlPr>
                    <w:rPr>
                      <w:rFonts w:ascii="Cambria Math" w:hAnsi="Cambria Math"/>
                      <w:bCs/>
                      <w:i/>
                      <w:lang w:val="en-GB"/>
                    </w:rPr>
                  </m:ctrlPr>
                </m:sub>
              </m:sSub>
              <m:r>
                <w:rPr>
                  <w:rFonts w:ascii="Cambria Math" w:hAnsi="Cambria Math"/>
                  <w:lang w:val="en-GB"/>
                </w:rPr>
                <m:t>)</m:t>
              </m:r>
            </m:oMath>
            <w:r>
              <w:rPr>
                <w:i/>
                <w:lang w:val="en-GB"/>
              </w:rPr>
              <w:t xml:space="preserve"> or a fixed value</w:t>
            </w:r>
            <w:r>
              <w:rPr>
                <w:bCs/>
                <w:i/>
                <w:lang w:val="en-GB"/>
              </w:rPr>
              <w:t>.</w:t>
            </w:r>
            <w:bookmarkEnd w:id="8"/>
          </w:p>
          <w:p>
            <w:pPr>
              <w:widowControl w:val="0"/>
              <w:rPr>
                <w:bCs/>
                <w:i/>
                <w:lang w:val="en-GB"/>
              </w:rPr>
            </w:pPr>
            <w:bookmarkStart w:id="9" w:name="OLE_LINK17"/>
            <w:bookmarkStart w:id="10"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ctrlPr>
                        <w:rPr>
                          <w:rFonts w:ascii="Cambria Math" w:hAnsi="Cambria Math"/>
                          <w:bCs/>
                          <w:i/>
                          <w:lang w:val="en-GB"/>
                        </w:rPr>
                      </m:ctrlPr>
                    </m:e>
                    <m:sub>
                      <m:r>
                        <w:rPr>
                          <w:rFonts w:ascii="Cambria Math" w:hAnsi="Cambria Math"/>
                          <w:lang w:val="en-GB"/>
                        </w:rPr>
                        <m:t>a</m:t>
                      </m:r>
                      <m:ctrlPr>
                        <w:rPr>
                          <w:rFonts w:ascii="Cambria Math" w:hAnsi="Cambria Math"/>
                          <w:bCs/>
                          <w:i/>
                          <w:lang w:val="en-GB"/>
                        </w:rPr>
                      </m:ctrlPr>
                    </m:sub>
                  </m:sSub>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static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ctrlPr>
                    <w:rPr>
                      <w:rFonts w:ascii="Cambria Math" w:hAnsi="Cambria Math"/>
                      <w:bCs/>
                      <w:i/>
                      <w:lang w:val="en-GB"/>
                    </w:rPr>
                  </m:ctrlPr>
                </m:e>
                <m:sub>
                  <m:r>
                    <w:rPr>
                      <w:rFonts w:ascii="Cambria Math" w:hAnsi="Cambria Math"/>
                      <w:lang w:val="en-GB"/>
                    </w:rPr>
                    <m:t>3</m:t>
                  </m:r>
                  <m:ctrlPr>
                    <w:rPr>
                      <w:rFonts w:ascii="Cambria Math" w:hAnsi="Cambria Math"/>
                      <w:bCs/>
                      <w:i/>
                      <w:lang w:val="en-GB"/>
                    </w:rPr>
                  </m:ctrlP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ctrlPr>
                    <w:rPr>
                      <w:rFonts w:ascii="Cambria Math" w:hAnsi="Cambria Math"/>
                      <w:bCs/>
                      <w:i/>
                      <w:lang w:val="en-GB"/>
                    </w:rPr>
                  </m:ctrlPr>
                </m:e>
                <m:sub>
                  <m:r>
                    <w:rPr>
                      <w:rFonts w:ascii="Cambria Math" w:hAnsi="Cambria Math"/>
                      <w:lang w:val="en-GB"/>
                    </w:rPr>
                    <m:t>dynamic</m:t>
                  </m:r>
                  <m:ctrlPr>
                    <w:rPr>
                      <w:rFonts w:ascii="Cambria Math" w:hAnsi="Cambria Math"/>
                      <w:bCs/>
                      <w:i/>
                      <w:lang w:val="en-GB"/>
                    </w:rPr>
                  </m:ctrlPr>
                </m:sub>
                <m:sup>
                  <m:r>
                    <w:rPr>
                      <w:rFonts w:ascii="Cambria Math" w:hAnsi="Cambria Math"/>
                      <w:lang w:val="en-GB"/>
                    </w:rPr>
                    <m:t>UL</m:t>
                  </m:r>
                  <m:ctrlPr>
                    <w:rPr>
                      <w:rFonts w:ascii="Cambria Math" w:hAnsi="Cambria Math"/>
                      <w:bCs/>
                      <w:i/>
                      <w:lang w:val="en-GB"/>
                    </w:rPr>
                  </m:ctrlPr>
                </m:sup>
              </m:sSubSup>
            </m:oMath>
            <w:r>
              <w:rPr>
                <w:rFonts w:hint="eastAsia"/>
                <w:bCs/>
                <w:i/>
                <w:lang w:val="en-GB"/>
              </w:rPr>
              <w:t xml:space="preserve"> </w:t>
            </w:r>
            <w:r>
              <w:rPr>
                <w:bCs/>
                <w:i/>
                <w:lang w:val="en-GB"/>
              </w:rPr>
              <w:t>is recommended as 1.</w:t>
            </w:r>
          </w:p>
          <w:bookmarkEnd w:id="9"/>
          <w:bookmarkEnd w:id="10"/>
          <w:p>
            <w:pPr>
              <w:widowControl w:val="0"/>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static</m:t>
                  </m:r>
                  <m:ctrlPr>
                    <w:rPr>
                      <w:rFonts w:ascii="Cambria Math" w:hAnsi="Cambria Math"/>
                      <w:bCs/>
                      <w:lang w:val="en-GB"/>
                    </w:rPr>
                  </m:ctrlP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ctrlPr>
                    <w:rPr>
                      <w:rFonts w:ascii="Cambria Math" w:hAnsi="Cambria Math"/>
                      <w:bCs/>
                      <w:lang w:val="en-GB"/>
                    </w:rPr>
                  </m:ctrlPr>
                </m:e>
                <m:sub>
                  <m:r>
                    <w:rPr>
                      <w:rFonts w:ascii="Cambria Math" w:hAnsi="Cambria Math"/>
                      <w:lang w:val="en-GB"/>
                    </w:rPr>
                    <m:t>3</m:t>
                  </m:r>
                  <m:ctrlPr>
                    <w:rPr>
                      <w:rFonts w:ascii="Cambria Math" w:hAnsi="Cambria Math"/>
                      <w:bCs/>
                      <w:lang w:val="en-GB"/>
                    </w:rPr>
                  </m:ctrlPr>
                </m:sub>
              </m:sSub>
            </m:oMath>
            <w:r>
              <w:rPr>
                <w:i/>
              </w:rPr>
              <w:t xml:space="preserve"> is the respective relative power value of BS micro-sleep. Other parameters are recommended as below:</w:t>
            </w:r>
          </w:p>
          <w:p>
            <w:pPr>
              <w:pStyle w:val="48"/>
              <w:widowControl w:val="0"/>
              <w:numPr>
                <w:ilvl w:val="0"/>
                <w:numId w:val="12"/>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=0.8</m:t>
              </m:r>
            </m:oMath>
          </w:p>
          <w:p>
            <w:pPr>
              <w:pStyle w:val="48"/>
              <w:widowControl w:val="0"/>
              <w:numPr>
                <w:ilvl w:val="0"/>
                <w:numId w:val="12"/>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ante</m:t>
                  </m:r>
                  <m:ctrlPr>
                    <w:rPr>
                      <w:rFonts w:ascii="Cambria Math" w:hAnsi="Cambria Math"/>
                      <w:bCs/>
                    </w:rPr>
                  </m:ctrlP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ctrlPr>
                        <w:rPr>
                          <w:rFonts w:ascii="Cambria Math" w:hAnsi="Cambria Math"/>
                          <w:bCs/>
                        </w:rPr>
                      </m:ctrlPr>
                    </m:e>
                  </m:acc>
                  <m:ctrlPr>
                    <w:rPr>
                      <w:rFonts w:ascii="Cambria Math" w:hAnsi="Cambria Math"/>
                      <w:bCs/>
                    </w:rPr>
                  </m:ctrlPr>
                </m:e>
                <m:sub>
                  <m:r>
                    <w:rPr>
                      <w:rFonts w:ascii="Cambria Math" w:hAnsi="Cambria Math"/>
                    </w:rPr>
                    <m:t>dyn</m:t>
                  </m:r>
                  <m:r>
                    <m:rPr>
                      <m:sty m:val="p"/>
                    </m:rPr>
                    <w:rPr>
                      <w:rFonts w:ascii="Cambria Math" w:hAnsi="Cambria Math"/>
                    </w:rPr>
                    <m:t>,</m:t>
                  </m:r>
                  <m:r>
                    <w:rPr>
                      <w:rFonts w:ascii="Cambria Math" w:hAnsi="Cambria Math"/>
                    </w:rPr>
                    <m:t>joint</m:t>
                  </m:r>
                  <m:ctrlPr>
                    <w:rPr>
                      <w:rFonts w:ascii="Cambria Math" w:hAnsi="Cambria Math"/>
                      <w:bCs/>
                    </w:rPr>
                  </m:ctrlP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ctrlPr>
                    <w:rPr>
                      <w:rFonts w:ascii="Cambria Math" w:hAnsi="Cambria Math"/>
                      <w:bCs/>
                    </w:rPr>
                  </m:ctrlPr>
                </m:e>
                <m:sub>
                  <m:r>
                    <w:rPr>
                      <w:rFonts w:ascii="Cambria Math" w:hAnsi="Cambria Math"/>
                    </w:rPr>
                    <m:t>dynamic</m:t>
                  </m:r>
                  <m:ctrlPr>
                    <w:rPr>
                      <w:rFonts w:ascii="Cambria Math" w:hAnsi="Cambria Math"/>
                      <w:bCs/>
                    </w:rPr>
                  </m:ctrlPr>
                </m:sub>
                <m:sup>
                  <m:r>
                    <w:rPr>
                      <w:rFonts w:ascii="Cambria Math" w:hAnsi="Cambria Math"/>
                    </w:rPr>
                    <m:t>UL</m:t>
                  </m:r>
                  <m:ctrlPr>
                    <w:rPr>
                      <w:rFonts w:ascii="Cambria Math" w:hAnsi="Cambria Math"/>
                      <w:bCs/>
                    </w:rPr>
                  </m:ctrlPr>
                </m:sup>
              </m:sSubSup>
              <m:r>
                <w:rPr>
                  <w:rFonts w:ascii="Cambria Math" w:hAnsi="Cambria Math"/>
                </w:rPr>
                <m:t>=1.2</m:t>
              </m:r>
            </m:oMath>
          </w:p>
          <w:p>
            <w:pPr>
              <w:pStyle w:val="48"/>
              <w:widowControl w:val="0"/>
              <w:numPr>
                <w:ilvl w:val="0"/>
                <w:numId w:val="12"/>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f</m:t>
                      </m:r>
                      <m:ctrlPr>
                        <w:rPr>
                          <w:rFonts w:ascii="Cambria Math" w:hAnsi="Cambria Math"/>
                          <w:bCs/>
                          <w:i/>
                        </w:rPr>
                      </m:ctrlPr>
                    </m:sub>
                  </m:sSub>
                  <m:sSub>
                    <m:sSubPr>
                      <m:ctrlPr>
                        <w:rPr>
                          <w:rFonts w:ascii="Cambria Math" w:hAnsi="Cambria Math"/>
                          <w:bCs/>
                          <w:i/>
                        </w:rPr>
                      </m:ctrlPr>
                    </m:sSubPr>
                    <m:e>
                      <m:r>
                        <w:rPr>
                          <w:rFonts w:ascii="Cambria Math" w:hAnsi="Cambria Math"/>
                        </w:rPr>
                        <m:t>,  s</m:t>
                      </m:r>
                      <m:ctrlPr>
                        <w:rPr>
                          <w:rFonts w:ascii="Cambria Math" w:hAnsi="Cambria Math"/>
                          <w:bCs/>
                          <w:i/>
                        </w:rPr>
                      </m:ctrlPr>
                    </m:e>
                    <m:sub>
                      <m:r>
                        <w:rPr>
                          <w:rFonts w:ascii="Cambria Math" w:hAnsi="Cambria Math"/>
                        </w:rPr>
                        <m:t>p</m:t>
                      </m:r>
                      <m:ctrlPr>
                        <w:rPr>
                          <w:rFonts w:ascii="Cambria Math" w:hAnsi="Cambria Math"/>
                          <w:bCs/>
                          <w:i/>
                        </w:rPr>
                      </m:ctrlPr>
                    </m:sub>
                  </m:sSub>
                  <m:ctrlPr>
                    <w:rPr>
                      <w:rFonts w:ascii="Cambria Math" w:hAnsi="Cambria Math"/>
                      <w:bCs/>
                      <w:i/>
                    </w:rPr>
                  </m:ctrlPr>
                </m:e>
              </m:d>
            </m:oMath>
            <w:r>
              <w:rPr>
                <w:bCs/>
                <w:i/>
              </w:rPr>
              <w:t xml:space="preserve"> </w:t>
            </w:r>
            <w:r>
              <w:rPr>
                <w:i/>
              </w:rPr>
              <w:t>can be either non-linearly modelled or a fixed value, for simplicity.</w:t>
            </w:r>
          </w:p>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Nokia/NSB</w:t>
            </w:r>
          </w:p>
        </w:tc>
        <w:tc>
          <w:tcPr>
            <w:tcW w:w="7970" w:type="dxa"/>
          </w:tcPr>
          <w:p>
            <w:pPr>
              <w:pStyle w:val="11"/>
              <w:widowControl w:val="0"/>
              <w:rPr>
                <w:b w:val="0"/>
              </w:rPr>
            </w:pPr>
            <w:bookmarkStart w:id="11" w:name="_Ref113952670"/>
            <m:oMathPara>
              <m:oMath>
                <m:sSub>
                  <m:sSubPr>
                    <m:ctrlPr>
                      <w:rPr>
                        <w:rFonts w:ascii="Cambria Math" w:hAnsi="Cambria Math" w:eastAsia="Cambria Math" w:cs="+mn-cs"/>
                        <w:b w:val="0"/>
                        <w:i/>
                        <w:iCs/>
                        <w:color w:val="001135"/>
                        <w:kern w:val="24"/>
                        <w:sz w:val="22"/>
                        <w:szCs w:val="24"/>
                      </w:rPr>
                    </m:ctrlPr>
                  </m:sSubPr>
                  <m:e>
                    <m:sSup>
                      <m:sSupPr>
                        <m:ctrlPr>
                          <w:rPr>
                            <w:rFonts w:ascii="Cambria Math" w:hAnsi="Cambria Math" w:eastAsia="Times New Roman"/>
                            <w:b w:val="0"/>
                            <w:i/>
                            <w:sz w:val="22"/>
                            <w:szCs w:val="22"/>
                          </w:rPr>
                        </m:ctrlPr>
                      </m:s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p>
                    <m:r>
                      <m:rPr>
                        <m:sty m:val="b"/>
                      </m:rPr>
                      <w:rPr>
                        <w:rFonts w:ascii="Cambria Math" w:hAnsi="Cambria Math" w:eastAsia="+mn-ea" w:cs="+mn-cs"/>
                        <w:color w:val="001135"/>
                        <w:kern w:val="24"/>
                        <w:sz w:val="22"/>
                        <w:szCs w:val="22"/>
                      </w:rPr>
                      <m:t>=</m:t>
                    </m:r>
                    <m:sSub>
                      <m:sSubPr>
                        <m:ctrlPr>
                          <w:rPr>
                            <w:rFonts w:ascii="Cambria Math" w:hAnsi="Cambria Math" w:eastAsia="Cambria Math" w:cs="+mn-cs"/>
                            <w:b w:val="0"/>
                            <w:i/>
                            <w:iCs/>
                            <w:color w:val="001135"/>
                            <w:kern w:val="24"/>
                            <w:sz w:val="22"/>
                            <w:szCs w:val="24"/>
                          </w:rPr>
                        </m:ctrlPr>
                      </m:sSubPr>
                      <m:e>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BW</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antenna</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d>
                  <m:dPr>
                    <m:ctrlPr>
                      <w:rPr>
                        <w:rFonts w:ascii="Cambria Math" w:hAnsi="Cambria Math" w:eastAsia="Cambria Math" w:cs="+mn-cs"/>
                        <w:b w:val="0"/>
                        <w:i/>
                        <w:color w:val="001135"/>
                        <w:kern w:val="24"/>
                        <w:sz w:val="22"/>
                        <w:szCs w:val="24"/>
                      </w:rPr>
                    </m:ctrlPr>
                  </m:dPr>
                  <m:e>
                    <m:sSub>
                      <m:sSubPr>
                        <m:ctrlPr>
                          <w:rPr>
                            <w:rFonts w:ascii="Cambria Math" w:hAnsi="Cambria Math" w:eastAsia="Cambria Math" w:cs="+mn-cs"/>
                            <w:b w:val="0"/>
                            <w:i/>
                            <w:iCs/>
                            <w:color w:val="001135"/>
                            <w:kern w:val="24"/>
                            <w:sz w:val="22"/>
                            <w:szCs w:val="24"/>
                          </w:rPr>
                        </m:ctrlPr>
                      </m:sSubPr>
                      <m:e>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power</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 Pt</m:t>
                        </m:r>
                        <m:ctrlPr>
                          <w:rPr>
                            <w:rFonts w:ascii="Cambria Math" w:hAnsi="Cambria Math" w:eastAsia="Cambria Math" w:cs="+mn-cs"/>
                            <w:b w:val="0"/>
                            <w:i/>
                            <w:iCs/>
                            <w:color w:val="001135"/>
                            <w:kern w:val="24"/>
                            <w:sz w:val="22"/>
                            <w:szCs w:val="24"/>
                          </w:rPr>
                        </m:ctrlPr>
                      </m:sub>
                    </m:sSub>
                    <m:ctrlPr>
                      <w:rPr>
                        <w:rFonts w:ascii="Cambria Math" w:hAnsi="Cambria Math" w:eastAsia="Cambria Math" w:cs="+mn-cs"/>
                        <w:b w:val="0"/>
                        <w:i/>
                        <w:color w:val="001135"/>
                        <w:kern w:val="24"/>
                        <w:sz w:val="22"/>
                        <w:szCs w:val="24"/>
                      </w:rPr>
                    </m:ctrlPr>
                  </m:e>
                </m:d>
                <m:r>
                  <m:rPr>
                    <m:sty m:val="bi"/>
                  </m:rPr>
                  <w:rPr>
                    <w:rFonts w:ascii="Cambria Math" w:hAnsi="Cambria Math" w:eastAsia="Cambria Math" w:cs="+mn-cs"/>
                    <w:color w:val="001135"/>
                    <w:kern w:val="24"/>
                    <w:sz w:val="22"/>
                    <w:szCs w:val="24"/>
                  </w:rPr>
                  <m:t>+</m:t>
                </m:r>
                <m:sSubSup>
                  <m:sSubSupPr>
                    <m:ctrlPr>
                      <w:rPr>
                        <w:rFonts w:ascii="Cambria Math" w:hAnsi="Cambria Math" w:eastAsia="Times New Roman"/>
                        <w:b w:val="0"/>
                        <w:i/>
                        <w:sz w:val="22"/>
                        <w:szCs w:val="22"/>
                      </w:rPr>
                    </m:ctrlPr>
                  </m:sSub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b>
                    <m:r>
                      <m:rPr>
                        <m:sty m:val="bi"/>
                      </m:rPr>
                      <w:rPr>
                        <w:rFonts w:ascii="Cambria Math" w:hAnsi="Cambria Math" w:eastAsia="Times New Roman"/>
                        <w:sz w:val="22"/>
                        <w:szCs w:val="22"/>
                      </w:rPr>
                      <m:t>static</m:t>
                    </m:r>
                    <m:ctrlPr>
                      <w:rPr>
                        <w:rFonts w:ascii="Cambria Math" w:hAnsi="Cambria Math" w:eastAsia="Times New Roman"/>
                        <w:b w:val="0"/>
                        <w:i/>
                        <w:sz w:val="22"/>
                        <w:szCs w:val="22"/>
                      </w:rPr>
                    </m:ctrlPr>
                  </m:sub>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bSup>
              </m:oMath>
            </m:oMathPara>
          </w:p>
          <w:p>
            <w:pPr>
              <w:widowControl w:val="0"/>
              <w:autoSpaceDE/>
              <w:autoSpaceDN/>
              <w:adjustRightInd/>
              <w:spacing w:after="60" w:line="276" w:lineRule="auto"/>
              <w:contextualSpacing/>
              <w:rPr>
                <w:bCs/>
                <w:sz w:val="22"/>
                <w:szCs w:val="22"/>
              </w:rPr>
            </w:pPr>
            <w:r>
              <w:rPr>
                <w:bCs/>
                <w:sz w:val="22"/>
                <w:szCs w:val="22"/>
              </w:rPr>
              <w:t>and assuming the following parameters:</w:t>
            </w:r>
          </w:p>
          <w:p>
            <w:pPr>
              <w:pStyle w:val="48"/>
              <w:widowControl w:val="0"/>
              <w:numPr>
                <w:ilvl w:val="0"/>
                <w:numId w:val="13"/>
              </w:numPr>
              <w:spacing w:line="240" w:lineRule="auto"/>
              <w:jc w:val="both"/>
              <w:rPr>
                <w:rFonts w:eastAsia="Times New Roman"/>
                <w:bCs/>
                <w:sz w:val="22"/>
                <w:szCs w:val="22"/>
                <w:lang w:val="en-US"/>
              </w:rPr>
            </w:pPr>
            <w:r>
              <w:rPr>
                <w:bCs/>
                <w:sz w:val="22"/>
                <w:szCs w:val="22"/>
                <w:lang w:val="en-US"/>
              </w:rPr>
              <w:t xml:space="preserve">fixed feeder loss=0,8 dB </w:t>
            </w:r>
          </w:p>
          <w:p>
            <w:pPr>
              <w:pStyle w:val="48"/>
              <w:widowControl w:val="0"/>
              <w:numPr>
                <w:ilvl w:val="0"/>
                <w:numId w:val="13"/>
              </w:numPr>
              <w:spacing w:line="240" w:lineRule="auto"/>
              <w:jc w:val="both"/>
              <w:rPr>
                <w:rFonts w:eastAsia="Times New Roman"/>
                <w:bCs/>
                <w:sz w:val="22"/>
                <w:szCs w:val="22"/>
                <w:lang w:val="en-US"/>
              </w:rPr>
            </w:pPr>
            <w:r>
              <w:rPr>
                <w:bCs/>
                <w:sz w:val="22"/>
                <w:szCs w:val="22"/>
                <w:lang w:val="en-US"/>
              </w:rPr>
              <w:t>fixed PA efficiency factor =35%</w:t>
            </w:r>
          </w:p>
          <w:p>
            <w:pPr>
              <w:pStyle w:val="11"/>
              <w:widowControl w:val="0"/>
              <w:rPr>
                <w:b w:val="0"/>
              </w:rPr>
            </w:pPr>
          </w:p>
          <w:p>
            <w:pPr>
              <w:pStyle w:val="11"/>
              <w:widowControl w:val="0"/>
              <w:rPr>
                <w:rFonts w:eastAsia="Times New Roman"/>
                <w:b w:val="0"/>
                <w:bCs w:val="0"/>
                <w:sz w:val="22"/>
                <w:szCs w:val="22"/>
              </w:rPr>
            </w:pPr>
            <w:r>
              <w:rPr>
                <w:b w:val="0"/>
              </w:rPr>
              <w:t xml:space="preserve">Table </w:t>
            </w:r>
            <w:r>
              <w:rPr>
                <w:b w:val="0"/>
              </w:rPr>
              <w:fldChar w:fldCharType="begin"/>
            </w:r>
            <w:r>
              <w:rPr>
                <w:b w:val="0"/>
              </w:rPr>
              <w:instrText xml:space="preserve">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52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jc w:val="center"/>
                    <w:rPr>
                      <w:sz w:val="22"/>
                      <w:szCs w:val="22"/>
                    </w:rPr>
                  </w:pPr>
                  <m:oMathPara>
                    <m:oMath>
                      <m:r>
                        <w:rPr>
                          <w:rFonts w:ascii="Cambria Math" w:hAnsi="Cambria Math" w:eastAsia="Times New Roman"/>
                          <w:sz w:val="22"/>
                          <w:szCs w:val="22"/>
                        </w:rPr>
                        <m:t>4.1</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 Pt</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24.2</m:t>
                      </m:r>
                    </m:oMath>
                  </m:oMathPara>
                </w:p>
              </w:tc>
              <w:tc>
                <w:tcPr>
                  <w:tcW w:w="3321" w:type="dxa"/>
                </w:tcPr>
                <w:p>
                  <w:pPr>
                    <w:widowControl w:val="0"/>
                    <w:autoSpaceDE/>
                    <w:autoSpaceDN/>
                    <w:adjustRightInd/>
                    <w:spacing w:after="60"/>
                    <w:jc w:val="center"/>
                    <w:rPr>
                      <w:rFonts w:eastAsia="Times New Roman"/>
                      <w:bCs/>
                      <w:sz w:val="22"/>
                      <w:szCs w:val="22"/>
                    </w:rPr>
                  </w:pPr>
                  <m:oMathPara>
                    <m:oMath>
                      <m:r>
                        <w:rPr>
                          <w:rFonts w:ascii="Cambria Math" w:hAnsi="Cambria Math" w:eastAsia="Times New Roman"/>
                          <w:sz w:val="22"/>
                          <w:szCs w:val="22"/>
                        </w:rPr>
                        <m:t>6,1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w:rPr>
                              <w:rFonts w:ascii="Cambria Math" w:hAnsi="Cambria Math"/>
                              <w:color w:val="000000" w:themeColor="text1"/>
                              <w:kern w:val="24"/>
                              <w:sz w:val="22"/>
                              <w:szCs w:val="22"/>
                              <w14:textFill>
                                <w14:solidFill>
                                  <w14:schemeClr w14:val="tx1"/>
                                </w14:solidFill>
                              </w14:textFill>
                            </w:rPr>
                            <m:t>dyn, Tx</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r>
                  <w:rPr>
                    <w:rFonts w:ascii="Cambria Math" w:hAnsi="Cambria Math" w:eastAsia="Times New Roman"/>
                    <w:sz w:val="22"/>
                    <w:szCs w:val="22"/>
                  </w:rPr>
                  <m:t xml:space="preserve">= </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p>
            <w:pPr>
              <w:pStyle w:val="11"/>
              <w:widowControl w:val="0"/>
              <w:rPr>
                <w:rFonts w:eastAsia="Times New Roman"/>
                <w:b w:val="0"/>
                <w:bCs w:val="0"/>
                <w:sz w:val="22"/>
                <w:szCs w:val="22"/>
              </w:rPr>
            </w:pPr>
            <w:bookmarkStart w:id="12" w:name="_Ref115255651"/>
            <w:r>
              <w:rPr>
                <w:b w:val="0"/>
              </w:rPr>
              <w:t xml:space="preserve">Table </w:t>
            </w:r>
            <w:r>
              <w:rPr>
                <w:b w:val="0"/>
              </w:rPr>
              <w:fldChar w:fldCharType="begin"/>
            </w:r>
            <w:r>
              <w:rPr>
                <w:b w:val="0"/>
              </w:rPr>
              <w:instrText xml:space="preserve">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UL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pPr>
                    <w:widowControl w:val="0"/>
                    <w:autoSpaceDE/>
                    <w:autoSpaceDN/>
                    <w:adjustRightInd/>
                    <w:spacing w:after="60" w:line="276" w:lineRule="auto"/>
                    <w:contextualSpacing/>
                    <w:rPr>
                      <w:bCs/>
                      <w:sz w:val="22"/>
                      <w:szCs w:val="22"/>
                    </w:rPr>
                  </w:pPr>
                  <m:oMathPara>
                    <m:oMath>
                      <m:r>
                        <w:rPr>
                          <w:rFonts w:ascii="Cambria Math" w:hAnsi="Cambria Math" w:eastAsia="Times New Roman"/>
                          <w:sz w:val="22"/>
                          <w:szCs w:val="22"/>
                        </w:rPr>
                        <m:t>2,8</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oMath>
                  </m:oMathPara>
                </w:p>
              </w:tc>
              <w:tc>
                <w:tcPr>
                  <w:tcW w:w="3321" w:type="dxa"/>
                </w:tcPr>
                <w:p>
                  <w:pPr>
                    <w:widowControl w:val="0"/>
                    <w:autoSpaceDE/>
                    <w:autoSpaceDN/>
                    <w:adjustRightInd/>
                    <w:spacing w:after="60"/>
                    <w:rPr>
                      <w:rFonts w:eastAsia="Times New Roman"/>
                      <w:bCs/>
                      <w:sz w:val="22"/>
                      <w:szCs w:val="22"/>
                    </w:rPr>
                  </w:pPr>
                  <m:oMathPara>
                    <m:oMath>
                      <m:r>
                        <w:rPr>
                          <w:rFonts w:ascii="Cambria Math" w:hAnsi="Cambria Math" w:eastAsia="Times New Roman"/>
                          <w:sz w:val="22"/>
                          <w:szCs w:val="22"/>
                        </w:rPr>
                        <m:t>3,7</m:t>
                      </m:r>
                    </m:oMath>
                  </m:oMathPara>
                </w:p>
              </w:tc>
              <w:tc>
                <w:tcPr>
                  <w:tcW w:w="3321" w:type="dxa"/>
                </w:tcPr>
                <w:p>
                  <w:pPr>
                    <w:widowControl w:val="0"/>
                    <w:autoSpaceDE/>
                    <w:autoSpaceDN/>
                    <w:adjustRightInd/>
                    <w:spacing w:after="60" w:line="276" w:lineRule="auto"/>
                    <w:contextualSpacing/>
                    <w:jc w:val="center"/>
                    <w:rPr>
                      <w:rFonts w:eastAsia="Times New Roman"/>
                      <w:bCs/>
                      <w:sz w:val="22"/>
                      <w:szCs w:val="22"/>
                    </w:rPr>
                  </w:pPr>
                  <m:oMathPara>
                    <m:oMath>
                      <m:r>
                        <w:rPr>
                          <w:rFonts w:ascii="Cambria Math" w:hAnsi="Cambria Math" w:eastAsia="Times New Roman"/>
                          <w:sz w:val="22"/>
                          <w:szCs w:val="22"/>
                        </w:rPr>
                        <m:t>1,8</m:t>
                      </m:r>
                    </m:oMath>
                  </m:oMathPara>
                </w:p>
              </w:tc>
            </w:tr>
          </w:tbl>
          <w:p>
            <w:pPr>
              <w:widowControl w:val="0"/>
            </w:pPr>
          </w:p>
          <w:p>
            <w:pPr>
              <w:widowControl w:val="0"/>
            </w:pPr>
            <w:r>
              <w:t>In time domain,</w:t>
            </w:r>
          </w:p>
          <w:p>
            <w:pPr>
              <w:widowControl w:val="0"/>
              <w:rPr>
                <w:rFonts w:eastAsia="Times New Roman"/>
                <w:bCs/>
                <w:iCs/>
                <w:sz w:val="22"/>
                <w:szCs w:val="22"/>
              </w:rPr>
            </w:pPr>
            <m:oMath>
              <m:r>
                <w:rPr>
                  <w:rFonts w:ascii="Cambria Math" w:hAnsi="Cambria Math" w:eastAsia="Times New Roman"/>
                  <w:sz w:val="22"/>
                  <w:szCs w:val="22"/>
                </w:rPr>
                <m:t>P=</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UL</m:t>
                  </m:r>
                  <m:ctrlPr>
                    <w:rPr>
                      <w:rFonts w:ascii="Cambria Math" w:hAnsi="Cambria Math" w:eastAsia="Times New Roman"/>
                      <w:i/>
                      <w:sz w:val="22"/>
                      <w:szCs w:val="22"/>
                    </w:rPr>
                  </m:ctrlPr>
                </m:sup>
              </m:sSup>
            </m:oMath>
            <w:r>
              <w:rPr>
                <w:rFonts w:eastAsia="Times New Roman"/>
                <w:bCs/>
                <w:iCs/>
                <w:sz w:val="22"/>
                <w:szCs w:val="22"/>
              </w:rPr>
              <w:t>+</w:t>
            </w:r>
            <m:oMath>
              <m:d>
                <m:dPr>
                  <m:ctrlPr>
                    <w:rPr>
                      <w:rFonts w:ascii="Cambria Math" w:hAnsi="Cambria Math" w:eastAsia="Times New Roman"/>
                      <w:bCs/>
                      <w:i/>
                      <w:iCs/>
                      <w:sz w:val="22"/>
                      <w:szCs w:val="22"/>
                    </w:rPr>
                  </m:ctrlPr>
                </m:dPr>
                <m:e>
                  <m:r>
                    <w:rPr>
                      <w:rFonts w:ascii="Cambria Math" w:hAnsi="Cambria Math" w:eastAsia="Times New Roman"/>
                      <w:sz w:val="22"/>
                      <w:szCs w:val="22"/>
                    </w:rPr>
                    <m:t>1-</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UL</m:t>
                      </m:r>
                      <m:ctrlPr>
                        <w:rPr>
                          <w:rFonts w:ascii="Cambria Math" w:hAnsi="Cambria Math" w:eastAsia="Times New Roman"/>
                          <w:i/>
                          <w:sz w:val="22"/>
                          <w:szCs w:val="22"/>
                        </w:rPr>
                      </m:ctrlPr>
                    </m:sub>
                  </m:sSub>
                  <m:r>
                    <w:rPr>
                      <w:rFonts w:ascii="Cambria Math" w:hAnsi="Cambria Math" w:eastAsia="Times New Roman"/>
                      <w:sz w:val="22"/>
                      <w:szCs w:val="22"/>
                    </w:rPr>
                    <m:t>-</m:t>
                  </m:r>
                  <m:sSub>
                    <m:sSubPr>
                      <m:ctrlPr>
                        <w:rPr>
                          <w:rFonts w:ascii="Cambria Math" w:hAnsi="Cambria Math" w:eastAsia="Times New Roman"/>
                          <w:i/>
                          <w:sz w:val="22"/>
                          <w:szCs w:val="22"/>
                        </w:rPr>
                      </m:ctrlPr>
                    </m:sSubPr>
                    <m:e>
                      <m:r>
                        <w:rPr>
                          <w:rFonts w:ascii="Cambria Math" w:hAnsi="Cambria Math" w:eastAsia="Times New Roman"/>
                          <w:sz w:val="22"/>
                          <w:szCs w:val="22"/>
                        </w:rPr>
                        <m:t>α</m:t>
                      </m:r>
                      <m:ctrlPr>
                        <w:rPr>
                          <w:rFonts w:ascii="Cambria Math" w:hAnsi="Cambria Math" w:eastAsia="Times New Roman"/>
                          <w:i/>
                          <w:sz w:val="22"/>
                          <w:szCs w:val="22"/>
                        </w:rPr>
                      </m:ctrlPr>
                    </m:e>
                    <m:sub>
                      <m:r>
                        <w:rPr>
                          <w:rFonts w:ascii="Cambria Math" w:hAnsi="Cambria Math" w:eastAsia="Times New Roman"/>
                          <w:sz w:val="22"/>
                          <w:szCs w:val="22"/>
                        </w:rPr>
                        <m:t>DL</m:t>
                      </m:r>
                      <m:ctrlPr>
                        <w:rPr>
                          <w:rFonts w:ascii="Cambria Math" w:hAnsi="Cambria Math" w:eastAsia="Times New Roman"/>
                          <w:i/>
                          <w:sz w:val="22"/>
                          <w:szCs w:val="22"/>
                        </w:rPr>
                      </m:ctrlPr>
                    </m:sub>
                  </m:sSub>
                  <m:ctrlPr>
                    <w:rPr>
                      <w:rFonts w:ascii="Cambria Math" w:hAnsi="Cambria Math" w:eastAsia="Times New Roman"/>
                      <w:bCs/>
                      <w:i/>
                      <w:iCs/>
                      <w:sz w:val="22"/>
                      <w:szCs w:val="22"/>
                    </w:rPr>
                  </m:ctrlPr>
                </m:e>
              </m:d>
              <m:r>
                <w:rPr>
                  <w:rFonts w:ascii="Cambria Math" w:hAnsi="Cambria Math" w:eastAsia="Times New Roman"/>
                  <w:sz w:val="22"/>
                  <w:szCs w:val="22"/>
                </w:rPr>
                <m:t>*</m:t>
              </m:r>
              <m:sSub>
                <m:sSubPr>
                  <m:ctrlPr>
                    <w:rPr>
                      <w:rFonts w:ascii="Cambria Math" w:hAnsi="Cambria Math" w:eastAsia="Times New Roman"/>
                      <w:bCs/>
                      <w:i/>
                      <w:iCs/>
                      <w:sz w:val="22"/>
                      <w:szCs w:val="22"/>
                    </w:rPr>
                  </m:ctrlPr>
                </m:sSubPr>
                <m:e>
                  <m:r>
                    <w:rPr>
                      <w:rFonts w:ascii="Cambria Math" w:hAnsi="Cambria Math" w:eastAsia="Times New Roman"/>
                      <w:sz w:val="22"/>
                      <w:szCs w:val="22"/>
                    </w:rPr>
                    <m:t>P</m:t>
                  </m:r>
                  <m:ctrlPr>
                    <w:rPr>
                      <w:rFonts w:ascii="Cambria Math" w:hAnsi="Cambria Math" w:eastAsia="Times New Roman"/>
                      <w:bCs/>
                      <w:i/>
                      <w:iCs/>
                      <w:sz w:val="22"/>
                      <w:szCs w:val="22"/>
                    </w:rPr>
                  </m:ctrlPr>
                </m:e>
                <m:sub>
                  <m:r>
                    <w:rPr>
                      <w:rFonts w:ascii="Cambria Math" w:hAnsi="Cambria Math" w:eastAsia="Times New Roman"/>
                      <w:sz w:val="22"/>
                      <w:szCs w:val="22"/>
                    </w:rPr>
                    <m:t>microsleep</m:t>
                  </m:r>
                  <m:ctrlPr>
                    <w:rPr>
                      <w:rFonts w:ascii="Cambria Math" w:hAnsi="Cambria Math" w:eastAsia="Times New Roman"/>
                      <w:bCs/>
                      <w:i/>
                      <w:iCs/>
                      <w:sz w:val="22"/>
                      <w:szCs w:val="22"/>
                    </w:rPr>
                  </m:ctrlPr>
                </m:sub>
              </m:sSub>
            </m:oMath>
          </w:p>
          <w:p>
            <w:pPr>
              <w:widowControl w:val="0"/>
            </w:pPr>
          </w:p>
          <w:p>
            <w:pPr>
              <w:widowControl w:val="0"/>
            </w:pPr>
            <w:r>
              <w:t>For CA,</w:t>
            </w:r>
          </w:p>
          <w:p>
            <w:pPr>
              <w:widowControl w:val="0"/>
              <w:rPr>
                <w:sz w:val="22"/>
                <w:szCs w:val="22"/>
              </w:rPr>
            </w:pPr>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color w:val="001135"/>
                  <w:kern w:val="24"/>
                  <w:sz w:val="22"/>
                  <w:szCs w:val="22"/>
                </w:rPr>
                <m:t>=</m:t>
              </m:r>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sSub>
                <m:sSubPr>
                  <m:ctrlPr>
                    <w:rPr>
                      <w:rFonts w:ascii="Cambria Math" w:hAnsi="Cambria Math" w:eastAsia="Cambria Math" w:cs="+mn-cs"/>
                      <w:bCs/>
                      <w:i/>
                      <w:iCs/>
                      <w:color w:val="001135"/>
                      <w:kern w:val="24"/>
                      <w:sz w:val="22"/>
                      <w:szCs w:val="24"/>
                    </w:rPr>
                  </m:ctrlPr>
                </m:sSubPr>
                <m:e>
                  <m:r>
                    <m:rPr>
                      <m:sty m:val="p"/>
                    </m:rPr>
                    <w:rPr>
                      <w:rFonts w:ascii="Cambria Math" w:hAnsi="Cambria Math" w:eastAsia="+mn-ea" w:cs="+mn-cs"/>
                      <w:color w:val="001135"/>
                      <w:kern w:val="24"/>
                      <w:sz w:val="22"/>
                      <w:szCs w:val="22"/>
                    </w:rPr>
                    <m:t>*</m:t>
                  </m:r>
                  <m:sSub>
                    <m:sSubPr>
                      <m:ctrlPr>
                        <w:rPr>
                          <w:rFonts w:ascii="Cambria Math" w:hAnsi="Cambria Math" w:eastAsia="Cambria Math" w:cs="+mn-cs"/>
                          <w:bCs/>
                          <w:i/>
                          <w:iCs/>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BW</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d>
                <m:dPr>
                  <m:ctrlPr>
                    <w:rPr>
                      <w:rFonts w:ascii="Cambria Math" w:hAnsi="Cambria Math" w:eastAsia="Cambria Math" w:cs="+mn-cs"/>
                      <w:bCs/>
                      <w:i/>
                      <w:color w:val="001135"/>
                      <w:kern w:val="24"/>
                      <w:sz w:val="22"/>
                      <w:szCs w:val="24"/>
                    </w:rPr>
                  </m:ctrlPr>
                </m:dPr>
                <m:e>
                  <m:sSub>
                    <m:sSubPr>
                      <m:ctrlPr>
                        <w:rPr>
                          <w:rFonts w:ascii="Cambria Math" w:hAnsi="Cambria Math" w:eastAsia="Cambria Math" w:cs="+mn-cs"/>
                          <w:bCs/>
                          <w:i/>
                          <w:iCs/>
                          <w:color w:val="001135"/>
                          <w:kern w:val="24"/>
                          <w:sz w:val="22"/>
                          <w:szCs w:val="24"/>
                        </w:rPr>
                      </m:ctrlPr>
                    </m:sSubPr>
                    <m:e>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power</m:t>
                      </m:r>
                      <m:ctrlPr>
                        <w:rPr>
                          <w:rFonts w:ascii="Cambria Math" w:hAnsi="Cambria Math" w:eastAsia="Cambria Math" w:cs="+mn-cs"/>
                          <w:bCs/>
                          <w:i/>
                          <w:iCs/>
                          <w:color w:val="001135"/>
                          <w:kern w:val="24"/>
                          <w:sz w:val="22"/>
                          <w:szCs w:val="24"/>
                        </w:rPr>
                      </m:ctrlPr>
                    </m:sub>
                  </m:sSub>
                  <m: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w:rPr>
                          <w:rFonts w:ascii="Cambria Math" w:hAnsi="Cambria Math" w:eastAsia="Cambria Math" w:cs="+mn-cs"/>
                          <w:color w:val="001135"/>
                          <w:kern w:val="24"/>
                          <w:sz w:val="22"/>
                          <w:szCs w:val="24"/>
                        </w:rPr>
                        <m:t>dyn, Tx, Pt</m:t>
                      </m:r>
                      <m:ctrlPr>
                        <w:rPr>
                          <w:rFonts w:ascii="Cambria Math" w:hAnsi="Cambria Math" w:eastAsia="Cambria Math" w:cs="+mn-cs"/>
                          <w:bCs/>
                          <w:i/>
                          <w:iCs/>
                          <w:color w:val="001135"/>
                          <w:kern w:val="24"/>
                          <w:sz w:val="22"/>
                          <w:szCs w:val="24"/>
                        </w:rPr>
                      </m:ctrlPr>
                    </m:sub>
                  </m:sSub>
                  <m:ctrlPr>
                    <w:rPr>
                      <w:rFonts w:ascii="Cambria Math" w:hAnsi="Cambria Math" w:eastAsia="Cambria Math" w:cs="+mn-cs"/>
                      <w:bCs/>
                      <w:i/>
                      <w:color w:val="001135"/>
                      <w:kern w:val="24"/>
                      <w:sz w:val="22"/>
                      <w:szCs w:val="24"/>
                    </w:rPr>
                  </m:ctrlPr>
                </m:e>
              </m:d>
              <m:r>
                <w:rPr>
                  <w:rFonts w:ascii="Cambria Math" w:hAnsi="Cambria Math" w:eastAsia="Cambria Math" w:cs="+mn-cs"/>
                  <w:color w:val="001135"/>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w:r>
              <w:rPr>
                <w:sz w:val="22"/>
                <w:szCs w:val="22"/>
              </w:rPr>
              <w:t xml:space="preserve"> where </w:t>
            </w:r>
            <m:oMath>
              <m:sSub>
                <m:sSubPr>
                  <m:ctrlPr>
                    <w:rPr>
                      <w:rFonts w:ascii="Cambria Math" w:hAnsi="Cambria Math" w:eastAsia="Cambria Math" w:cs="+mn-cs"/>
                      <w:i/>
                      <w:color w:val="001135"/>
                      <w:kern w:val="24"/>
                      <w:sz w:val="22"/>
                      <w:szCs w:val="24"/>
                    </w:rPr>
                  </m:ctrlPr>
                </m:sSubPr>
                <m:e>
                  <m: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oMath>
            <w:r>
              <w:rPr>
                <w:rFonts w:eastAsia="Times New Roman"/>
                <w:sz w:val="22"/>
                <w:szCs w:val="22"/>
              </w:rPr>
              <w:t xml:space="preserve"> &gt;1</w:t>
            </w:r>
          </w:p>
          <w:p>
            <w:pPr>
              <w:widowControl w:val="0"/>
            </w:pPr>
          </w:p>
          <w:p>
            <w:pPr>
              <w:widowControl w:val="0"/>
            </w:pPr>
            <w:r>
              <w:t>For multi-TRP,</w:t>
            </w:r>
          </w:p>
          <w:p>
            <w:pPr>
              <w:widowControl w:val="0"/>
            </w:pPr>
            <m:oMathPara>
              <m:oMath>
                <m:sSup>
                  <m:sSupPr>
                    <m:ctrlPr>
                      <w:rPr>
                        <w:rFonts w:ascii="Cambria Math" w:hAnsi="Cambria Math" w:eastAsia="Times New Roman"/>
                        <w:i/>
                        <w:sz w:val="22"/>
                        <w:szCs w:val="22"/>
                      </w:rPr>
                    </m:ctrlPr>
                  </m:sSupPr>
                  <m:e>
                    <m:r>
                      <w:rPr>
                        <w:rFonts w:ascii="Cambria Math" w:hAnsi="Cambria Math" w:eastAsia="Times New Roman"/>
                        <w:sz w:val="22"/>
                        <w:szCs w:val="22"/>
                      </w:rPr>
                      <m:t>P</m:t>
                    </m:r>
                    <m:ctrlPr>
                      <w:rPr>
                        <w:rFonts w:ascii="Cambria Math" w:hAnsi="Cambria Math" w:eastAsia="Times New Roman"/>
                        <w:i/>
                        <w:sz w:val="22"/>
                        <w:szCs w:val="22"/>
                      </w:rPr>
                    </m:ctrlPr>
                  </m:e>
                  <m:sup>
                    <m: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kern w:val="24"/>
                    <w:sz w:val="22"/>
                    <w:szCs w:val="22"/>
                  </w:rPr>
                  <m:t>=</m:t>
                </m:r>
                <m:nary>
                  <m:naryPr>
                    <m:chr m:val="∑"/>
                    <m:limLoc m:val="undOvr"/>
                    <m:ctrlPr>
                      <w:rPr>
                        <w:rFonts w:ascii="Cambria Math" w:hAnsi="Cambria Math" w:eastAsia="+mn-ea" w:cs="+mn-cs"/>
                        <w:kern w:val="24"/>
                        <w:sz w:val="22"/>
                        <w:szCs w:val="22"/>
                      </w:rPr>
                    </m:ctrlPr>
                  </m:naryPr>
                  <m:sub>
                    <m:r>
                      <w:rPr>
                        <w:rFonts w:ascii="Cambria Math" w:hAnsi="Cambria Math" w:eastAsia="+mn-ea" w:cs="+mn-cs"/>
                        <w:kern w:val="24"/>
                        <w:sz w:val="22"/>
                        <w:szCs w:val="22"/>
                      </w:rPr>
                      <m:t>i=1</m:t>
                    </m:r>
                    <m:ctrlPr>
                      <w:rPr>
                        <w:rFonts w:ascii="Cambria Math" w:hAnsi="Cambria Math" w:eastAsia="+mn-ea" w:cs="+mn-cs"/>
                        <w:kern w:val="24"/>
                        <w:sz w:val="22"/>
                        <w:szCs w:val="22"/>
                      </w:rPr>
                    </m:ctrlPr>
                  </m:sub>
                  <m:sup>
                    <m:r>
                      <w:rPr>
                        <w:rFonts w:ascii="Cambria Math" w:hAnsi="Cambria Math" w:eastAsia="+mn-ea" w:cs="+mn-cs"/>
                        <w:kern w:val="24"/>
                        <w:sz w:val="22"/>
                        <w:szCs w:val="22"/>
                      </w:rPr>
                      <m:t>N</m:t>
                    </m:r>
                    <m:ctrlPr>
                      <w:rPr>
                        <w:rFonts w:ascii="Cambria Math" w:hAnsi="Cambria Math" w:eastAsia="+mn-ea" w:cs="+mn-cs"/>
                        <w:kern w:val="24"/>
                        <w:sz w:val="22"/>
                        <w:szCs w:val="22"/>
                      </w:rPr>
                    </m:ctrlPr>
                  </m:sup>
                  <m:e>
                    <m:sSub>
                      <m:sSubPr>
                        <m:ctrlPr>
                          <w:rPr>
                            <w:rFonts w:ascii="Cambria Math" w:hAnsi="Cambria Math" w:eastAsia="Cambria Math" w:cs="+mn-cs"/>
                            <w:i/>
                            <w:kern w:val="24"/>
                            <w:sz w:val="22"/>
                            <w:szCs w:val="24"/>
                          </w:rPr>
                        </m:ctrlPr>
                      </m:sSubPr>
                      <m:e>
                        <m:sSub>
                          <m:sSubPr>
                            <m:ctrlPr>
                              <w:rPr>
                                <w:rFonts w:ascii="Cambria Math" w:hAnsi="Cambria Math" w:eastAsia="Cambria Math" w:cs="+mn-cs"/>
                                <w:bCs/>
                                <w:i/>
                                <w:iCs/>
                                <w:kern w:val="24"/>
                                <w:sz w:val="22"/>
                                <w:szCs w:val="24"/>
                              </w:rPr>
                            </m:ctrlPr>
                          </m:sSubPr>
                          <m:e>
                            <m:r>
                              <m:rPr>
                                <m:sty m:val="p"/>
                              </m:rPr>
                              <w:rPr>
                                <w:rFonts w:ascii="Cambria Math" w:hAnsi="Cambria Math" w:eastAsia="+mn-ea" w:cs="+mn-cs"/>
                                <w:kern w:val="24"/>
                                <w:sz w:val="22"/>
                                <w:szCs w:val="22"/>
                              </w:rPr>
                              <m:t>[</m:t>
                            </m:r>
                            <m:sSub>
                              <m:sSubPr>
                                <m:ctrlPr>
                                  <w:rPr>
                                    <w:rFonts w:ascii="Cambria Math" w:hAnsi="Cambria Math" w:eastAsia="Cambria Math" w:cs="+mn-cs"/>
                                    <w:bCs/>
                                    <w:i/>
                                    <w:iCs/>
                                    <w:kern w:val="24"/>
                                    <w:sz w:val="22"/>
                                    <w:szCs w:val="24"/>
                                  </w:rPr>
                                </m:ctrlPr>
                              </m:sSubPr>
                              <m:e>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BW</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antenna</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d>
                          <m:dPr>
                            <m:ctrlPr>
                              <w:rPr>
                                <w:rFonts w:ascii="Cambria Math" w:hAnsi="Cambria Math" w:eastAsia="Cambria Math" w:cs="+mn-cs"/>
                                <w:bCs/>
                                <w:i/>
                                <w:kern w:val="24"/>
                                <w:sz w:val="22"/>
                                <w:szCs w:val="24"/>
                              </w:rPr>
                            </m:ctrlPr>
                          </m:dPr>
                          <m:e>
                            <m:sSub>
                              <m:sSubPr>
                                <m:ctrlPr>
                                  <w:rPr>
                                    <w:rFonts w:ascii="Cambria Math" w:hAnsi="Cambria Math" w:eastAsia="Cambria Math" w:cs="+mn-cs"/>
                                    <w:bCs/>
                                    <w:i/>
                                    <w:iCs/>
                                    <w:kern w:val="24"/>
                                    <w:sz w:val="22"/>
                                    <w:szCs w:val="24"/>
                                  </w:rPr>
                                </m:ctrlPr>
                              </m:sSubPr>
                              <m:e>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power</m:t>
                                </m:r>
                                <m:ctrlPr>
                                  <w:rPr>
                                    <w:rFonts w:ascii="Cambria Math" w:hAnsi="Cambria Math" w:eastAsia="Cambria Math" w:cs="+mn-cs"/>
                                    <w:bCs/>
                                    <w:i/>
                                    <w:iCs/>
                                    <w:kern w:val="24"/>
                                    <w:sz w:val="22"/>
                                    <w:szCs w:val="24"/>
                                  </w:rPr>
                                </m:ctrlPr>
                              </m:sub>
                            </m:sSub>
                            <m:r>
                              <w:rPr>
                                <w:rFonts w:ascii="Cambria Math" w:hAnsi="Cambria Math" w:eastAsia="Cambria Math" w:cs="+mn-cs"/>
                                <w:kern w:val="24"/>
                                <w:sz w:val="22"/>
                                <w:szCs w:val="24"/>
                              </w:rPr>
                              <m:t>*</m:t>
                            </m:r>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w:rPr>
                                    <w:rFonts w:ascii="Cambria Math" w:hAnsi="Cambria Math" w:eastAsia="Cambria Math" w:cs="+mn-cs"/>
                                    <w:kern w:val="24"/>
                                    <w:sz w:val="22"/>
                                    <w:szCs w:val="24"/>
                                  </w:rPr>
                                  <m:t>dyn, Tx, Pt</m:t>
                                </m:r>
                                <m:ctrlPr>
                                  <w:rPr>
                                    <w:rFonts w:ascii="Cambria Math" w:hAnsi="Cambria Math" w:eastAsia="Cambria Math" w:cs="+mn-cs"/>
                                    <w:bCs/>
                                    <w:i/>
                                    <w:iCs/>
                                    <w:kern w:val="24"/>
                                    <w:sz w:val="22"/>
                                    <w:szCs w:val="24"/>
                                  </w:rPr>
                                </m:ctrlPr>
                              </m:sub>
                            </m:sSub>
                            <m:ctrlPr>
                              <w:rPr>
                                <w:rFonts w:ascii="Cambria Math" w:hAnsi="Cambria Math" w:eastAsia="Cambria Math" w:cs="+mn-cs"/>
                                <w:bCs/>
                                <w:i/>
                                <w:kern w:val="24"/>
                                <w:sz w:val="22"/>
                                <w:szCs w:val="24"/>
                              </w:rPr>
                            </m:ctrlPr>
                          </m:e>
                        </m:d>
                        <m:r>
                          <w:rPr>
                            <w:rFonts w:ascii="Cambria Math" w:hAnsi="Cambria Math" w:eastAsia="Cambria Math" w:cs="+mn-cs"/>
                            <w:kern w:val="24"/>
                            <w:sz w:val="22"/>
                            <w:szCs w:val="24"/>
                          </w:rPr>
                          <m:t>]</m:t>
                        </m:r>
                        <m:ctrlPr>
                          <w:rPr>
                            <w:rFonts w:ascii="Cambria Math" w:hAnsi="Cambria Math" w:eastAsia="Cambria Math" w:cs="+mn-cs"/>
                            <w:i/>
                            <w:kern w:val="24"/>
                            <w:sz w:val="22"/>
                            <w:szCs w:val="24"/>
                          </w:rPr>
                        </m:ctrlPr>
                      </m:e>
                      <m:sub>
                        <m:r>
                          <w:rPr>
                            <w:rFonts w:ascii="Cambria Math" w:hAnsi="Cambria Math" w:eastAsia="Cambria Math" w:cs="+mn-cs"/>
                            <w:kern w:val="24"/>
                            <w:sz w:val="22"/>
                            <w:szCs w:val="24"/>
                          </w:rPr>
                          <m:t>TRP-i</m:t>
                        </m:r>
                        <m:ctrlPr>
                          <w:rPr>
                            <w:rFonts w:ascii="Cambria Math" w:hAnsi="Cambria Math" w:eastAsia="Cambria Math" w:cs="+mn-cs"/>
                            <w:i/>
                            <w:kern w:val="24"/>
                            <w:sz w:val="22"/>
                            <w:szCs w:val="24"/>
                          </w:rPr>
                        </m:ctrlPr>
                      </m:sub>
                    </m:sSub>
                    <m:ctrlPr>
                      <w:rPr>
                        <w:rFonts w:ascii="Cambria Math" w:hAnsi="Cambria Math" w:eastAsia="+mn-ea" w:cs="+mn-cs"/>
                        <w:kern w:val="24"/>
                        <w:sz w:val="22"/>
                        <w:szCs w:val="22"/>
                      </w:rPr>
                    </m:ctrlPr>
                  </m:e>
                </m:nary>
                <m:r>
                  <w:rPr>
                    <w:rFonts w:ascii="Cambria Math" w:hAnsi="Cambria Math" w:eastAsia="Cambria Math" w:cs="+mn-cs"/>
                    <w:kern w:val="24"/>
                    <w:sz w:val="22"/>
                    <w:szCs w:val="24"/>
                  </w:rPr>
                  <m:t>+</m:t>
                </m:r>
                <m:sSubSup>
                  <m:sSubSupPr>
                    <m:ctrlPr>
                      <w:rPr>
                        <w:rFonts w:ascii="Cambria Math" w:hAnsi="Cambria Math" w:eastAsia="Times New Roman"/>
                        <w:i/>
                        <w:sz w:val="22"/>
                        <w:szCs w:val="22"/>
                      </w:rPr>
                    </m:ctrlPr>
                  </m:sSubSupPr>
                  <m:e>
                    <m:r>
                      <w:rPr>
                        <w:rFonts w:ascii="Cambria Math" w:hAnsi="Cambria Math" w:eastAsia="Times New Roman"/>
                        <w:sz w:val="22"/>
                        <w:szCs w:val="22"/>
                      </w:rPr>
                      <m:t>P</m:t>
                    </m:r>
                    <m:ctrlPr>
                      <w:rPr>
                        <w:rFonts w:ascii="Cambria Math" w:hAnsi="Cambria Math" w:eastAsia="Times New Roman"/>
                        <w:i/>
                        <w:sz w:val="22"/>
                        <w:szCs w:val="22"/>
                      </w:rPr>
                    </m:ctrlPr>
                  </m:e>
                  <m:sub>
                    <m:r>
                      <w:rPr>
                        <w:rFonts w:ascii="Cambria Math" w:hAnsi="Cambria Math" w:eastAsia="Times New Roman"/>
                        <w:sz w:val="22"/>
                        <w:szCs w:val="22"/>
                      </w:rPr>
                      <m:t>static</m:t>
                    </m:r>
                    <m:ctrlPr>
                      <w:rPr>
                        <w:rFonts w:ascii="Cambria Math" w:hAnsi="Cambria Math" w:eastAsia="Times New Roman"/>
                        <w:i/>
                        <w:sz w:val="22"/>
                        <w:szCs w:val="22"/>
                      </w:rPr>
                    </m:ctrlPr>
                  </m:sub>
                  <m:sup>
                    <m: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vivo</w:t>
            </w:r>
          </w:p>
        </w:tc>
        <w:tc>
          <w:tcPr>
            <w:tcW w:w="7970" w:type="dxa"/>
          </w:tcPr>
          <w:p>
            <w:pPr>
              <w:pStyle w:val="11"/>
              <w:widowControl w:val="0"/>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oMath>
            <w:r>
              <w:rPr>
                <w:b w:val="0"/>
                <w:i/>
              </w:rPr>
              <w:t xml:space="preserve"> in the Revised Alt 1-update is the same as power value of Micro sleep power state.</w:t>
            </w:r>
            <w:bookmarkEnd w:id="13"/>
          </w:p>
          <w:p>
            <w:pPr>
              <w:pStyle w:val="11"/>
              <w:widowControl w:val="0"/>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rFonts w:eastAsiaTheme="minorEastAsia"/>
                <w:b w:val="0"/>
              </w:rPr>
              <w:t xml:space="preserve">and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b w:val="0"/>
                <w:i/>
              </w:rPr>
              <w:t xml:space="preserve"> in the Revised Alt 1-update should meet the condition that the sum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r>
                <m:rPr>
                  <m:sty m:val="bi"/>
                </m:rPr>
                <w:rPr>
                  <w:rFonts w:ascii="Cambria Math" w:hAnsi="Cambria Math" w:eastAsiaTheme="minorEastAsia"/>
                  <w:szCs w:val="24"/>
                </w:rPr>
                <m:t xml:space="preserve">, </m:t>
              </m:r>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b w:val="0"/>
                <w:i/>
              </w:rPr>
              <w:t>and</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rFonts w:hint="eastAsia" w:eastAsiaTheme="minorEastAsia"/>
                <w:b w:val="0"/>
              </w:rPr>
              <w:t xml:space="preserve"> </w:t>
            </w:r>
            <w:r>
              <w:rPr>
                <w:b w:val="0"/>
                <w:i/>
              </w:rPr>
              <w:t>is the same as power value of Active DL power state.</w:t>
            </w:r>
            <w:bookmarkEnd w:id="14"/>
          </w:p>
          <w:p>
            <w:pPr>
              <w:pStyle w:val="11"/>
              <w:widowControl w:val="0"/>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pPr>
              <w:pStyle w:val="48"/>
              <w:widowControl/>
              <w:numPr>
                <w:ilvl w:val="1"/>
                <w:numId w:val="14"/>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r>
                    <w:rPr>
                      <w:rFonts w:ascii="Cambria Math" w:hAnsi="Cambria Math"/>
                    </w:rPr>
                    <m:t>+</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up>
                  <m:r>
                    <w:rPr>
                      <w:rFonts w:ascii="Cambria Math" w:hAnsi="Cambria Math"/>
                    </w:rPr>
                    <m:t>UL</m:t>
                  </m:r>
                  <m:ctrlPr>
                    <w:rPr>
                      <w:rFonts w:ascii="Cambria Math" w:hAnsi="Cambria Math"/>
                      <w:i/>
                      <w:iCs/>
                    </w:rPr>
                  </m:ctrlPr>
                </m:sup>
              </m:sSubSup>
            </m:oMath>
          </w:p>
          <w:p>
            <w:pPr>
              <w:pStyle w:val="48"/>
              <w:widowControl/>
              <w:numPr>
                <w:ilvl w:val="2"/>
                <w:numId w:val="14"/>
              </w:numPr>
              <w:rPr>
                <w:rFonts w:eastAsia="Times New Roman"/>
                <w:i/>
                <w:lang w:eastAsia="en-US"/>
              </w:rPr>
            </w:pPr>
            <m:oMath>
              <m:sSubSup>
                <m:sSubSupPr>
                  <m:ctrlPr>
                    <w:rPr>
                      <w:rFonts w:ascii="Cambria Math" w:hAnsi="Cambria Math"/>
                      <w:i/>
                      <w:iCs/>
                    </w:rPr>
                  </m:ctrlPr>
                </m:sSubSupPr>
                <m:e>
                  <m:r>
                    <w:rPr>
                      <w:rFonts w:ascii="Cambria Math" w:hAnsi="Cambria Math"/>
                    </w:rPr>
                    <m:t>P</m:t>
                  </m:r>
                  <m:ctrlPr>
                    <w:rPr>
                      <w:rFonts w:ascii="Cambria Math" w:hAnsi="Cambria Math"/>
                      <w:i/>
                      <w:iCs/>
                    </w:rPr>
                  </m:ctrlPr>
                </m:e>
                <m:sub>
                  <m:r>
                    <w:rPr>
                      <w:rFonts w:ascii="Cambria Math" w:hAnsi="Cambria Math"/>
                    </w:rPr>
                    <m:t>static</m:t>
                  </m:r>
                  <m:ctrlPr>
                    <w:rPr>
                      <w:rFonts w:ascii="Cambria Math" w:hAnsi="Cambria Math"/>
                      <w:i/>
                      <w:iCs/>
                    </w:rPr>
                  </m:ctrlPr>
                </m:sub>
                <m:sup>
                  <m:r>
                    <w:rPr>
                      <w:rFonts w:ascii="Cambria Math" w:hAnsi="Cambria Math"/>
                    </w:rPr>
                    <m:t>UL</m:t>
                  </m:r>
                  <m:ctrlPr>
                    <w:rPr>
                      <w:rFonts w:ascii="Cambria Math" w:hAnsi="Cambria Math"/>
                      <w:i/>
                      <w:iCs/>
                    </w:rPr>
                  </m:ctrlPr>
                </m:sup>
              </m:sSubSup>
            </m:oMath>
            <w:r>
              <w:rPr>
                <w:rFonts w:hint="eastAsia"/>
              </w:rPr>
              <w:t xml:space="preserve"> </w:t>
            </w:r>
            <w:r>
              <w:t xml:space="preserve">= power </w:t>
            </w:r>
            <w:r>
              <w:rPr>
                <w:rFonts w:eastAsia="Times New Roman"/>
                <w:i/>
                <w:lang w:eastAsia="en-US"/>
              </w:rPr>
              <w:t>value of Micro sleep power state (i.e. P3)</w:t>
            </w:r>
          </w:p>
          <w:p>
            <w:pPr>
              <w:pStyle w:val="48"/>
              <w:widowControl/>
              <w:numPr>
                <w:ilvl w:val="2"/>
                <w:numId w:val="14"/>
              </w:numPr>
            </w:pPr>
            <m:oMath>
              <m:sSubSup>
                <m:sSubSupPr>
                  <m:ctrlPr>
                    <w:rPr>
                      <w:rFonts w:ascii="Cambria Math" w:hAnsi="Cambria Math" w:eastAsiaTheme="minorEastAsia"/>
                    </w:rPr>
                  </m:ctrlPr>
                </m:sSubSupPr>
                <m:e>
                  <m:r>
                    <w:rPr>
                      <w:rFonts w:ascii="Cambria Math" w:hAnsi="Cambria Math" w:eastAsiaTheme="minorEastAsia"/>
                    </w:rPr>
                    <m:t>P</m:t>
                  </m:r>
                  <m:ctrlPr>
                    <w:rPr>
                      <w:rFonts w:ascii="Cambria Math" w:hAnsi="Cambria Math" w:eastAsiaTheme="minorEastAsia"/>
                    </w:rPr>
                  </m:ctrlPr>
                </m:e>
                <m:sub>
                  <m:r>
                    <w:rPr>
                      <w:rFonts w:ascii="Cambria Math" w:hAnsi="Cambria Math" w:eastAsiaTheme="minorEastAsia"/>
                    </w:rPr>
                    <m:t>dynamic</m:t>
                  </m:r>
                  <m:ctrlPr>
                    <w:rPr>
                      <w:rFonts w:ascii="Cambria Math" w:hAnsi="Cambria Math" w:eastAsiaTheme="minorEastAsia"/>
                    </w:rPr>
                  </m:ctrlPr>
                </m:sub>
                <m:sup>
                  <m:r>
                    <w:rPr>
                      <w:rFonts w:ascii="Cambria Math" w:hAnsi="Cambria Math" w:eastAsiaTheme="minorEastAsia"/>
                    </w:rPr>
                    <m:t>UL</m:t>
                  </m:r>
                  <m:ctrlPr>
                    <w:rPr>
                      <w:rFonts w:ascii="Cambria Math" w:hAnsi="Cambria Math" w:eastAsiaTheme="minorEastAsia"/>
                    </w:rPr>
                  </m:ctrlPr>
                </m:sup>
              </m:sSubSup>
            </m:oMath>
            <w:r>
              <w:rPr>
                <w:rFonts w:hint="eastAsia"/>
              </w:rPr>
              <w:t>=</w:t>
            </w:r>
            <w:r>
              <w:rPr>
                <w:rFonts w:eastAsia="Times New Roman"/>
                <w:i/>
                <w:lang w:eastAsia="en-US"/>
              </w:rPr>
              <w:t>power value of Active UL power state (i.e. P5) - power value of Micro sleep power state (i.e. P3)</w:t>
            </w:r>
            <w:bookmarkStart w:id="16" w:name="_Ref115443977"/>
          </w:p>
          <w:p>
            <w:pPr>
              <w:pStyle w:val="11"/>
              <w:widowControl w:val="0"/>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(1-alpha-beta)*P3 + alpha*P4+beta*P5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China Telecom</w:t>
            </w:r>
          </w:p>
        </w:tc>
        <w:tc>
          <w:tcPr>
            <w:tcW w:w="7970" w:type="dxa"/>
          </w:tcPr>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885"/>
              <w:gridCol w:w="192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ctrlPr>
                            <w:rPr>
                              <w:rFonts w:ascii="Cambria Math" w:hAnsi="Cambria Math"/>
                              <w:bCs/>
                              <w:iCs/>
                              <w:sz w:val="18"/>
                              <w:szCs w:val="18"/>
                              <w:lang w:val="en-GB" w:eastAsia="ja-JP"/>
                            </w:rPr>
                          </m:ctrlPr>
                        </m:e>
                        <m:sub>
                          <m:r>
                            <m:rPr>
                              <m:sty m:val="p"/>
                            </m:rPr>
                            <w:rPr>
                              <w:rFonts w:ascii="Cambria Math" w:hAnsi="Cambria Math"/>
                              <w:sz w:val="18"/>
                              <w:szCs w:val="18"/>
                              <w:lang w:val="en-GB" w:eastAsia="ja-JP"/>
                            </w:rPr>
                            <m:t>static</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dyn,ante</m:t>
                          </m:r>
                          <m:ctrlPr>
                            <w:rPr>
                              <w:rFonts w:ascii="Cambria Math" w:hAnsi="Cambria Math"/>
                              <w:bCs/>
                              <w:iCs/>
                              <w:sz w:val="18"/>
                              <w:szCs w:val="18"/>
                              <w:lang w:val="en-GB" w:eastAsia="ja-JP"/>
                            </w:rPr>
                          </m:ctrlPr>
                        </m:sub>
                      </m:sSub>
                    </m:oMath>
                  </m:oMathPara>
                </w:p>
              </w:tc>
              <w:tc>
                <w:tcPr>
                  <w:tcW w:w="2322" w:type="dxa"/>
                  <w:vAlign w:val="center"/>
                </w:tcPr>
                <w:p>
                  <w:pPr>
                    <w:pStyle w:val="16"/>
                    <w:widowControl w:val="0"/>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dyn,joint</m:t>
                          </m:r>
                          <m:ctrlPr>
                            <w:rPr>
                              <w:rFonts w:ascii="Cambria Math" w:hAnsi="Cambria Math"/>
                              <w:bCs/>
                              <w:iCs/>
                              <w:sz w:val="18"/>
                              <w:szCs w:val="18"/>
                              <w:lang w:val="en-GB" w:eastAsia="ja-JP"/>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1</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6"/>
                    <w:widowControl w:val="0"/>
                    <w:tabs>
                      <w:tab w:val="left" w:pos="226"/>
                      <w:tab w:val="left" w:pos="284"/>
                      <w:tab w:val="left" w:pos="5103"/>
                    </w:tabs>
                    <w:rPr>
                      <w:bCs/>
                      <w:iCs/>
                      <w:sz w:val="21"/>
                      <w:szCs w:val="21"/>
                    </w:rPr>
                  </w:pPr>
                  <w:r>
                    <w:rPr>
                      <w:bCs/>
                      <w:iCs/>
                      <w:sz w:val="21"/>
                      <w:szCs w:val="21"/>
                    </w:rPr>
                    <w:t>Category 2</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pPr>
                    <w:pStyle w:val="16"/>
                    <w:widowControl w:val="0"/>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pPr>
              <w:pStyle w:val="11"/>
              <w:widowControl w:val="0"/>
              <w:jc w:val="both"/>
              <w:rPr>
                <w:b w:val="0"/>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61" w:type="dxa"/>
          </w:tcPr>
          <w:p>
            <w:pPr>
              <w:widowControl w:val="0"/>
            </w:pPr>
            <w:r>
              <w:t>OPPO</w:t>
            </w:r>
          </w:p>
        </w:tc>
        <w:tc>
          <w:tcPr>
            <w:tcW w:w="7970" w:type="dxa"/>
          </w:tcPr>
          <w:p>
            <w:pPr>
              <w:widowControl w:val="0"/>
              <w:spacing w:line="252" w:lineRule="auto"/>
              <w:rPr>
                <w:rFonts w:eastAsiaTheme="minorEastAsia"/>
                <w:bCs/>
              </w:rPr>
            </w:pPr>
            <w:r>
              <w:rPr>
                <w:rFonts w:hint="eastAsia" w:eastAsiaTheme="minorEastAsia"/>
                <w:bCs/>
              </w:rPr>
              <w:t>P</w:t>
            </w:r>
            <w:r>
              <w:rPr>
                <w:rFonts w:eastAsiaTheme="minorEastAsia"/>
                <w:bCs/>
              </w:rPr>
              <w:t xml:space="preserve">roposal 5: When a slot-level model is used, the BS power consumption over a slot can be scaled by </w:t>
            </w:r>
            <m:oMath>
              <m:d>
                <m:dPr>
                  <m:ctrlPr>
                    <w:rPr>
                      <w:rFonts w:ascii="Cambria Math" w:hAnsi="Cambria Math" w:eastAsiaTheme="minorEastAsia"/>
                      <w:bCs/>
                    </w:rPr>
                  </m:ctrlPr>
                </m:dPr>
                <m:e>
                  <m:r>
                    <w:rPr>
                      <w:rFonts w:ascii="Cambria Math" w:hAnsi="Cambria Math" w:eastAsiaTheme="minorEastAsia"/>
                    </w:rPr>
                    <m:t>1-α</m:t>
                  </m:r>
                  <m:ctrlPr>
                    <w:rPr>
                      <w:rFonts w:ascii="Cambria Math" w:hAnsi="Cambria Math" w:eastAsiaTheme="minorEastAsia"/>
                      <w:bCs/>
                    </w:rPr>
                  </m:ctrlPr>
                </m:e>
              </m:d>
              <m:r>
                <w:rPr>
                  <w:rFonts w:ascii="Cambria Math" w:hAnsi="Cambria Math" w:eastAsiaTheme="minorEastAsia"/>
                </w:rPr>
                <m:t>*</m:t>
              </m:r>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3</m:t>
                  </m:r>
                  <m:ctrlPr>
                    <w:rPr>
                      <w:rFonts w:ascii="Cambria Math" w:hAnsi="Cambria Math" w:eastAsiaTheme="minorEastAsia"/>
                      <w:bCs/>
                    </w:rPr>
                  </m:ctrlPr>
                </m:sub>
              </m:sSub>
              <m:r>
                <w:rPr>
                  <w:rFonts w:ascii="Cambria Math" w:hAnsi="Cambria Math" w:eastAsiaTheme="minorEastAsia"/>
                </w:rPr>
                <m:t>+α*P</m:t>
              </m:r>
            </m:oMath>
            <w:r>
              <w:rPr>
                <w:rFonts w:eastAsiaTheme="minorEastAsia"/>
                <w:bCs/>
              </w:rPr>
              <w:t xml:space="preserve">, where </w:t>
            </w:r>
            <m:oMath>
              <m:r>
                <w:rPr>
                  <w:rFonts w:ascii="Cambria Math" w:hAnsi="Cambria Math" w:eastAsiaTheme="minorEastAsia"/>
                </w:rPr>
                <m:t>α</m:t>
              </m:r>
            </m:oMath>
            <w:r>
              <w:rPr>
                <w:rFonts w:eastAsiaTheme="minorEastAsia"/>
                <w:bCs/>
              </w:rPr>
              <w:t xml:space="preserve"> is the ratio of the number of active DL symbols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CATT</w:t>
            </w:r>
          </w:p>
        </w:tc>
        <w:tc>
          <w:tcPr>
            <w:tcW w:w="7970" w:type="dxa"/>
          </w:tcPr>
          <w:p>
            <w:pPr>
              <w:pStyle w:val="48"/>
              <w:widowControl w:val="0"/>
              <w:numPr>
                <w:ilvl w:val="1"/>
                <w:numId w:val="14"/>
              </w:numPr>
              <w:spacing w:after="120"/>
            </w:pPr>
            <m:oMath>
              <m:sSub>
                <m:sSubPr>
                  <m:ctrlPr>
                    <w:rPr>
                      <w:rFonts w:ascii="Cambria Math" w:hAnsi="Cambria Math"/>
                      <w:i/>
                      <w:iCs/>
                      <w:lang w:eastAsia="zh-CN"/>
                    </w:rPr>
                  </m:ctrlPr>
                </m:sSubPr>
                <m:e>
                  <m:r>
                    <w:rPr>
                      <w:rFonts w:ascii="Cambria Math" w:hAnsi="Cambria Math"/>
                      <w:lang w:eastAsia="zh-CN"/>
                    </w:rPr>
                    <m:t>P= 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p>
          <w:p>
            <w:pPr>
              <w:pStyle w:val="48"/>
              <w:widowControl w:val="0"/>
              <w:numPr>
                <w:ilvl w:val="2"/>
                <w:numId w:val="14"/>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which the power is not scaled based on reference configurations. Value is to be determined based on</w:t>
            </w:r>
          </w:p>
          <w:p>
            <w:pPr>
              <w:pStyle w:val="48"/>
              <w:widowControl w:val="0"/>
              <w:numPr>
                <w:ilvl w:val="3"/>
                <w:numId w:val="14"/>
              </w:numPr>
              <w:spacing w:after="120"/>
              <w:rPr>
                <w:rFonts w:eastAsia="Malgun Gothic"/>
                <w:lang w:eastAsia="ko-KR"/>
              </w:rPr>
            </w:pPr>
            <w:r>
              <w:t>Category 1:</w:t>
            </w:r>
            <w:r>
              <w:rPr>
                <w:rFonts w:eastAsia="Malgun Gothic"/>
                <w:lang w:eastAsia="ko-KR"/>
              </w:rPr>
              <w:t xml:space="preserve"> [140]</w:t>
            </w:r>
          </w:p>
          <w:p>
            <w:pPr>
              <w:pStyle w:val="48"/>
              <w:widowControl w:val="0"/>
              <w:numPr>
                <w:ilvl w:val="3"/>
                <w:numId w:val="14"/>
              </w:numPr>
              <w:spacing w:after="120"/>
              <w:rPr>
                <w:rFonts w:eastAsia="Malgun Gothic"/>
                <w:lang w:eastAsia="ko-KR"/>
              </w:rPr>
            </w:pPr>
            <w:r>
              <w:t>Category 2:</w:t>
            </w:r>
            <w:r>
              <w:rPr>
                <w:rFonts w:eastAsia="Malgun Gothic"/>
                <w:lang w:eastAsia="ko-KR"/>
              </w:rPr>
              <w:t xml:space="preserve"> [16]</w:t>
            </w:r>
          </w:p>
          <w:p>
            <w:pPr>
              <w:pStyle w:val="48"/>
              <w:widowControl w:val="0"/>
              <w:numPr>
                <w:ilvl w:val="2"/>
                <w:numId w:val="14"/>
              </w:numPr>
              <w:spacing w:after="120"/>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where</w:t>
            </w:r>
          </w:p>
          <w:p>
            <w:pPr>
              <w:pStyle w:val="48"/>
              <w:widowControl w:val="0"/>
              <w:numPr>
                <w:ilvl w:val="4"/>
                <w:numId w:val="14"/>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4"/>
              </w:numPr>
              <w:spacing w:after="120"/>
            </w:pPr>
            <w:r>
              <w:rPr>
                <w:rFonts w:eastAsia="Malgun Gothic"/>
                <w:lang w:eastAsia="ko-KR"/>
              </w:rPr>
              <w:t xml:space="preserve">Category 1: [110] </w:t>
            </w:r>
          </w:p>
          <w:p>
            <w:pPr>
              <w:pStyle w:val="48"/>
              <w:widowControl w:val="0"/>
              <w:numPr>
                <w:ilvl w:val="5"/>
                <w:numId w:val="14"/>
              </w:numPr>
              <w:spacing w:after="120"/>
            </w:pPr>
            <w:r>
              <w:rPr>
                <w:rFonts w:eastAsia="Malgun Gothic"/>
                <w:lang w:eastAsia="ko-KR"/>
              </w:rPr>
              <w:t xml:space="preserve">Category 2: [12] </w:t>
            </w:r>
          </w:p>
          <w:p>
            <w:pPr>
              <w:pStyle w:val="48"/>
              <w:widowControl w:val="0"/>
              <w:numPr>
                <w:ilvl w:val="4"/>
                <w:numId w:val="14"/>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4"/>
              </w:numPr>
              <w:spacing w:after="120"/>
            </w:pPr>
            <w:r>
              <w:rPr>
                <w:rFonts w:eastAsia="Malgun Gothic"/>
                <w:lang w:eastAsia="ko-KR"/>
              </w:rPr>
              <w:t xml:space="preserve">Category 1: [30] </w:t>
            </w:r>
          </w:p>
          <w:p>
            <w:pPr>
              <w:pStyle w:val="48"/>
              <w:widowControl w:val="0"/>
              <w:numPr>
                <w:ilvl w:val="5"/>
                <w:numId w:val="14"/>
              </w:numPr>
              <w:spacing w:after="120"/>
            </w:pPr>
            <w:r>
              <w:rPr>
                <w:rFonts w:eastAsia="Malgun Gothic"/>
                <w:lang w:eastAsia="ko-KR"/>
              </w:rPr>
              <w:t xml:space="preserve">Category 2: [4] </w:t>
            </w:r>
          </w:p>
          <w:p>
            <w:pPr>
              <w:pStyle w:val="48"/>
              <w:widowControl w:val="0"/>
              <w:numPr>
                <w:ilvl w:val="4"/>
                <w:numId w:val="14"/>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w:t>
            </w:r>
            <w:r>
              <w:rPr>
                <w:rFonts w:eastAsia="Malgun Gothic"/>
                <w:lang w:eastAsia="ko-KR"/>
              </w:rPr>
              <w:t xml:space="preserve">is the PA efficiency </w:t>
            </w:r>
          </w:p>
          <w:p>
            <w:pPr>
              <w:pStyle w:val="48"/>
              <w:widowControl w:val="0"/>
              <w:numPr>
                <w:ilvl w:val="5"/>
                <w:numId w:val="14"/>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pPr>
              <w:pStyle w:val="48"/>
              <w:widowControl w:val="0"/>
              <w:numPr>
                <w:ilvl w:val="6"/>
                <w:numId w:val="14"/>
              </w:numPr>
              <w:spacing w:after="120"/>
              <w:rPr>
                <w:rFonts w:eastAsia="Malgun Gothic"/>
                <w:lang w:eastAsia="ko-KR"/>
              </w:rPr>
            </w:pPr>
            <w:r>
              <w:rPr>
                <w:lang w:val="en-US" w:eastAsia="zh-CN"/>
              </w:rPr>
              <w:t xml:space="preserve">The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dyn,ante</m:t>
                  </m:r>
                  <m:ctrlPr>
                    <w:rPr>
                      <w:rFonts w:ascii="Cambria Math" w:hAnsi="Cambria Math" w:eastAsiaTheme="minorEastAsia"/>
                      <w:lang w:val="en-US" w:eastAsia="zh-CN"/>
                    </w:rPr>
                  </m:ctrlPr>
                </m:sub>
              </m:sSub>
            </m:oMath>
            <w:r>
              <w:rPr>
                <w:rFonts w:eastAsiaTheme="minorEastAsia"/>
                <w:lang w:val="en-US" w:eastAsia="zh-CN"/>
              </w:rPr>
              <w:t xml:space="preserve"> and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dyn,joint</m:t>
                  </m:r>
                  <m:ctrlPr>
                    <w:rPr>
                      <w:rFonts w:ascii="Cambria Math" w:hAnsi="Cambria Math" w:eastAsiaTheme="minorEastAsia"/>
                      <w:lang w:val="en-US" w:eastAsia="zh-CN"/>
                    </w:rPr>
                  </m:ctrlP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pPr>
              <w:pStyle w:val="48"/>
              <w:widowControl w:val="0"/>
              <w:numPr>
                <w:ilvl w:val="5"/>
                <w:numId w:val="14"/>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pPr>
              <w:pStyle w:val="48"/>
              <w:widowControl w:val="0"/>
              <w:numPr>
                <w:ilvl w:val="4"/>
                <w:numId w:val="14"/>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Intel</w:t>
            </w:r>
          </w:p>
        </w:tc>
        <w:tc>
          <w:tcPr>
            <w:tcW w:w="7970" w:type="dxa"/>
          </w:tcPr>
          <w:p>
            <w:pPr>
              <w:widowControl w:val="0"/>
              <w:jc w:val="left"/>
            </w:pPr>
            <w:r>
              <w:rPr>
                <w:bCs/>
                <w:lang w:val="en-GB" w:eastAsia="zh-CN"/>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)P</m:t>
                  </m:r>
                  <m:ctrlPr>
                    <w:rPr>
                      <w:rFonts w:ascii="Cambria Math" w:hAnsi="Cambria Math"/>
                      <w:i/>
                      <w:sz w:val="21"/>
                    </w:rPr>
                  </m:ctrlPr>
                </m:e>
                <m:sub>
                  <m:r>
                    <w:rPr>
                      <w:rFonts w:ascii="Cambria Math" w:hAnsi="Cambria Math"/>
                      <w:sz w:val="21"/>
                    </w:rPr>
                    <m:t>static</m:t>
                  </m:r>
                  <m:ctrlPr>
                    <w:rPr>
                      <w:rFonts w:ascii="Cambria Math" w:hAnsi="Cambria Math"/>
                      <w:i/>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DL</m:t>
                  </m:r>
                  <m:ctrlPr>
                    <w:rPr>
                      <w:rFonts w:ascii="Cambria Math" w:hAnsi="Cambria Math"/>
                      <w:i/>
                      <w:sz w:val="21"/>
                    </w:rPr>
                  </m:ctrlP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ctrlPr>
                    <w:rPr>
                      <w:rFonts w:ascii="Cambria Math" w:hAnsi="Cambria Math"/>
                      <w:i/>
                      <w:sz w:val="21"/>
                    </w:rPr>
                  </m:ctrlPr>
                </m:e>
                <m:sub>
                  <m:r>
                    <w:rPr>
                      <w:rFonts w:ascii="Cambria Math" w:hAnsi="Cambria Math"/>
                      <w:sz w:val="21"/>
                    </w:rPr>
                    <m:t>UL</m:t>
                  </m:r>
                  <m:ctrlPr>
                    <w:rPr>
                      <w:rFonts w:ascii="Cambria Math" w:hAnsi="Cambria Math"/>
                      <w:i/>
                      <w:sz w:val="21"/>
                    </w:rPr>
                  </m:ctrlP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ctrlPr>
                    <w:rPr>
                      <w:rFonts w:ascii="Cambria Math" w:hAnsi="Cambria Math"/>
                      <w:i/>
                      <w:sz w:val="21"/>
                    </w:rPr>
                  </m:ctrlPr>
                </m:e>
                <m:sub>
                  <m:r>
                    <w:rPr>
                      <w:rFonts w:ascii="Cambria Math" w:hAnsi="Cambria Math"/>
                      <w:sz w:val="21"/>
                    </w:rPr>
                    <m:t>UL</m:t>
                  </m:r>
                  <m:ctrlPr>
                    <w:rPr>
                      <w:rFonts w:ascii="Cambria Math" w:hAnsi="Cambria Math"/>
                      <w:i/>
                      <w:sz w:val="21"/>
                    </w:rPr>
                  </m:ctrlPr>
                </m:sub>
              </m:sSub>
            </m:oMath>
            <w:r>
              <w:rPr>
                <w:bCs/>
                <w:sz w:val="21"/>
              </w:rPr>
              <w:t>,</w:t>
            </w:r>
          </w:p>
          <w:p>
            <w:pPr>
              <w:widowControl w:val="0"/>
            </w:pPr>
            <w:r>
              <w:t xml:space="preserve">where, </w:t>
            </w:r>
          </w:p>
          <w:p>
            <w:pPr>
              <w:pStyle w:val="48"/>
              <w:widowControl w:val="0"/>
              <w:numPr>
                <w:ilvl w:val="0"/>
                <w:numId w:val="15"/>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 P3, a static part for which the power does not scale based on the reference configurations. P3 refers to Micro-sleep state power value.</w:t>
            </w:r>
          </w:p>
          <w:p>
            <w:pPr>
              <w:pStyle w:val="48"/>
              <w:widowControl w:val="0"/>
              <w:numPr>
                <w:ilvl w:val="1"/>
                <w:numId w:val="15"/>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 xml:space="preserve"> </w:t>
            </w:r>
            <w:r>
              <w:rPr>
                <w:bCs/>
                <w:lang w:eastAsia="zh-CN"/>
              </w:rPr>
              <w:t>should be 55 and 5.5 for Category 1 and Category 2 models, respectively.</w:t>
            </w:r>
          </w:p>
          <w:p>
            <w:pPr>
              <w:pStyle w:val="48"/>
              <w:widowControl w:val="0"/>
              <w:ind w:left="1440"/>
              <w:jc w:val="both"/>
              <w:rPr>
                <w:lang w:eastAsia="zh-CN"/>
              </w:rPr>
            </w:pPr>
          </w:p>
          <w:p>
            <w:pPr>
              <w:pStyle w:val="48"/>
              <w:widowControl w:val="0"/>
              <w:numPr>
                <w:ilvl w:val="0"/>
                <w:numId w:val="15"/>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oMath>
            <w:r>
              <w:t xml:space="preserve"> and </w:t>
            </w:r>
            <m:oMath>
              <m:sSub>
                <m:sSubPr>
                  <m:ctrlPr>
                    <w:rPr>
                      <w:rFonts w:ascii="Cambria Math" w:hAnsi="Cambria Math"/>
                      <w:i/>
                      <w:lang w:eastAsia="zh-CN"/>
                    </w:rPr>
                  </m:ctrlPr>
                </m:sSubPr>
                <m:e>
                  <m:r>
                    <w:rPr>
                      <w:rFonts w:ascii="Cambria Math" w:hAnsi="Cambria Math"/>
                      <w:lang w:eastAsia="zh-CN"/>
                    </w:rPr>
                    <m:t>α</m:t>
                  </m:r>
                  <m:ctrlPr>
                    <w:rPr>
                      <w:rFonts w:ascii="Cambria Math" w:hAnsi="Cambria Math"/>
                      <w:i/>
                      <w:lang w:eastAsia="zh-CN"/>
                    </w:rPr>
                  </m:ctrlPr>
                </m:e>
                <m:sub>
                  <m:r>
                    <w:rPr>
                      <w:rFonts w:ascii="Cambria Math" w:hAnsi="Cambria Math"/>
                      <w:lang w:eastAsia="zh-CN"/>
                    </w:rPr>
                    <m:t>UL</m:t>
                  </m:r>
                  <m:ctrlPr>
                    <w:rPr>
                      <w:rFonts w:ascii="Cambria Math" w:hAnsi="Cambria Math"/>
                      <w:i/>
                      <w:lang w:eastAsia="zh-CN"/>
                    </w:rPr>
                  </m:ctrlP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pPr>
              <w:pStyle w:val="48"/>
              <w:widowControl w:val="0"/>
              <w:numPr>
                <w:ilvl w:val="0"/>
                <w:numId w:val="15"/>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ctrlPr>
                    <w:rPr>
                      <w:rFonts w:ascii="Cambria Math" w:hAnsi="Cambria Math"/>
                      <w:i/>
                      <w:lang w:eastAsia="zh-CN"/>
                    </w:rPr>
                  </m:ctrlPr>
                </m:e>
                <m:sub>
                  <m:r>
                    <w:rPr>
                      <w:rFonts w:ascii="Cambria Math" w:hAnsi="Cambria Math"/>
                      <w:lang w:eastAsia="zh-CN"/>
                    </w:rPr>
                    <m:t>DL</m:t>
                  </m:r>
                  <m:ctrlPr>
                    <w:rPr>
                      <w:rFonts w:ascii="Cambria Math" w:hAnsi="Cambria Math"/>
                      <w:i/>
                      <w:lang w:eastAsia="zh-CN"/>
                    </w:rPr>
                  </m:ctrlP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ctrlPr>
                            <w:rPr>
                              <w:rFonts w:ascii="Cambria Math" w:hAnsi="Cambria Math"/>
                              <w:i/>
                              <w:iCs/>
                            </w:rPr>
                          </m:ctrlPr>
                        </m:e>
                      </m:acc>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p>
          <w:p>
            <w:pPr>
              <w:pStyle w:val="48"/>
              <w:widowControl w:val="0"/>
              <w:numPr>
                <w:ilvl w:val="1"/>
                <w:numId w:val="15"/>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lang w:eastAsia="zh-CN"/>
              </w:rPr>
              <w:t>,</w:t>
            </w:r>
            <w:r>
              <w:rPr>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pPr>
              <w:pStyle w:val="48"/>
              <w:widowControl w:val="0"/>
              <w:numPr>
                <w:ilvl w:val="1"/>
                <w:numId w:val="15"/>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pPr>
              <w:pStyle w:val="48"/>
              <w:widowControl w:val="0"/>
              <w:numPr>
                <w:ilvl w:val="1"/>
                <w:numId w:val="15"/>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dyn,ante</m:t>
                  </m:r>
                  <m:ctrlPr>
                    <w:rPr>
                      <w:rFonts w:ascii="Cambria Math" w:hAnsi="Cambria Math"/>
                      <w:i/>
                      <w:iCs/>
                      <w:lang w:eastAsia="zh-CN"/>
                    </w:rPr>
                  </m:ctrlPr>
                </m:sub>
              </m:sSub>
            </m:oMath>
            <w:r>
              <w:rPr>
                <w:lang w:eastAsia="zh-CN"/>
              </w:rPr>
              <w:t xml:space="preserve"> refers to component of dynamic power that is scaled based on number of active set of antennas only</w:t>
            </w:r>
          </w:p>
          <w:p>
            <w:pPr>
              <w:pStyle w:val="48"/>
              <w:widowControl w:val="0"/>
              <w:numPr>
                <w:ilvl w:val="2"/>
                <w:numId w:val="15"/>
              </w:numPr>
              <w:spacing w:line="240" w:lineRule="auto"/>
              <w:jc w:val="both"/>
              <w:rPr>
                <w:lang w:eastAsia="zh-CN"/>
              </w:rPr>
            </w:pPr>
            <w:r>
              <w:rPr>
                <w:lang w:eastAsia="zh-CN"/>
              </w:rPr>
              <w:t>We suggest value of 110 for this part for Category 1</w:t>
            </w:r>
          </w:p>
          <w:p>
            <w:pPr>
              <w:pStyle w:val="48"/>
              <w:widowControl w:val="0"/>
              <w:numPr>
                <w:ilvl w:val="1"/>
                <w:numId w:val="15"/>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w:rPr>
                      <w:rFonts w:ascii="Cambria Math" w:hAnsi="Cambria Math"/>
                      <w:lang w:eastAsia="zh-CN"/>
                    </w:rPr>
                    <m:t>dyn,joint</m:t>
                  </m:r>
                  <m:ctrlPr>
                    <w:rPr>
                      <w:rFonts w:ascii="Cambria Math" w:hAnsi="Cambria Math"/>
                      <w:i/>
                      <w:iCs/>
                      <w:lang w:eastAsia="zh-CN"/>
                    </w:rPr>
                  </m:ctrlPr>
                </m:sub>
              </m:sSub>
            </m:oMath>
            <w:r>
              <w:rPr>
                <w:lang w:eastAsia="zh-CN"/>
              </w:rPr>
              <w:t xml:space="preserve"> refers to component of dynamic power that is scaled based on both number of active set of antennas and amount of occupied BW</w:t>
            </w:r>
          </w:p>
          <w:p>
            <w:pPr>
              <w:pStyle w:val="48"/>
              <w:widowControl w:val="0"/>
              <w:numPr>
                <w:ilvl w:val="2"/>
                <w:numId w:val="15"/>
              </w:numPr>
              <w:spacing w:line="240" w:lineRule="auto"/>
              <w:jc w:val="both"/>
              <w:rPr>
                <w:lang w:eastAsia="zh-CN"/>
              </w:rPr>
            </w:pPr>
            <w:r>
              <w:rPr>
                <w:lang w:eastAsia="zh-CN"/>
              </w:rPr>
              <w:t>We suggest value of 115 value for this part for Category 1</w:t>
            </w:r>
          </w:p>
          <w:p>
            <w:pPr>
              <w:pStyle w:val="48"/>
              <w:widowControl w:val="0"/>
              <w:numPr>
                <w:ilvl w:val="0"/>
                <w:numId w:val="15"/>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ctrlPr>
                        <w:rPr>
                          <w:rFonts w:ascii="Cambria Math" w:hAnsi="Cambria Math"/>
                          <w:i/>
                          <w:lang w:eastAsia="zh-CN"/>
                        </w:rPr>
                      </m:ctrlPr>
                    </m:e>
                    <m:sub>
                      <m:r>
                        <w:rPr>
                          <w:rFonts w:ascii="Cambria Math" w:hAnsi="Cambria Math"/>
                          <w:lang w:eastAsia="zh-CN"/>
                        </w:rPr>
                        <m:t>dynamic</m:t>
                      </m:r>
                      <m:ctrlPr>
                        <w:rPr>
                          <w:rFonts w:ascii="Cambria Math" w:hAnsi="Cambria Math"/>
                          <w:i/>
                          <w:lang w:eastAsia="zh-CN"/>
                        </w:rPr>
                      </m:ctrlPr>
                    </m:sub>
                    <m:sup>
                      <m:r>
                        <w:rPr>
                          <w:rFonts w:ascii="Cambria Math" w:hAnsi="Cambria Math"/>
                          <w:lang w:eastAsia="zh-CN"/>
                        </w:rPr>
                        <m:t>UL</m:t>
                      </m:r>
                      <m:ctrlPr>
                        <w:rPr>
                          <w:rFonts w:ascii="Cambria Math" w:hAnsi="Cambria Math"/>
                          <w:i/>
                          <w:lang w:eastAsia="zh-CN"/>
                        </w:rPr>
                      </m:ctrlPr>
                    </m:sup>
                  </m:sSubSup>
                  <m:r>
                    <w:rPr>
                      <w:rFonts w:ascii="Cambria Math" w:hAnsi="Cambria Math"/>
                      <w:lang w:eastAsia="zh-CN"/>
                    </w:rPr>
                    <m:t>=  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*P5</m:t>
              </m:r>
            </m:oMath>
            <w:r>
              <w:rPr>
                <w:lang w:eastAsia="zh-CN"/>
              </w:rPr>
              <w:t>, where P5 refers to active UL state relative power for the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61" w:type="dxa"/>
          </w:tcPr>
          <w:p>
            <w:pPr>
              <w:widowControl w:val="0"/>
            </w:pPr>
            <w:r>
              <w:t>ZTE</w:t>
            </w:r>
          </w:p>
        </w:tc>
        <w:tc>
          <w:tcPr>
            <w:tcW w:w="7970" w:type="dxa"/>
          </w:tcPr>
          <w:p>
            <w:pPr>
              <w:pStyle w:val="83"/>
              <w:widowControl w:val="0"/>
              <w:numPr>
                <w:ilvl w:val="0"/>
                <w:numId w:val="16"/>
              </w:numPr>
              <w:spacing w:before="120" w:after="120"/>
              <w:ind w:left="800" w:leftChars="400"/>
              <w:rPr>
                <w:rFonts w:eastAsia="Malgun Gothic"/>
                <w:b w:val="0"/>
                <w:lang w:eastAsia="ko-KR"/>
              </w:rPr>
            </w:pPr>
            <m:oMath>
              <m:sSub>
                <w:bookmarkStart w:id="17" w:name="_Toc24334"/>
                <w:bookmarkStart w:id="18" w:name="_Toc10830"/>
                <w:bookmarkStart w:id="19" w:name="_Toc14620"/>
                <w:bookmarkStart w:id="20" w:name="_Toc1417"/>
                <m:sSubPr>
                  <m:ctrlPr>
                    <w:rPr>
                      <w:rFonts w:ascii="Cambria Math" w:hAnsi="Cambria Math"/>
                      <w:b w:val="0"/>
                      <w:lang w:eastAsia="zh-CN"/>
                    </w:rPr>
                  </m:ctrlPr>
                </m:sSubPr>
                <m:e>
                  <w:bookmarkStart w:id="21" w:name="_Toc3238"/>
                  <m:r>
                    <m:rPr>
                      <m:sty m:val="bi"/>
                    </m:rPr>
                    <w:rPr>
                      <w:rFonts w:ascii="Cambria Math" w:hAnsi="Cambria Math"/>
                      <w:lang w:eastAsia="zh-CN"/>
                    </w:rPr>
                    <m:t>P</m:t>
                  </m:r>
                  <m:ctrlPr>
                    <w:rPr>
                      <w:rFonts w:ascii="Cambria Math" w:hAnsi="Cambria Math"/>
                      <w:b w:val="0"/>
                      <w:lang w:eastAsia="zh-CN"/>
                    </w:rPr>
                  </m:ctrlPr>
                </m:e>
                <m:sub>
                  <m:r>
                    <m:rPr>
                      <m:sty m:val="bi"/>
                    </m:rPr>
                    <w:rPr>
                      <w:rFonts w:ascii="Cambria Math" w:hAnsi="Cambria Math"/>
                      <w:lang w:eastAsia="zh-CN"/>
                    </w:rPr>
                    <m:t>static</m:t>
                  </m:r>
                  <w:bookmarkEnd w:id="21"/>
                  <m:ctrlPr>
                    <w:rPr>
                      <w:rFonts w:ascii="Cambria Math" w:hAnsi="Cambria Math"/>
                      <w:b w:val="0"/>
                      <w:lang w:eastAsia="zh-CN"/>
                    </w:rPr>
                  </m:ctrlPr>
                </m:sub>
              </m:sSub>
            </m:oMath>
            <w:r>
              <w:rPr>
                <w:b w:val="0"/>
                <w:lang w:val="en-US" w:eastAsia="zh-CN"/>
              </w:rPr>
              <w:t xml:space="preserve"> :</w:t>
            </w:r>
            <w:bookmarkEnd w:id="17"/>
            <w:bookmarkEnd w:id="18"/>
            <w:bookmarkEnd w:id="19"/>
            <w:bookmarkEnd w:id="20"/>
            <w:r>
              <w:rPr>
                <w:rFonts w:eastAsia="Malgun Gothic"/>
                <w:b w:val="0"/>
                <w:lang w:eastAsia="ko-KR"/>
              </w:rPr>
              <w:t xml:space="preserve"> </w:t>
            </w:r>
          </w:p>
          <w:p>
            <w:pPr>
              <w:pStyle w:val="83"/>
              <w:widowControl w:val="0"/>
              <w:numPr>
                <w:ilvl w:val="0"/>
                <w:numId w:val="17"/>
              </w:numPr>
              <w:spacing w:before="120" w:after="120"/>
              <w:ind w:left="1200" w:leftChars="600"/>
              <w:rPr>
                <w:b w:val="0"/>
                <w:lang w:eastAsia="ko-KR"/>
              </w:rPr>
            </w:pPr>
            <w:bookmarkStart w:id="22" w:name="_Toc21016"/>
            <w:bookmarkStart w:id="23" w:name="_Toc20073"/>
            <w:bookmarkStart w:id="24" w:name="_Toc15145"/>
            <w:bookmarkStart w:id="25" w:name="_Toc24625"/>
            <w:bookmarkStart w:id="26"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pPr>
              <w:pStyle w:val="83"/>
              <w:widowControl w:val="0"/>
              <w:numPr>
                <w:ilvl w:val="0"/>
                <w:numId w:val="17"/>
              </w:numPr>
              <w:spacing w:before="120" w:after="120"/>
              <w:ind w:left="1200" w:leftChars="600"/>
              <w:rPr>
                <w:b w:val="0"/>
                <w:lang w:eastAsia="ko-KR"/>
              </w:rPr>
            </w:pPr>
            <w:bookmarkStart w:id="27" w:name="_Toc20448"/>
            <w:bookmarkStart w:id="28" w:name="_Toc28717"/>
            <w:bookmarkStart w:id="29" w:name="_Toc31539"/>
            <w:bookmarkStart w:id="30" w:name="_Toc20528"/>
            <w:bookmarkStart w:id="31"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p>
            <w:pPr>
              <w:pStyle w:val="83"/>
              <w:widowControl w:val="0"/>
              <w:numPr>
                <w:ilvl w:val="0"/>
                <w:numId w:val="18"/>
              </w:numPr>
              <w:spacing w:before="120" w:after="120"/>
              <w:ind w:left="800" w:leftChars="400"/>
              <w:rPr>
                <w:b w:val="0"/>
                <w:lang w:eastAsia="zh-CN"/>
              </w:rPr>
            </w:pPr>
            <m:oMath>
              <m:sSub>
                <w:bookmarkStart w:id="32" w:name="_Toc30866"/>
                <w:bookmarkStart w:id="33" w:name="_Toc28110"/>
                <w:bookmarkStart w:id="34" w:name="_Toc9697"/>
                <w:bookmarkStart w:id="35" w:name="_Toc31256"/>
                <w:bookmarkStart w:id="36" w:name="_Toc13983"/>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dyn,ante</m:t>
                  </m:r>
                  <m:ctrlPr>
                    <w:rPr>
                      <w:rFonts w:ascii="Cambria Math" w:hAnsi="Cambria Math"/>
                      <w:b w:val="0"/>
                      <w:lang w:eastAsia="zh-CN"/>
                    </w:rPr>
                  </m:ctrlP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pPr>
              <w:pStyle w:val="83"/>
              <w:widowControl w:val="0"/>
              <w:numPr>
                <w:ilvl w:val="0"/>
                <w:numId w:val="19"/>
              </w:numPr>
              <w:spacing w:before="120" w:after="120"/>
              <w:ind w:left="1200" w:leftChars="600"/>
              <w:rPr>
                <w:b w:val="0"/>
                <w:lang w:eastAsia="zh-CN"/>
              </w:rPr>
            </w:pPr>
            <w:bookmarkStart w:id="37" w:name="_Toc25516"/>
            <w:bookmarkStart w:id="38" w:name="_Toc28136"/>
            <w:bookmarkStart w:id="39" w:name="_Toc32101"/>
            <w:bookmarkStart w:id="40" w:name="_Toc24921"/>
            <w:bookmarkStart w:id="41"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pPr>
              <w:pStyle w:val="83"/>
              <w:widowControl w:val="0"/>
              <w:numPr>
                <w:ilvl w:val="0"/>
                <w:numId w:val="19"/>
              </w:numPr>
              <w:spacing w:before="120" w:after="120"/>
              <w:ind w:left="1200" w:leftChars="600"/>
              <w:rPr>
                <w:b w:val="0"/>
                <w:lang w:eastAsia="zh-CN"/>
              </w:rPr>
            </w:pPr>
            <w:bookmarkStart w:id="42" w:name="_Toc317"/>
            <w:bookmarkStart w:id="43" w:name="_Toc19471"/>
            <w:bookmarkStart w:id="44" w:name="_Toc9776"/>
            <w:bookmarkStart w:id="45" w:name="_Toc25754"/>
            <w:bookmarkStart w:id="46" w:name="_Toc22154"/>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p>
            <w:pPr>
              <w:pStyle w:val="83"/>
              <w:widowControl w:val="0"/>
              <w:numPr>
                <w:ilvl w:val="0"/>
                <w:numId w:val="18"/>
              </w:numPr>
              <w:spacing w:before="120" w:after="120"/>
              <w:ind w:left="800" w:leftChars="400"/>
              <w:rPr>
                <w:b w:val="0"/>
                <w:lang w:eastAsia="ko-KR"/>
              </w:rPr>
            </w:pPr>
            <w:bookmarkStart w:id="47" w:name="_Toc14329"/>
            <w:bookmarkStart w:id="48" w:name="_Toc4651"/>
            <w:bookmarkStart w:id="49" w:name="_Toc16987"/>
            <w:bookmarkStart w:id="50" w:name="_Toc9108"/>
            <w:bookmarkStart w:id="51" w:name="_Toc8353"/>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dyn,joint</m:t>
                  </m:r>
                  <m:ctrlPr>
                    <w:rPr>
                      <w:rFonts w:ascii="Cambria Math" w:hAnsi="Cambria Math"/>
                      <w:b w:val="0"/>
                      <w:lang w:eastAsia="zh-CN"/>
                    </w:rPr>
                  </m:ctrlP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pPr>
              <w:pStyle w:val="83"/>
              <w:widowControl w:val="0"/>
              <w:numPr>
                <w:ilvl w:val="0"/>
                <w:numId w:val="20"/>
              </w:numPr>
              <w:spacing w:before="120" w:after="120"/>
              <w:ind w:left="1200" w:leftChars="600"/>
              <w:rPr>
                <w:b w:val="0"/>
                <w:lang w:eastAsia="zh-CN"/>
              </w:rPr>
            </w:pPr>
            <w:bookmarkStart w:id="52" w:name="_Toc19939"/>
            <w:bookmarkStart w:id="53" w:name="_Toc23582"/>
            <w:bookmarkStart w:id="54" w:name="_Toc18702"/>
            <w:bookmarkStart w:id="55" w:name="_Toc16917"/>
            <w:bookmarkStart w:id="56"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pPr>
              <w:pStyle w:val="83"/>
              <w:widowControl w:val="0"/>
              <w:numPr>
                <w:ilvl w:val="0"/>
                <w:numId w:val="20"/>
              </w:numPr>
              <w:spacing w:before="120" w:after="120"/>
              <w:ind w:left="1200" w:leftChars="600"/>
              <w:rPr>
                <w:b w:val="0"/>
                <w:lang w:eastAsia="zh-CN"/>
              </w:rPr>
            </w:pPr>
            <w:bookmarkStart w:id="57" w:name="_Toc8698"/>
            <w:bookmarkStart w:id="58" w:name="_Toc3765"/>
            <w:bookmarkStart w:id="59" w:name="_Toc5852"/>
            <w:bookmarkStart w:id="60" w:name="_Toc9667"/>
            <w:bookmarkStart w:id="61" w:name="_Toc14473"/>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pPr>
              <w:pStyle w:val="83"/>
              <w:widowControl w:val="0"/>
              <w:numPr>
                <w:ilvl w:val="0"/>
                <w:numId w:val="18"/>
              </w:numPr>
              <w:spacing w:before="120" w:after="120"/>
              <w:ind w:left="800" w:leftChars="400"/>
              <w:rPr>
                <w:b w:val="0"/>
                <w:lang w:val="en-US" w:eastAsia="zh-CN"/>
              </w:rPr>
            </w:pPr>
            <w:bookmarkStart w:id="62" w:name="_Toc4556"/>
            <w:bookmarkStart w:id="63" w:name="_Toc13375"/>
            <w:bookmarkStart w:id="64" w:name="_Toc12401"/>
            <w:bookmarkStart w:id="65" w:name="_Toc11501"/>
            <w:bookmarkStart w:id="66"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ctrlPr>
                        <w:rPr>
                          <w:rFonts w:ascii="Cambria Math" w:hAnsi="Cambria Math"/>
                          <w:b w:val="0"/>
                          <w:lang w:eastAsia="zh-CN"/>
                        </w:rPr>
                      </m:ctrlPr>
                    </m:e>
                    <m:sub>
                      <m:r>
                        <m:rPr>
                          <m:sty m:val="bi"/>
                        </m:rPr>
                        <w:rPr>
                          <w:rFonts w:ascii="Cambria Math" w:hAnsi="Cambria Math"/>
                          <w:lang w:eastAsia="zh-CN"/>
                        </w:rPr>
                        <m:t>f</m:t>
                      </m:r>
                      <m:ctrlPr>
                        <w:rPr>
                          <w:rFonts w:ascii="Cambria Math" w:hAnsi="Cambria Math"/>
                          <w:b w:val="0"/>
                          <w:lang w:eastAsia="zh-CN"/>
                        </w:rPr>
                      </m:ctrlPr>
                    </m:sub>
                  </m:sSub>
                  <m:sSub>
                    <m:sSubPr>
                      <m:ctrlPr>
                        <w:rPr>
                          <w:rFonts w:ascii="Cambria Math" w:hAnsi="Cambria Math"/>
                          <w:b w:val="0"/>
                          <w:lang w:eastAsia="zh-CN"/>
                        </w:rPr>
                      </m:ctrlPr>
                    </m:sSubPr>
                    <m:e>
                      <m:r>
                        <m:rPr>
                          <m:sty m:val="bi"/>
                        </m:rPr>
                        <w:rPr>
                          <w:rFonts w:ascii="Cambria Math" w:hAnsi="Cambria Math"/>
                          <w:lang w:eastAsia="zh-CN"/>
                        </w:rPr>
                        <m:t>,  s</m:t>
                      </m:r>
                      <m:ctrlPr>
                        <w:rPr>
                          <w:rFonts w:ascii="Cambria Math" w:hAnsi="Cambria Math"/>
                          <w:b w:val="0"/>
                          <w:lang w:eastAsia="zh-CN"/>
                        </w:rPr>
                      </m:ctrlPr>
                    </m:e>
                    <m:sub>
                      <m:r>
                        <m:rPr>
                          <m:sty m:val="bi"/>
                        </m:rPr>
                        <w:rPr>
                          <w:rFonts w:ascii="Cambria Math" w:hAnsi="Cambria Math"/>
                          <w:lang w:eastAsia="zh-CN"/>
                        </w:rPr>
                        <m:t>p</m:t>
                      </m:r>
                      <m:ctrlPr>
                        <w:rPr>
                          <w:rFonts w:ascii="Cambria Math" w:hAnsi="Cambria Math"/>
                          <w:b w:val="0"/>
                          <w:lang w:eastAsia="zh-CN"/>
                        </w:rPr>
                      </m:ctrlPr>
                    </m:sub>
                  </m:sSub>
                  <m:ctrlPr>
                    <w:rPr>
                      <w:rFonts w:ascii="Cambria Math" w:hAnsi="Cambria Math"/>
                      <w:b w:val="0"/>
                      <w:lang w:eastAsia="zh-CN"/>
                    </w:rPr>
                  </m:ctrlPr>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pPr>
              <w:pStyle w:val="83"/>
              <w:widowControl w:val="0"/>
              <w:numPr>
                <w:ilvl w:val="0"/>
                <w:numId w:val="21"/>
              </w:numPr>
              <w:spacing w:before="120" w:after="120"/>
              <w:ind w:left="1200" w:leftChars="600"/>
              <w:rPr>
                <w:b w:val="0"/>
                <w:lang w:val="en-US" w:eastAsia="zh-CN"/>
              </w:rPr>
            </w:pPr>
            <w:bookmarkStart w:id="67" w:name="_Toc16044"/>
            <w:bookmarkStart w:id="68" w:name="_Toc4596"/>
            <w:bookmarkStart w:id="69" w:name="_Toc23974"/>
            <w:bookmarkStart w:id="70" w:name="_Toc4200"/>
            <w:bookmarkStart w:id="71" w:name="_Toc14467"/>
            <m:oMath>
              <m:r>
                <m:rPr>
                  <m:sty m:val="bi"/>
                </m:rPr>
                <w:rPr>
                  <w:rFonts w:ascii="Cambria Math" w:hAnsi="Cambria Math"/>
                  <w:lang w:eastAsia="zh-CN"/>
                </w:rPr>
                <m:t>η</m:t>
              </m:r>
            </m:oMath>
            <w:r>
              <w:rPr>
                <w:b w:val="0"/>
                <w:lang w:eastAsia="zh-CN"/>
              </w:rPr>
              <w:t>=0.5</w:t>
            </w:r>
            <w:bookmarkEnd w:id="67"/>
            <w:bookmarkEnd w:id="68"/>
            <w:bookmarkEnd w:id="69"/>
            <w:bookmarkEnd w:id="70"/>
            <w:bookmarkEnd w:id="71"/>
          </w:p>
          <w:p>
            <w:pPr>
              <w:pStyle w:val="83"/>
              <w:widowControl w:val="0"/>
              <w:numPr>
                <w:ilvl w:val="0"/>
                <w:numId w:val="0"/>
              </w:numPr>
              <w:spacing w:before="120" w:after="120"/>
              <w:rPr>
                <w:b w:val="0"/>
                <w:lang w:val="en-US" w:eastAsia="zh-CN"/>
              </w:rPr>
            </w:pPr>
            <w:r>
              <w:rPr>
                <w:b w:val="0"/>
                <w:lang w:val="en-US" w:eastAsia="zh-CN"/>
              </w:rPr>
              <w:t>Proposal 10:</w:t>
            </w:r>
            <w:r>
              <w:rPr>
                <w:b w:val="0"/>
                <w:lang w:val="en-US" w:eastAsia="zh-CN"/>
              </w:rPr>
              <w:tab/>
            </w:r>
            <w:r>
              <w:rPr>
                <w:b w:val="0"/>
                <w:lang w:val="en-US" w:eastAsia="zh-CN"/>
              </w:rPr>
              <w:t>The time domain scaling is (1-alpha)*P3 + alpha*P4 where alpha represents the ratio of the number of active DL symbols within a slot to the number of symbols within a slot</w:t>
            </w:r>
          </w:p>
          <w:p>
            <w:pPr>
              <w:pStyle w:val="83"/>
              <w:widowControl w:val="0"/>
              <w:numPr>
                <w:ilvl w:val="0"/>
                <w:numId w:val="0"/>
              </w:numPr>
              <w:spacing w:before="120" w:after="120"/>
              <w:rPr>
                <w:b w:val="0"/>
                <w:lang w:val="en-US" w:eastAsia="zh-CN"/>
              </w:rPr>
            </w:pPr>
            <w:r>
              <w:rPr>
                <w:b w:val="0"/>
                <w:lang w:val="en-US" w:eastAsia="zh-CN"/>
              </w:rPr>
              <w:t>Proposal 11:</w:t>
            </w:r>
            <w:r>
              <w:rPr>
                <w:b w:val="0"/>
                <w:lang w:val="en-US" w:eastAsia="zh-CN"/>
              </w:rPr>
              <w:tab/>
            </w:r>
            <w:r>
              <w:rPr>
                <w:b w:val="0"/>
                <w:lang w:val="en-US" w:eastAsia="zh-CN"/>
              </w:rPr>
              <w:t>In frequency domain, for at least inter-band CA, the total power consumption of BS is calculated as the sum of the power consumption of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LGE</w:t>
            </w:r>
          </w:p>
        </w:tc>
        <w:tc>
          <w:tcPr>
            <w:tcW w:w="7970" w:type="dxa"/>
          </w:tcPr>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MediaTek</w:t>
            </w:r>
          </w:p>
        </w:tc>
        <w:tc>
          <w:tcPr>
            <w:tcW w:w="7970" w:type="dxa"/>
          </w:tcPr>
          <w:p>
            <w:pPr>
              <w:widowControl w:val="0"/>
              <w:autoSpaceDE/>
              <w:autoSpaceDN/>
              <w:adjustRightInd/>
              <w:spacing w:after="0" w:line="240" w:lineRule="auto"/>
              <w:rPr>
                <w:rFonts w:cstheme="minorHAnsi"/>
                <w:sz w:val="22"/>
                <w:u w:val="single"/>
              </w:rPr>
            </w:pPr>
            <w:r>
              <w:rPr>
                <w:rFonts w:cstheme="minorHAnsi"/>
                <w:sz w:val="22"/>
                <w:u w:val="single"/>
              </w:rPr>
              <w:t>DL</w:t>
            </w:r>
          </w:p>
          <w:p>
            <w:pPr>
              <w:pStyle w:val="48"/>
              <w:widowControl w:val="0"/>
              <w:numPr>
                <w:ilvl w:val="0"/>
                <w:numId w:val="2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ctrlPr>
                    <w:rPr>
                      <w:rFonts w:ascii="Cambria Math" w:hAnsi="Cambria Math" w:cstheme="minorHAnsi"/>
                      <w:i/>
                      <w:sz w:val="22"/>
                    </w:rPr>
                  </m:ctrlPr>
                </m:e>
              </m:d>
              <m: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oMath>
            <w:r>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oMath>
            <w:r>
              <w:rPr>
                <w:rFonts w:cstheme="minorHAnsi"/>
                <w:iCs/>
                <w:sz w:val="22"/>
              </w:rPr>
              <w:t xml:space="preserve"> = 0</w:t>
            </w:r>
          </w:p>
          <w:p>
            <w:pPr>
              <w:pStyle w:val="48"/>
              <w:widowControl w:val="0"/>
              <w:numPr>
                <w:ilvl w:val="1"/>
                <w:numId w:val="22"/>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dyn,ante</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57</w:t>
                  </w:r>
                </w:p>
              </w:tc>
              <w:tc>
                <w:tcPr>
                  <w:tcW w:w="0" w:type="auto"/>
                </w:tcPr>
                <w:p>
                  <w:pPr>
                    <w:pStyle w:val="48"/>
                    <w:widowControl w:val="0"/>
                    <w:spacing w:after="0"/>
                    <w:ind w:left="0"/>
                    <w:jc w:val="center"/>
                    <w:rPr>
                      <w:rFonts w:cstheme="minorHAnsi"/>
                      <w:sz w:val="22"/>
                    </w:rPr>
                  </w:pPr>
                  <w:r>
                    <w:rPr>
                      <w:rFonts w:cstheme="minorHAnsi"/>
                      <w:sz w:val="22"/>
                    </w:rPr>
                    <w:t>46</w:t>
                  </w:r>
                </w:p>
              </w:tc>
              <w:tc>
                <w:tcPr>
                  <w:tcW w:w="0" w:type="auto"/>
                </w:tcPr>
                <w:p>
                  <w:pPr>
                    <w:pStyle w:val="48"/>
                    <w:widowControl w:val="0"/>
                    <w:spacing w:after="0"/>
                    <w:ind w:left="0"/>
                    <w:jc w:val="center"/>
                    <w:rPr>
                      <w:rFonts w:cstheme="minorHAnsi"/>
                      <w:sz w:val="22"/>
                    </w:rPr>
                  </w:pPr>
                  <w:r>
                    <w:rPr>
                      <w:rFonts w:cstheme="minorHAnsi"/>
                      <w:sz w:val="22"/>
                    </w:rPr>
                    <w:t>22.8</w:t>
                  </w:r>
                </w:p>
              </w:tc>
              <w:tc>
                <w:tcPr>
                  <w:tcW w:w="0" w:type="auto"/>
                </w:tcPr>
                <w:p>
                  <w:pPr>
                    <w:pStyle w:val="48"/>
                    <w:widowControl w:val="0"/>
                    <w:spacing w:after="0"/>
                    <w:ind w:left="0"/>
                    <w:jc w:val="center"/>
                    <w:rPr>
                      <w:rFonts w:cstheme="minorHAnsi"/>
                      <w:sz w:val="22"/>
                    </w:rPr>
                  </w:pPr>
                  <w:r>
                    <w:rPr>
                      <w:rFonts w:cstheme="minorHAnsi"/>
                      <w:sz w:val="22"/>
                    </w:rPr>
                    <w:t>7.3</w:t>
                  </w:r>
                </w:p>
              </w:tc>
              <w:tc>
                <w:tcPr>
                  <w:tcW w:w="0" w:type="auto"/>
                </w:tcPr>
                <w:p>
                  <w:pPr>
                    <w:pStyle w:val="48"/>
                    <w:widowControl w:val="0"/>
                    <w:spacing w:after="0"/>
                    <w:ind w:left="0"/>
                    <w:jc w:val="center"/>
                    <w:rPr>
                      <w:rFonts w:cstheme="minorHAnsi"/>
                      <w:sz w:val="22"/>
                    </w:rPr>
                  </w:pPr>
                  <w:r>
                    <w:rPr>
                      <w:rFonts w:cstheme="minorHAnsi"/>
                      <w:sz w:val="22"/>
                    </w:rPr>
                    <w:t>11</w:t>
                  </w:r>
                </w:p>
              </w:tc>
              <w:tc>
                <w:tcPr>
                  <w:tcW w:w="0" w:type="auto"/>
                </w:tcPr>
                <w:p>
                  <w:pPr>
                    <w:pStyle w:val="48"/>
                    <w:widowControl w:val="0"/>
                    <w:spacing w:after="0"/>
                    <w:ind w:left="0"/>
                    <w:jc w:val="center"/>
                    <w:rPr>
                      <w:rFonts w:cstheme="minorHAnsi"/>
                      <w:sz w:val="22"/>
                    </w:rPr>
                  </w:pPr>
                  <w:r>
                    <w:rPr>
                      <w:rFonts w:cstheme="minorHAnsi"/>
                      <w:sz w:val="22"/>
                    </w:rPr>
                    <w:t>0.36</w:t>
                  </w:r>
                </w:p>
              </w:tc>
            </w:tr>
          </w:tbl>
          <w:p>
            <w:pPr>
              <w:pStyle w:val="48"/>
              <w:widowControl w:val="0"/>
              <w:numPr>
                <w:ilvl w:val="0"/>
                <w:numId w:val="22"/>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pPr>
              <w:pStyle w:val="48"/>
              <w:widowControl w:val="0"/>
              <w:numPr>
                <w:ilvl w:val="0"/>
                <w:numId w:val="2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r>
              <w:rPr>
                <w:rFonts w:cstheme="minorHAnsi"/>
                <w:iCs/>
                <w:sz w:val="22"/>
              </w:rPr>
              <w:t xml:space="preserve"> is chosen so that </w:t>
            </w:r>
            <m:oMath>
              <m:r>
                <w:rPr>
                  <w:rFonts w:ascii="Cambria Math" w:hAnsi="Cambria Math" w:cstheme="minorHAnsi"/>
                  <w:sz w:val="22"/>
                </w:rPr>
                <m:t>P=</m:t>
              </m:r>
            </m:oMath>
            <w:r>
              <w:rPr>
                <w:rFonts w:cstheme="minorHAnsi"/>
                <w:sz w:val="22"/>
              </w:rPr>
              <w:t xml:space="preserve"> Active DL power when </w:t>
            </w:r>
            <m:oMath>
              <m:sSub>
                <m:sSubPr>
                  <m:ctrlPr>
                    <w:rPr>
                      <w:rFonts w:ascii="Cambria Math" w:hAnsi="Cambria Math" w:eastAsiaTheme="minorEastAsia" w:cstheme="minorHAnsi"/>
                      <w:i/>
                      <w:iCs/>
                      <w:sz w:val="22"/>
                      <w:lang w:eastAsia="zh-CN"/>
                    </w:rPr>
                  </m:ctrlPr>
                </m:sSubPr>
                <m:e>
                  <m:r>
                    <w:rPr>
                      <w:rFonts w:ascii="Cambria Math" w:hAnsi="Cambria Math" w:cstheme="minorHAnsi"/>
                      <w:sz w:val="22"/>
                    </w:rPr>
                    <m:t>s</m:t>
                  </m:r>
                  <m:ctrlPr>
                    <w:rPr>
                      <w:rFonts w:ascii="Cambria Math" w:hAnsi="Cambria Math" w:eastAsiaTheme="minorEastAsia" w:cstheme="minorHAnsi"/>
                      <w:i/>
                      <w:iCs/>
                      <w:sz w:val="22"/>
                      <w:lang w:eastAsia="zh-CN"/>
                    </w:rPr>
                  </m:ctrlPr>
                </m:e>
                <m:sub>
                  <m:r>
                    <w:rPr>
                      <w:rFonts w:ascii="Cambria Math" w:hAnsi="Cambria Math" w:cstheme="minorHAnsi"/>
                      <w:sz w:val="22"/>
                    </w:rPr>
                    <m:t>a</m:t>
                  </m:r>
                  <m:ctrlPr>
                    <w:rPr>
                      <w:rFonts w:ascii="Cambria Math" w:hAnsi="Cambria Math" w:eastAsiaTheme="minorEastAsia" w:cstheme="minorHAnsi"/>
                      <w:i/>
                      <w:iCs/>
                      <w:sz w:val="22"/>
                      <w:lang w:eastAsia="zh-CN"/>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f</m:t>
                  </m:r>
                  <m:ctrlPr>
                    <w:rPr>
                      <w:rFonts w:ascii="Cambria Math" w:hAnsi="Cambria Math" w:cstheme="minorHAnsi"/>
                      <w:i/>
                      <w:iCs/>
                      <w:sz w:val="22"/>
                    </w:rPr>
                  </m:ctrlP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ctrlPr>
                    <w:rPr>
                      <w:rFonts w:ascii="Cambria Math" w:hAnsi="Cambria Math" w:cstheme="minorHAnsi"/>
                      <w:i/>
                      <w:iCs/>
                      <w:sz w:val="22"/>
                    </w:rPr>
                  </m:ctrlPr>
                </m:e>
                <m:sub>
                  <m:r>
                    <w:rPr>
                      <w:rFonts w:ascii="Cambria Math" w:hAnsi="Cambria Math" w:cstheme="minorHAnsi"/>
                      <w:sz w:val="22"/>
                    </w:rPr>
                    <m:t>p</m:t>
                  </m:r>
                  <m:ctrlPr>
                    <w:rPr>
                      <w:rFonts w:ascii="Cambria Math" w:hAnsi="Cambria Math" w:cstheme="minorHAnsi"/>
                      <w:i/>
                      <w:iCs/>
                      <w:sz w:val="22"/>
                    </w:rPr>
                  </m:ctrlPr>
                </m:sub>
              </m:sSub>
              <m:r>
                <w:rPr>
                  <w:rFonts w:ascii="Cambria Math" w:hAnsi="Cambria Math" w:cstheme="minorHAnsi"/>
                  <w:sz w:val="22"/>
                </w:rPr>
                <m:t>=1</m:t>
              </m:r>
            </m:oMath>
          </w:p>
          <w:p>
            <w:pPr>
              <w:pStyle w:val="48"/>
              <w:widowControl w:val="0"/>
              <w:numPr>
                <w:ilvl w:val="1"/>
                <w:numId w:val="22"/>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w:rPr>
                            <w:rFonts w:ascii="Cambria Math" w:hAnsi="Cambria Math" w:cstheme="minorHAnsi"/>
                            <w:sz w:val="22"/>
                          </w:rPr>
                          <m:t>dyn,joint</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84</w:t>
                  </w:r>
                </w:p>
              </w:tc>
              <w:tc>
                <w:tcPr>
                  <w:tcW w:w="0" w:type="auto"/>
                </w:tcPr>
                <w:p>
                  <w:pPr>
                    <w:pStyle w:val="48"/>
                    <w:widowControl w:val="0"/>
                    <w:spacing w:after="0"/>
                    <w:ind w:left="0"/>
                    <w:jc w:val="center"/>
                    <w:rPr>
                      <w:rFonts w:cstheme="minorHAnsi"/>
                      <w:bCs/>
                      <w:sz w:val="22"/>
                    </w:rPr>
                  </w:pPr>
                  <w:r>
                    <w:rPr>
                      <w:bCs/>
                    </w:rPr>
                    <w:t>72</w:t>
                  </w:r>
                </w:p>
              </w:tc>
              <w:tc>
                <w:tcPr>
                  <w:tcW w:w="0" w:type="auto"/>
                </w:tcPr>
                <w:p>
                  <w:pPr>
                    <w:pStyle w:val="48"/>
                    <w:widowControl w:val="0"/>
                    <w:spacing w:after="0"/>
                    <w:ind w:left="0"/>
                    <w:jc w:val="center"/>
                    <w:rPr>
                      <w:rFonts w:cstheme="minorHAnsi"/>
                      <w:bCs/>
                      <w:sz w:val="22"/>
                    </w:rPr>
                  </w:pPr>
                  <w:r>
                    <w:rPr>
                      <w:bCs/>
                    </w:rPr>
                    <w:t>45.6</w:t>
                  </w:r>
                </w:p>
              </w:tc>
              <w:tc>
                <w:tcPr>
                  <w:tcW w:w="0" w:type="auto"/>
                </w:tcPr>
                <w:p>
                  <w:pPr>
                    <w:pStyle w:val="48"/>
                    <w:widowControl w:val="0"/>
                    <w:spacing w:after="0"/>
                    <w:ind w:left="0"/>
                    <w:jc w:val="center"/>
                    <w:rPr>
                      <w:rFonts w:cstheme="minorHAnsi"/>
                      <w:bCs/>
                      <w:sz w:val="22"/>
                    </w:rPr>
                  </w:pPr>
                  <w:r>
                    <w:rPr>
                      <w:bCs/>
                    </w:rPr>
                    <w:t>9.6</w:t>
                  </w:r>
                </w:p>
              </w:tc>
              <w:tc>
                <w:tcPr>
                  <w:tcW w:w="0" w:type="auto"/>
                </w:tcPr>
                <w:p>
                  <w:pPr>
                    <w:pStyle w:val="48"/>
                    <w:widowControl w:val="0"/>
                    <w:spacing w:after="0"/>
                    <w:ind w:left="0"/>
                    <w:jc w:val="center"/>
                    <w:rPr>
                      <w:rFonts w:cstheme="minorHAnsi"/>
                      <w:bCs/>
                      <w:sz w:val="22"/>
                    </w:rPr>
                  </w:pPr>
                  <w:r>
                    <w:rPr>
                      <w:bCs/>
                    </w:rPr>
                    <w:t>12</w:t>
                  </w:r>
                </w:p>
              </w:tc>
              <w:tc>
                <w:tcPr>
                  <w:tcW w:w="0" w:type="auto"/>
                </w:tcPr>
                <w:p>
                  <w:pPr>
                    <w:pStyle w:val="48"/>
                    <w:widowControl w:val="0"/>
                    <w:spacing w:after="0"/>
                    <w:ind w:left="0"/>
                    <w:jc w:val="center"/>
                    <w:rPr>
                      <w:rFonts w:cstheme="minorHAnsi"/>
                      <w:bCs/>
                      <w:sz w:val="22"/>
                    </w:rPr>
                  </w:pPr>
                  <w:r>
                    <w:rPr>
                      <w:bCs/>
                    </w:rPr>
                    <w:t>2.52</w:t>
                  </w:r>
                </w:p>
              </w:tc>
            </w:tr>
          </w:tbl>
          <w:p>
            <w:pPr>
              <w:widowControl w:val="0"/>
              <w:spacing w:before="120" w:line="240" w:lineRule="auto"/>
              <w:ind w:firstLine="220" w:firstLineChars="100"/>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UL</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ctrlPr>
                          <w:rPr>
                            <w:rFonts w:ascii="Cambria Math" w:hAnsi="Cambria Math" w:cstheme="minorHAnsi"/>
                            <w:i/>
                            <w:iCs/>
                            <w:sz w:val="22"/>
                          </w:rPr>
                        </m:ctrlPr>
                      </m:e>
                      <m:sub>
                        <m:r>
                          <w:rPr>
                            <w:rFonts w:ascii="Cambria Math" w:hAnsi="Cambria Math" w:cstheme="minorHAnsi"/>
                            <w:sz w:val="22"/>
                          </w:rPr>
                          <m:t>dynamic</m:t>
                        </m:r>
                        <m:ctrlPr>
                          <w:rPr>
                            <w:rFonts w:ascii="Cambria Math" w:hAnsi="Cambria Math" w:cstheme="minorHAnsi"/>
                            <w:i/>
                            <w:iCs/>
                            <w:sz w:val="22"/>
                          </w:rPr>
                        </m:ctrlPr>
                      </m:sub>
                      <m:sup>
                        <m:r>
                          <w:rPr>
                            <w:rFonts w:ascii="Cambria Math" w:hAnsi="Cambria Math" w:cstheme="minorHAnsi"/>
                            <w:sz w:val="22"/>
                          </w:rPr>
                          <m:t>UL</m:t>
                        </m:r>
                        <m:ctrlPr>
                          <w:rPr>
                            <w:rFonts w:ascii="Cambria Math" w:hAnsi="Cambria Math" w:cstheme="minorHAnsi"/>
                            <w:i/>
                            <w:iCs/>
                            <w:sz w:val="22"/>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55</w:t>
                  </w:r>
                </w:p>
              </w:tc>
              <w:tc>
                <w:tcPr>
                  <w:tcW w:w="0" w:type="auto"/>
                </w:tcPr>
                <w:p>
                  <w:pPr>
                    <w:pStyle w:val="48"/>
                    <w:widowControl w:val="0"/>
                    <w:spacing w:after="0"/>
                    <w:ind w:left="0"/>
                    <w:jc w:val="center"/>
                    <w:rPr>
                      <w:rFonts w:cstheme="minorHAnsi"/>
                      <w:bCs/>
                      <w:sz w:val="22"/>
                    </w:rPr>
                  </w:pPr>
                  <w:r>
                    <w:rPr>
                      <w:bCs/>
                    </w:rPr>
                    <w:t>40</w:t>
                  </w:r>
                </w:p>
              </w:tc>
              <w:tc>
                <w:tcPr>
                  <w:tcW w:w="0" w:type="auto"/>
                </w:tcPr>
                <w:p>
                  <w:pPr>
                    <w:pStyle w:val="48"/>
                    <w:widowControl w:val="0"/>
                    <w:spacing w:after="0"/>
                    <w:ind w:left="0"/>
                    <w:jc w:val="center"/>
                    <w:rPr>
                      <w:rFonts w:cstheme="minorHAnsi"/>
                      <w:bCs/>
                      <w:sz w:val="22"/>
                    </w:rPr>
                  </w:pPr>
                  <w:r>
                    <w:rPr>
                      <w:bCs/>
                    </w:rPr>
                    <w:t>42</w:t>
                  </w:r>
                </w:p>
              </w:tc>
              <w:tc>
                <w:tcPr>
                  <w:tcW w:w="0" w:type="auto"/>
                </w:tcPr>
                <w:p>
                  <w:pPr>
                    <w:pStyle w:val="48"/>
                    <w:widowControl w:val="0"/>
                    <w:spacing w:after="0"/>
                    <w:ind w:left="0"/>
                    <w:jc w:val="center"/>
                    <w:rPr>
                      <w:rFonts w:cstheme="minorHAnsi"/>
                      <w:bCs/>
                      <w:sz w:val="22"/>
                    </w:rPr>
                  </w:pPr>
                  <w:r>
                    <w:rPr>
                      <w:bCs/>
                    </w:rPr>
                    <w:t>1</w:t>
                  </w:r>
                </w:p>
              </w:tc>
              <w:tc>
                <w:tcPr>
                  <w:tcW w:w="0" w:type="auto"/>
                </w:tcPr>
                <w:p>
                  <w:pPr>
                    <w:pStyle w:val="48"/>
                    <w:widowControl w:val="0"/>
                    <w:spacing w:after="0"/>
                    <w:ind w:left="0"/>
                    <w:jc w:val="center"/>
                    <w:rPr>
                      <w:rFonts w:cstheme="minorHAnsi"/>
                      <w:bCs/>
                      <w:sz w:val="22"/>
                    </w:rPr>
                  </w:pPr>
                  <w:r>
                    <w:rPr>
                      <w:bCs/>
                    </w:rPr>
                    <w:t>0.8</w:t>
                  </w:r>
                </w:p>
              </w:tc>
              <w:tc>
                <w:tcPr>
                  <w:tcW w:w="0" w:type="auto"/>
                </w:tcPr>
                <w:p>
                  <w:pPr>
                    <w:pStyle w:val="48"/>
                    <w:widowControl w:val="0"/>
                    <w:spacing w:after="0"/>
                    <w:ind w:left="0"/>
                    <w:jc w:val="center"/>
                    <w:rPr>
                      <w:rFonts w:cstheme="minorHAnsi"/>
                      <w:bCs/>
                      <w:sz w:val="22"/>
                    </w:rPr>
                  </w:pPr>
                  <w:r>
                    <w:rPr>
                      <w:bCs/>
                    </w:rPr>
                    <w:t>1.2</w:t>
                  </w:r>
                </w:p>
              </w:tc>
            </w:tr>
          </w:tbl>
          <w:p>
            <w:pPr>
              <w:widowControl w:val="0"/>
              <w:spacing w:before="120" w:line="240" w:lineRule="auto"/>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Time domain</w:t>
            </w:r>
          </w:p>
          <w:p>
            <w:pPr>
              <w:pStyle w:val="11"/>
              <w:widowControl w:val="0"/>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Static</m:t>
                    </m:r>
                    <m:ctrlPr>
                      <w:rPr>
                        <w:rFonts w:ascii="Cambria Math" w:hAnsi="Cambria Math" w:cstheme="minorHAnsi"/>
                        <w:b w:val="0"/>
                        <w:i/>
                        <w:sz w:val="22"/>
                        <w:szCs w:val="22"/>
                      </w:rPr>
                    </m:ctrlP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DL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DL</m:t>
                    </m:r>
                    <m:ctrlPr>
                      <w:rPr>
                        <w:rFonts w:ascii="Cambria Math" w:hAnsi="Cambria Math" w:cstheme="minorHAnsi"/>
                        <w:b w:val="0"/>
                        <w:i/>
                        <w:sz w:val="22"/>
                        <w:szCs w:val="22"/>
                      </w:rPr>
                    </m:ctrlP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UL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UL</m:t>
                    </m:r>
                    <m:ctrlPr>
                      <w:rPr>
                        <w:rFonts w:ascii="Cambria Math" w:hAnsi="Cambria Math" w:cstheme="minorHAnsi"/>
                        <w:b w:val="0"/>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Samsung</w:t>
            </w:r>
          </w:p>
        </w:tc>
        <w:tc>
          <w:tcPr>
            <w:tcW w:w="7970" w:type="dxa"/>
          </w:tcPr>
          <w:p>
            <w:pPr>
              <w:widowControl w:val="0"/>
              <w:numPr>
                <w:ilvl w:val="0"/>
                <w:numId w:val="10"/>
              </w:numPr>
              <w:overflowPunct w:val="0"/>
              <w:contextualSpacing/>
              <w:textAlignment w:val="baseline"/>
              <w:rPr>
                <w:lang w:val="en-GB" w:eastAsia="ja-JP"/>
              </w:rPr>
            </w:pPr>
            <w:r>
              <w:rPr>
                <w:lang w:val="en-GB" w:eastAsia="ja-JP"/>
              </w:rPr>
              <w:t>the BS power consumption for active DL is provided by</w:t>
            </w:r>
          </w:p>
          <w:p>
            <w:pPr>
              <w:widowControl w:val="0"/>
              <w:numPr>
                <w:ilvl w:val="1"/>
                <w:numId w:val="10"/>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p>
          <w:p>
            <w:pPr>
              <w:widowControl w:val="0"/>
              <w:numPr>
                <w:ilvl w:val="2"/>
                <w:numId w:val="10"/>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0"/>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0"/>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0"/>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a</m:t>
                  </m:r>
                  <m:ctrlPr>
                    <w:rPr>
                      <w:rFonts w:ascii="Cambria Math" w:hAnsi="Cambria Math"/>
                      <w:i/>
                      <w:iCs/>
                      <w:sz w:val="21"/>
                      <w:lang w:val="en-GB" w:eastAsia="ja-JP"/>
                    </w:rPr>
                  </m:ctrlP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dyn,ante</m:t>
                      </m:r>
                      <m:ctrlPr>
                        <w:rPr>
                          <w:rFonts w:ascii="Cambria Math" w:hAnsi="Cambria Math"/>
                          <w:i/>
                          <w:iCs/>
                          <w:sz w:val="21"/>
                          <w:lang w:val="en-GB" w:eastAsia="ja-JP"/>
                        </w:rPr>
                      </m:ctrlP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iCs/>
                          <w:sz w:val="21"/>
                          <w:lang w:val="en-GB" w:eastAsia="ja-JP"/>
                        </w:rPr>
                      </m:ctrlPr>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ctrlPr>
                                <w:rPr>
                                  <w:rFonts w:ascii="Cambria Math" w:hAnsi="Cambria Math"/>
                                  <w:i/>
                                  <w:iCs/>
                                  <w:sz w:val="21"/>
                                  <w:lang w:val="en-GB" w:eastAsia="ja-JP"/>
                                </w:rPr>
                              </m:ctrlPr>
                            </m:e>
                            <m:sub>
                              <m: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w:rPr>
                                  <w:rFonts w:ascii="Cambria Math" w:hAnsi="Cambria Math"/>
                                  <w:sz w:val="21"/>
                                  <w:lang w:val="en-GB" w:eastAsia="ja-JP"/>
                                </w:rPr>
                                <m:t>,  s</m:t>
                              </m:r>
                              <m:ctrlPr>
                                <w:rPr>
                                  <w:rFonts w:ascii="Cambria Math" w:hAnsi="Cambria Math"/>
                                  <w:i/>
                                  <w:iCs/>
                                  <w:sz w:val="21"/>
                                  <w:lang w:val="en-GB" w:eastAsia="ja-JP"/>
                                </w:rPr>
                              </m:ctrlPr>
                            </m:e>
                            <m:sub>
                              <m: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sz w:val="21"/>
                              <w:lang w:val="en-GB" w:eastAsia="ja-JP"/>
                            </w:rPr>
                          </m:ctrlPr>
                        </m:e>
                      </m:d>
                      <m:ctrlPr>
                        <w:rPr>
                          <w:rFonts w:ascii="Cambria Math" w:hAnsi="Cambria Math"/>
                          <w:i/>
                          <w:iCs/>
                          <w:sz w:val="21"/>
                          <w:lang w:val="en-GB" w:eastAsia="ja-JP"/>
                        </w:rPr>
                      </m:ctrlPr>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w:rPr>
                          <w:rFonts w:ascii="Cambria Math" w:hAnsi="Cambria Math"/>
                          <w:sz w:val="21"/>
                          <w:lang w:val="en-GB" w:eastAsia="ja-JP"/>
                        </w:rPr>
                        <m:t>dyn,joint</m:t>
                      </m:r>
                      <m:ctrlPr>
                        <w:rPr>
                          <w:rFonts w:ascii="Cambria Math" w:hAnsi="Cambria Math"/>
                          <w:i/>
                          <w:iCs/>
                          <w:sz w:val="21"/>
                          <w:lang w:val="en-GB" w:eastAsia="ja-JP"/>
                        </w:rPr>
                      </m:ctrlPr>
                    </m:sub>
                  </m:sSub>
                  <m:ctrlPr>
                    <w:rPr>
                      <w:rFonts w:ascii="Cambria Math" w:hAnsi="Cambria Math"/>
                      <w:i/>
                      <w:iCs/>
                      <w:sz w:val="21"/>
                      <w:lang w:val="en-GB" w:eastAsia="ja-JP"/>
                    </w:rPr>
                  </m:ctrlPr>
                </m:e>
              </m:d>
            </m:oMath>
            <w:r>
              <w:rPr>
                <w:rFonts w:hint="eastAsia"/>
                <w:lang w:val="en-GB" w:eastAsia="ko-KR"/>
              </w:rPr>
              <w:t>,</w:t>
            </w:r>
            <w:r>
              <w:rPr>
                <w:lang w:val="en-GB" w:eastAsia="ko-KR"/>
              </w:rPr>
              <w:t xml:space="preserve"> where</w:t>
            </w:r>
          </w:p>
          <w:p>
            <w:pPr>
              <w:widowControl w:val="0"/>
              <w:numPr>
                <w:ilvl w:val="4"/>
                <w:numId w:val="10"/>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dyn,ante</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0"/>
              </w:numPr>
              <w:overflowPunct w:val="0"/>
              <w:spacing w:after="180"/>
              <w:contextualSpacing/>
              <w:textAlignment w:val="baseline"/>
              <w:rPr>
                <w:lang w:val="en-GB" w:eastAsia="ja-JP"/>
              </w:rPr>
            </w:pPr>
            <w:r>
              <w:rPr>
                <w:lang w:val="en-GB" w:eastAsia="ko-KR"/>
              </w:rPr>
              <w:t>Category 1: 15</w:t>
            </w:r>
          </w:p>
          <w:p>
            <w:pPr>
              <w:widowControl w:val="0"/>
              <w:numPr>
                <w:ilvl w:val="5"/>
                <w:numId w:val="10"/>
              </w:numPr>
              <w:overflowPunct w:val="0"/>
              <w:spacing w:after="180"/>
              <w:contextualSpacing/>
              <w:textAlignment w:val="baseline"/>
              <w:rPr>
                <w:lang w:val="en-GB" w:eastAsia="ja-JP"/>
              </w:rPr>
            </w:pPr>
            <w:r>
              <w:rPr>
                <w:lang w:val="en-GB" w:eastAsia="ko-KR"/>
              </w:rPr>
              <w:t>Category 2: 1.5</w:t>
            </w:r>
          </w:p>
          <w:p>
            <w:pPr>
              <w:widowControl w:val="0"/>
              <w:numPr>
                <w:ilvl w:val="4"/>
                <w:numId w:val="10"/>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w:rPr>
                      <w:rFonts w:ascii="Cambria Math" w:hAnsi="Cambria Math"/>
                      <w:sz w:val="21"/>
                      <w:lang w:val="en-GB"/>
                    </w:rPr>
                    <m:t>dyn,joint</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0"/>
              </w:numPr>
              <w:overflowPunct w:val="0"/>
              <w:spacing w:after="180"/>
              <w:contextualSpacing/>
              <w:textAlignment w:val="baseline"/>
              <w:rPr>
                <w:lang w:val="en-GB" w:eastAsia="ja-JP"/>
              </w:rPr>
            </w:pPr>
            <w:r>
              <w:rPr>
                <w:lang w:val="en-GB" w:eastAsia="ko-KR"/>
              </w:rPr>
              <w:t>Category 1: 71</w:t>
            </w:r>
          </w:p>
          <w:p>
            <w:pPr>
              <w:widowControl w:val="0"/>
              <w:numPr>
                <w:ilvl w:val="5"/>
                <w:numId w:val="10"/>
              </w:numPr>
              <w:overflowPunct w:val="0"/>
              <w:spacing w:after="180"/>
              <w:contextualSpacing/>
              <w:textAlignment w:val="baseline"/>
              <w:rPr>
                <w:lang w:val="en-GB" w:eastAsia="ja-JP"/>
              </w:rPr>
            </w:pPr>
            <w:r>
              <w:rPr>
                <w:lang w:val="en-GB" w:eastAsia="ko-KR"/>
              </w:rPr>
              <w:t>Category 2: 8.5</w:t>
            </w:r>
          </w:p>
          <w:p>
            <w:pPr>
              <w:widowControl w:val="0"/>
              <w:numPr>
                <w:ilvl w:val="4"/>
                <w:numId w:val="10"/>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f</m:t>
                      </m:r>
                      <m:ctrlPr>
                        <w:rPr>
                          <w:rFonts w:ascii="Cambria Math" w:hAnsi="Cambria Math"/>
                          <w:i/>
                          <w:iCs/>
                          <w:sz w:val="21"/>
                          <w:lang w:val="en-GB"/>
                        </w:rPr>
                      </m:ctrlPr>
                    </m:sub>
                  </m:sSub>
                  <m:sSub>
                    <m:sSubPr>
                      <m:ctrlPr>
                        <w:rPr>
                          <w:rFonts w:ascii="Cambria Math" w:hAnsi="Cambria Math"/>
                          <w:i/>
                          <w:iCs/>
                          <w:sz w:val="21"/>
                          <w:lang w:val="en-GB"/>
                        </w:rPr>
                      </m:ctrlPr>
                    </m:sSubPr>
                    <m:e>
                      <m:r>
                        <w:rPr>
                          <w:rFonts w:ascii="Cambria Math" w:hAnsi="Cambria Math"/>
                          <w:sz w:val="21"/>
                          <w:lang w:val="en-GB"/>
                        </w:rPr>
                        <m:t>,  s</m:t>
                      </m:r>
                      <m:ctrlPr>
                        <w:rPr>
                          <w:rFonts w:ascii="Cambria Math" w:hAnsi="Cambria Math"/>
                          <w:i/>
                          <w:iCs/>
                          <w:sz w:val="21"/>
                          <w:lang w:val="en-GB"/>
                        </w:rPr>
                      </m:ctrlPr>
                    </m:e>
                    <m:sub>
                      <m:r>
                        <w:rPr>
                          <w:rFonts w:ascii="Cambria Math" w:hAnsi="Cambria Math"/>
                          <w:sz w:val="21"/>
                          <w:lang w:val="en-GB"/>
                        </w:rPr>
                        <m:t>p</m:t>
                      </m:r>
                      <m:ctrlPr>
                        <w:rPr>
                          <w:rFonts w:ascii="Cambria Math" w:hAnsi="Cambria Math"/>
                          <w:i/>
                          <w:iCs/>
                          <w:sz w:val="21"/>
                          <w:lang w:val="en-GB"/>
                        </w:rPr>
                      </m:ctrlPr>
                    </m:sub>
                  </m:sSub>
                  <m:ctrlPr>
                    <w:rPr>
                      <w:rFonts w:ascii="Cambria Math" w:hAnsi="Cambria Math"/>
                      <w:i/>
                      <w:sz w:val="21"/>
                      <w:lang w:val="en-GB"/>
                    </w:rPr>
                  </m:ctrlPr>
                </m:e>
              </m:d>
            </m:oMath>
            <w:r>
              <w:rPr>
                <w:rFonts w:hint="eastAsia"/>
                <w:sz w:val="21"/>
                <w:lang w:val="en-GB"/>
              </w:rPr>
              <w:t xml:space="preserve"> </w:t>
            </w:r>
            <w:r>
              <w:rPr>
                <w:lang w:val="en-GB" w:eastAsia="ko-KR"/>
              </w:rPr>
              <w:t xml:space="preserve">is the PA efficiency </w:t>
            </w:r>
          </w:p>
          <w:p>
            <w:pPr>
              <w:widowControl w:val="0"/>
              <w:numPr>
                <w:ilvl w:val="5"/>
                <w:numId w:val="10"/>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pPr>
              <w:widowControl w:val="0"/>
              <w:numPr>
                <w:ilvl w:val="4"/>
                <w:numId w:val="10"/>
              </w:numPr>
              <w:overflowPunct w:val="0"/>
              <w:spacing w:after="180"/>
              <w:contextualSpacing/>
              <w:textAlignment w:val="baseline"/>
              <w:rPr>
                <w:color w:val="000000" w:themeColor="text1"/>
                <w:lang w:val="en-GB" w:eastAsia="ko-KR"/>
                <w14:textFill>
                  <w14:solidFill>
                    <w14:schemeClr w14:val="tx1"/>
                  </w14:solidFill>
                </w14:textFill>
              </w:rPr>
            </w:pP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a</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w:r>
              <w:rPr>
                <w:iCs/>
                <w:color w:val="000000" w:themeColor="text1"/>
                <w:sz w:val="21"/>
                <w:lang w:val="en-GB"/>
                <w14:textFill>
                  <w14:solidFill>
                    <w14:schemeClr w14:val="tx1"/>
                  </w14:solidFill>
                </w14:textFill>
              </w:rPr>
              <w:t xml:space="preserve">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m:oMath>
              <m:r>
                <m:rPr>
                  <m:sty m:val="p"/>
                </m:rPr>
                <w:rPr>
                  <w:rFonts w:ascii="Cambria Math" w:hAnsi="Cambria Math"/>
                  <w:color w:val="000000" w:themeColor="text1"/>
                  <w:sz w:val="21"/>
                  <w:lang w:val="en-GB"/>
                  <w14:textFill>
                    <w14:solidFill>
                      <w14:schemeClr w14:val="tx1"/>
                    </w14:solidFill>
                  </w14:textFill>
                </w:rPr>
                <m:t xml:space="preserve"> </m:t>
              </m:r>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 xml:space="preserve"> </w:t>
            </w:r>
            <w:r>
              <w:rPr>
                <w:iCs/>
                <w:color w:val="000000" w:themeColor="text1"/>
                <w:sz w:val="21"/>
                <w:lang w:val="en-GB"/>
                <w14:textFill>
                  <w14:solidFill>
                    <w14:schemeClr w14:val="tx1"/>
                  </w14:solidFill>
                </w14:textFill>
              </w:rPr>
              <w:t>is the percentage of active TRxRUs, the ratio of RF bandwidth and maximum system BW and the ratio of PSD per TxRU between the DL transmission and reference configuration, respectively.</w:t>
            </w:r>
          </w:p>
          <w:p>
            <w:pPr>
              <w:widowControl w:val="0"/>
              <w:numPr>
                <w:ilvl w:val="4"/>
                <w:numId w:val="10"/>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numPr>
                <w:ilvl w:val="4"/>
                <w:numId w:val="10"/>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eastAsia="ko-KR"/>
                <w14:textFill>
                  <w14:solidFill>
                    <w14:schemeClr w14:val="tx1"/>
                  </w14:solidFill>
                </w14:textFill>
              </w:rPr>
              <w:t xml:space="preserve">The ratio of RF bandwidth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iCs/>
                <w:color w:val="000000" w:themeColor="text1"/>
                <w:sz w:val="21"/>
                <w:lang w:val="en-GB" w:eastAsia="ko-KR"/>
                <w14:textFill>
                  <w14:solidFill>
                    <w14:schemeClr w14:val="tx1"/>
                  </w14:solidFill>
                </w14:textFill>
              </w:rPr>
              <w:t>: 0.35+0.65*</w:t>
            </w:r>
            <w:r>
              <w:t xml:space="preserve"> X</w:t>
            </w:r>
            <w:r>
              <w:rPr>
                <w:vertAlign w:val="subscript"/>
              </w:rPr>
              <w:t>f</w:t>
            </w:r>
            <w:r>
              <w:rPr>
                <w:iCs/>
                <w:color w:val="000000" w:themeColor="text1"/>
                <w:sz w:val="21"/>
                <w:lang w:val="en-GB" w:eastAsia="ko-KR"/>
                <w14:textFill>
                  <w14:solidFill>
                    <w14:schemeClr w14:val="tx1"/>
                  </w14:solidFill>
                </w14:textFill>
              </w:rPr>
              <w:t xml:space="preserve"> /100MHz, </w:t>
            </w:r>
            <w:r>
              <w:t>X</w:t>
            </w:r>
            <w:r>
              <w:rPr>
                <w:vertAlign w:val="subscript"/>
              </w:rPr>
              <w:t>f</w:t>
            </w:r>
            <w:r>
              <w:rPr>
                <w:iCs/>
                <w:color w:val="000000" w:themeColor="text1"/>
                <w:sz w:val="21"/>
                <w:lang w:val="en-GB" w:eastAsia="ko-KR"/>
                <w14:textFill>
                  <w14:solidFill>
                    <w14:schemeClr w14:val="tx1"/>
                  </w14:solidFill>
                </w14:textFill>
              </w:rPr>
              <w:t xml:space="preserve"> [MHz] = {10, 20, 40, 50, 80, 100}</w:t>
            </w:r>
          </w:p>
          <w:p>
            <w:pPr>
              <w:widowControl w:val="0"/>
              <w:numPr>
                <w:ilvl w:val="4"/>
                <w:numId w:val="10"/>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ratio of PSD per TxRU between the DL transmission and reference configuration </w:t>
            </w:r>
            <m:oMath>
              <m:sSub>
                <m:sSubPr>
                  <m:ctrlPr>
                    <w:rPr>
                      <w:rFonts w:ascii="Cambria Math" w:hAnsi="Cambria Math"/>
                      <w:i/>
                      <w:iCs/>
                      <w:color w:val="000000" w:themeColor="text1"/>
                      <w:sz w:val="21"/>
                      <w:lang w:val="en-GB"/>
                      <w14:textFill>
                        <w14:solidFill>
                          <w14:schemeClr w14:val="tx1"/>
                        </w14:solidFill>
                      </w14:textFill>
                    </w:rPr>
                  </m:ctrlPr>
                </m:sSubPr>
                <m:e>
                  <m: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eastAsia="ko-KR"/>
                <w14:textFill>
                  <w14:solidFill>
                    <w14:schemeClr w14:val="tx1"/>
                  </w14:solidFill>
                </w14:textFill>
              </w:rPr>
              <w:t>:</w:t>
            </w:r>
            <w:r>
              <w:rPr>
                <w:iCs/>
                <w:color w:val="000000" w:themeColor="text1"/>
                <w:sz w:val="21"/>
                <w:lang w:val="en-GB" w:eastAsia="ko-KR"/>
                <w14:textFill>
                  <w14:solidFill>
                    <w14:schemeClr w14:val="tx1"/>
                  </w14:solidFill>
                </w14:textFill>
              </w:rPr>
              <w:t xml:space="preserve"> 0.67^(X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/3[dB]), 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 {0, 3[dB], 6[dB]}</w:t>
            </w:r>
          </w:p>
          <w:p>
            <w:pPr>
              <w:widowControl w:val="0"/>
              <w:numPr>
                <w:ilvl w:val="0"/>
                <w:numId w:val="10"/>
              </w:numPr>
              <w:overflowPunct w:val="0"/>
              <w:contextualSpacing/>
              <w:textAlignment w:val="baseline"/>
              <w:rPr>
                <w:lang w:val="en-GB" w:eastAsia="ja-JP"/>
              </w:rPr>
            </w:pPr>
            <w:r>
              <w:rPr>
                <w:lang w:val="en-GB" w:eastAsia="ja-JP"/>
              </w:rPr>
              <w:t>the BS power consumption for active UL is provided by</w:t>
            </w:r>
          </w:p>
          <w:p>
            <w:pPr>
              <w:widowControl w:val="0"/>
              <w:numPr>
                <w:ilvl w:val="1"/>
                <w:numId w:val="10"/>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ctrlPr>
                        <w:rPr>
                          <w:rFonts w:ascii="Cambria Math" w:hAnsi="Cambria Math"/>
                          <w:i/>
                          <w:iCs/>
                          <w:sz w:val="21"/>
                          <w:lang w:val="en-GB"/>
                        </w:rPr>
                      </m:ctrlPr>
                    </m:e>
                    <m:sub>
                      <m:r>
                        <w:rPr>
                          <w:rFonts w:ascii="Cambria Math" w:hAnsi="Cambria Math"/>
                          <w:sz w:val="21"/>
                          <w:lang w:val="en-GB"/>
                        </w:rPr>
                        <m:t>a</m:t>
                      </m:r>
                      <m:ctrlPr>
                        <w:rPr>
                          <w:rFonts w:ascii="Cambria Math" w:hAnsi="Cambria Math"/>
                          <w:i/>
                          <w:iCs/>
                          <w:sz w:val="21"/>
                          <w:lang w:val="en-GB"/>
                        </w:rPr>
                      </m:ctrlPr>
                    </m:sub>
                  </m:sSub>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oMath>
          </w:p>
          <w:p>
            <w:pPr>
              <w:widowControl w:val="0"/>
              <w:numPr>
                <w:ilvl w:val="2"/>
                <w:numId w:val="10"/>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up>
                  <m:r>
                    <w:rPr>
                      <w:rFonts w:ascii="Cambria Math" w:hAnsi="Cambria Math"/>
                      <w:sz w:val="21"/>
                      <w:lang w:val="en-GB"/>
                    </w:rPr>
                    <m:t>UL</m:t>
                  </m:r>
                  <m:ctrlPr>
                    <w:rPr>
                      <w:rFonts w:ascii="Cambria Math" w:hAnsi="Cambria Math"/>
                      <w:i/>
                      <w:iCs/>
                      <w:sz w:val="21"/>
                      <w:lang w:val="en-GB"/>
                    </w:rPr>
                  </m:ctrlP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p>
          <w:p>
            <w:pPr>
              <w:widowControl w:val="0"/>
              <w:numPr>
                <w:ilvl w:val="2"/>
                <w:numId w:val="10"/>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0"/>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0"/>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0"/>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ctrlPr>
                    <w:rPr>
                      <w:rFonts w:ascii="Cambria Math" w:hAnsi="Cambria Math"/>
                      <w:i/>
                      <w:iCs/>
                      <w:sz w:val="21"/>
                      <w:lang w:val="en-GB"/>
                    </w:rPr>
                  </m:ctrlPr>
                </m:e>
                <m:sub>
                  <m: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w:p>
          <w:p>
            <w:pPr>
              <w:widowControl w:val="0"/>
              <w:numPr>
                <w:ilvl w:val="3"/>
                <w:numId w:val="10"/>
              </w:numPr>
              <w:overflowPunct w:val="0"/>
              <w:spacing w:after="180"/>
              <w:contextualSpacing/>
              <w:textAlignment w:val="baseline"/>
              <w:rPr>
                <w:lang w:val="en-GB" w:eastAsia="ja-JP"/>
              </w:rPr>
            </w:pPr>
            <w:r>
              <w:rPr>
                <w:lang w:val="en-GB" w:eastAsia="ja-JP"/>
              </w:rPr>
              <w:t>Category 1: [FFS]</w:t>
            </w:r>
          </w:p>
          <w:p>
            <w:pPr>
              <w:widowControl w:val="0"/>
              <w:numPr>
                <w:ilvl w:val="3"/>
                <w:numId w:val="10"/>
              </w:numPr>
              <w:overflowPunct w:val="0"/>
              <w:spacing w:after="180"/>
              <w:contextualSpacing/>
              <w:textAlignment w:val="baseline"/>
              <w:rPr>
                <w:lang w:val="en-GB" w:eastAsia="ja-JP"/>
              </w:rPr>
            </w:pPr>
            <w:r>
              <w:rPr>
                <w:lang w:val="en-GB" w:eastAsia="ja-JP"/>
              </w:rPr>
              <w:t>Category 2: 1</w:t>
            </w:r>
          </w:p>
          <w:p>
            <w:pPr>
              <w:widowControl w:val="0"/>
              <w:numPr>
                <w:ilvl w:val="4"/>
                <w:numId w:val="10"/>
              </w:numPr>
              <w:overflowPunct w:val="0"/>
              <w:spacing w:after="180"/>
              <w:ind w:left="3440" w:leftChars="1720"/>
              <w:contextualSpacing/>
              <w:jc w:val="left"/>
              <w:textAlignment w:val="baseline"/>
              <w:rPr>
                <w:iCs/>
                <w:color w:val="000000" w:themeColor="text1"/>
                <w:lang w:val="en-GB"/>
                <w14:textFill>
                  <w14:solidFill>
                    <w14:schemeClr w14:val="tx1"/>
                  </w14:solidFill>
                </w14:textFill>
              </w:rPr>
            </w:pPr>
            <w:r>
              <w:rPr>
                <w:iCs/>
                <w:color w:val="000000" w:themeColor="text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autoSpaceDE/>
              <w:autoSpaceDN/>
              <w:adjustRightInd/>
              <w:spacing w:after="0" w:line="240" w:lineRule="auto"/>
              <w:rPr>
                <w:rFonts w:cstheme="minorHAnsi"/>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661" w:type="dxa"/>
          </w:tcPr>
          <w:p>
            <w:pPr>
              <w:widowControl w:val="0"/>
            </w:pPr>
            <w:r>
              <w:t>Ericsson</w:t>
            </w:r>
          </w:p>
        </w:tc>
        <w:tc>
          <w:tcPr>
            <w:tcW w:w="7970" w:type="dxa"/>
          </w:tcPr>
          <w:p>
            <w:pPr>
              <w:pStyle w:val="87"/>
              <w:widowControl w:val="0"/>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w:t>
            </w:r>
            <m:oMath>
              <m:r>
                <m:rPr>
                  <m:sty m:val="b"/>
                </m:rPr>
                <w:rPr>
                  <w:rFonts w:ascii="Cambria Math" w:hAnsi="Cambria Math" w:eastAsia="宋体"/>
                  <w:sz w:val="21"/>
                  <w:szCs w:val="20"/>
                  <w:lang w:val="en-GB" w:eastAsia="zh-CN"/>
                </w:rPr>
                <m:t xml:space="preserve"> </m:t>
              </m:r>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p</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pPr>
              <w:pStyle w:val="87"/>
              <w:widowControl w:val="0"/>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a</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dyn,ante</m:t>
                      </m:r>
                      <m:ctrlPr>
                        <w:rPr>
                          <w:rFonts w:ascii="Cambria Math" w:hAnsi="Cambria Math" w:eastAsia="宋体"/>
                          <w:b w:val="0"/>
                          <w:i/>
                          <w:iCs/>
                          <w:sz w:val="21"/>
                          <w:szCs w:val="20"/>
                          <w:lang w:val="en-GB" w:eastAsia="ja-JP"/>
                        </w:rPr>
                      </m:ctrlPr>
                    </m:sub>
                  </m:sSub>
                  <m:r>
                    <m:rPr>
                      <m:sty m:val="bi"/>
                    </m:rPr>
                    <w:rPr>
                      <w:rFonts w:ascii="Cambria Math" w:hAnsi="Cambria Math" w:eastAsia="Malgun Gothic"/>
                      <w:sz w:val="21"/>
                      <w:szCs w:val="20"/>
                      <w:lang w:val="en-GB" w:eastAsia="ja-JP"/>
                    </w:rPr>
                    <m:t>+</m:t>
                  </m:r>
                  <m:f>
                    <m:fPr>
                      <m:ctrlPr>
                        <w:rPr>
                          <w:rFonts w:ascii="Cambria Math" w:hAnsi="Cambria Math" w:eastAsia="宋体"/>
                          <w:b w:val="0"/>
                          <w:i/>
                          <w:iCs/>
                          <w:sz w:val="21"/>
                          <w:szCs w:val="20"/>
                          <w:lang w:val="en-GB" w:eastAsia="ja-JP"/>
                        </w:rPr>
                      </m:ctrlPr>
                    </m:fPr>
                    <m:num>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num>
                    <m:den>
                      <m:r>
                        <m:rPr>
                          <m:sty m:val="bi"/>
                        </m:rPr>
                        <w:rPr>
                          <w:rFonts w:ascii="Cambria Math" w:hAnsi="Cambria Math" w:eastAsia="宋体"/>
                          <w:sz w:val="21"/>
                          <w:szCs w:val="20"/>
                          <w:lang w:val="en-GB" w:eastAsia="ja-JP"/>
                        </w:rPr>
                        <m:t>η</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  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ctrlPr>
                        <w:rPr>
                          <w:rFonts w:ascii="Cambria Math" w:hAnsi="Cambria Math" w:eastAsia="宋体"/>
                          <w:b w:val="0"/>
                          <w:i/>
                          <w:iCs/>
                          <w:sz w:val="21"/>
                          <w:szCs w:val="20"/>
                          <w:lang w:val="en-GB" w:eastAsia="ja-JP"/>
                        </w:rPr>
                      </m:ctrlPr>
                    </m:den>
                  </m:f>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oMath>
            <w:r>
              <w:rPr>
                <w:rFonts w:cs="Arial"/>
                <w:b w:val="0"/>
                <w:sz w:val="20"/>
                <w:szCs w:val="20"/>
                <w:lang w:eastAsia="en-GB"/>
              </w:rPr>
              <w:t>,</w:t>
            </w:r>
            <w:bookmarkEnd w:id="73"/>
            <w:r>
              <w:rPr>
                <w:rFonts w:cs="Arial"/>
                <w:b w:val="0"/>
                <w:sz w:val="20"/>
                <w:szCs w:val="20"/>
                <w:lang w:eastAsia="en-GB"/>
              </w:rPr>
              <w:t xml:space="preserve"> </w:t>
            </w:r>
          </w:p>
          <w:p>
            <w:pPr>
              <w:pStyle w:val="87"/>
              <w:widowControl w:val="0"/>
              <w:numPr>
                <w:ilvl w:val="1"/>
                <w:numId w:val="7"/>
              </w:numPr>
              <w:spacing w:line="254" w:lineRule="auto"/>
              <w:rPr>
                <w:rFonts w:cs="Arial"/>
                <w:b w:val="0"/>
                <w:sz w:val="20"/>
                <w:szCs w:val="20"/>
                <w:lang w:eastAsia="en-GB"/>
              </w:rPr>
            </w:pPr>
            <m:oMath>
              <m:sSub>
                <w:bookmarkStart w:id="74" w:name="_Toc115445761"/>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=46</m:t>
              </m:r>
              <w:bookmarkEnd w:id="74"/>
            </m:oMath>
          </w:p>
          <w:p>
            <w:pPr>
              <w:pStyle w:val="87"/>
              <w:widowControl w:val="0"/>
              <w:numPr>
                <w:ilvl w:val="1"/>
                <w:numId w:val="7"/>
              </w:numPr>
              <w:spacing w:line="254" w:lineRule="auto"/>
              <w:rPr>
                <w:rFonts w:cs="Arial"/>
                <w:b w:val="0"/>
                <w:sz w:val="20"/>
                <w:szCs w:val="20"/>
                <w:lang w:eastAsia="en-GB"/>
              </w:rPr>
            </w:pPr>
            <w:bookmarkStart w:id="75" w:name="_Toc115445762"/>
            <m:oMath>
              <m:sSub>
                <m:sSubPr>
                  <m:ctrlPr>
                    <w:rPr>
                      <w:rFonts w:ascii="Cambria Math" w:hAnsi="Cambria Math" w:eastAsia="宋体"/>
                      <w:b w:val="0"/>
                      <w:i/>
                      <w:iCs/>
                      <w:sz w:val="21"/>
                      <w:szCs w:val="20"/>
                      <w:lang w:val="en-GB" w:eastAsia="zh-CN"/>
                    </w:rPr>
                  </m:ctrlPr>
                </m:sSubPr>
                <m:e>
                  <m:acc>
                    <m:accPr>
                      <m:chr m:val="̃"/>
                      <m:ctrlPr>
                        <w:rPr>
                          <w:rFonts w:ascii="Cambria Math" w:hAnsi="Cambria Math" w:eastAsia="宋体"/>
                          <w:b w:val="0"/>
                          <w:i/>
                          <w:iCs/>
                          <w:sz w:val="21"/>
                          <w:szCs w:val="20"/>
                          <w:lang w:val="en-GB" w:eastAsia="zh-CN"/>
                        </w:rPr>
                      </m:ctrlPr>
                    </m:acc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acc>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dyn,ante</m:t>
                  </m:r>
                  <m:ctrlPr>
                    <w:rPr>
                      <w:rFonts w:ascii="Cambria Math" w:hAnsi="Cambria Math" w:eastAsia="宋体"/>
                      <w:b w:val="0"/>
                      <w:i/>
                      <w:iCs/>
                      <w:sz w:val="21"/>
                      <w:szCs w:val="20"/>
                      <w:lang w:val="en-GB" w:eastAsia="zh-CN"/>
                    </w:rPr>
                  </m:ctrlPr>
                </m:sub>
              </m:sSub>
              <m:r>
                <m:rPr>
                  <m:sty m:val="bi"/>
                </m:rPr>
                <w:rPr>
                  <w:rFonts w:ascii="Cambria Math" w:hAnsi="Cambria Math" w:cs="Arial"/>
                  <w:sz w:val="21"/>
                  <w:szCs w:val="20"/>
                  <w:lang w:val="en-GB" w:eastAsia="zh-CN"/>
                </w:rPr>
                <m:t>=67</m:t>
              </m:r>
            </m:oMath>
            <w:bookmarkEnd w:id="75"/>
          </w:p>
          <w:p>
            <w:pPr>
              <w:pStyle w:val="87"/>
              <w:widowControl w:val="0"/>
              <w:numPr>
                <w:ilvl w:val="1"/>
                <w:numId w:val="7"/>
              </w:numPr>
              <w:spacing w:line="254" w:lineRule="auto"/>
              <w:rPr>
                <w:rFonts w:cs="Arial"/>
                <w:b w:val="0"/>
                <w:sz w:val="20"/>
                <w:szCs w:val="20"/>
                <w:lang w:eastAsia="en-GB"/>
              </w:rPr>
            </w:pPr>
            <m:oMath>
              <m:f>
                <w:bookmarkStart w:id="76" w:name="_Toc115445763"/>
                <m:fPr>
                  <m:ctrlPr>
                    <w:rPr>
                      <w:rFonts w:ascii="Cambria Math" w:hAnsi="Cambria Math" w:eastAsia="宋体"/>
                      <w:b w:val="0"/>
                      <w:i/>
                      <w:sz w:val="21"/>
                      <w:szCs w:val="20"/>
                      <w:lang w:val="en-GB" w:eastAsia="ja-JP"/>
                    </w:rPr>
                  </m:ctrlPr>
                </m:fPr>
                <m:num>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sz w:val="21"/>
                      <w:szCs w:val="20"/>
                      <w:lang w:val="en-GB" w:eastAsia="zh-CN"/>
                    </w:rPr>
                  </m:ctrlPr>
                </m:num>
                <m:den>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ctrlPr>
                    <w:rPr>
                      <w:rFonts w:ascii="Cambria Math" w:hAnsi="Cambria Math" w:eastAsia="宋体"/>
                      <w:b w:val="0"/>
                      <w:i/>
                      <w:sz w:val="21"/>
                      <w:szCs w:val="20"/>
                      <w:lang w:val="en-GB" w:eastAsia="ja-JP"/>
                    </w:rPr>
                  </m:ctrlPr>
                </m:den>
              </m:f>
              <m:r>
                <m:rPr>
                  <m:sty m:val="bi"/>
                </m:rPr>
                <w:rPr>
                  <w:rFonts w:ascii="Cambria Math" w:hAnsi="Cambria Math" w:eastAsia="宋体"/>
                  <w:sz w:val="21"/>
                  <w:szCs w:val="20"/>
                  <w:lang w:val="en-GB" w:eastAsia="ja-JP"/>
                </w:rPr>
                <m:t>=100</m:t>
              </m:r>
            </m:oMath>
            <w:bookmarkEnd w:id="76"/>
          </w:p>
          <w:p>
            <w:pPr>
              <w:pStyle w:val="87"/>
              <w:widowControl w:val="0"/>
              <w:numPr>
                <w:ilvl w:val="1"/>
                <w:numId w:val="7"/>
              </w:numPr>
              <w:spacing w:line="254" w:lineRule="auto"/>
              <w:rPr>
                <w:rFonts w:cs="Arial"/>
                <w:b w:val="0"/>
                <w:sz w:val="20"/>
                <w:szCs w:val="20"/>
                <w:lang w:eastAsia="en-GB"/>
              </w:rPr>
            </w:pPr>
            <m:oMath>
              <m:sSub>
                <w:bookmarkStart w:id="77" w:name="_Toc115445764"/>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a</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w:t>
            </w:r>
            <m:oMath>
              <m:r>
                <m:rPr>
                  <m:sty m:val="bi"/>
                </m:rPr>
                <w:rPr>
                  <w:rFonts w:ascii="Cambria Math" w:hAnsi="Cambria Math" w:eastAsia="宋体"/>
                  <w:sz w:val="21"/>
                  <w:szCs w:val="20"/>
                  <w:lang w:val="en-GB" w:eastAsia="zh-CN"/>
                </w:rPr>
                <m:t xml:space="preserve"> </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pPr>
              <w:pStyle w:val="87"/>
              <w:widowControl w:val="0"/>
              <w:numPr>
                <w:ilvl w:val="1"/>
                <w:numId w:val="7"/>
              </w:numPr>
              <w:spacing w:line="254" w:lineRule="auto"/>
              <w:rPr>
                <w:rFonts w:cs="Arial"/>
                <w:b w:val="0"/>
                <w:sz w:val="20"/>
                <w:szCs w:val="20"/>
                <w:lang w:eastAsia="en-GB"/>
              </w:rPr>
            </w:pPr>
            <w:bookmarkStart w:id="78" w:name="_Toc115445765"/>
            <m:oMath>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Antenna adaptation delay is explicitly modeled with a transition time of [1-3] ms.</w:t>
            </w:r>
            <w:bookmarkEnd w:id="79"/>
            <w:r>
              <w:rPr>
                <w:rFonts w:cs="Arial"/>
                <w:b w:val="0"/>
                <w:sz w:val="20"/>
                <w:szCs w:val="20"/>
                <w:lang w:eastAsia="en-GB"/>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 is the percentage of active TRxRUs, the ratio of RF bandwidth and maximum system BW, respectively</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NTT DOCOMO</w:t>
            </w:r>
          </w:p>
        </w:tc>
        <w:tc>
          <w:tcPr>
            <w:tcW w:w="7970" w:type="dxa"/>
          </w:tcPr>
          <w:p>
            <w:pPr>
              <w:pStyle w:val="48"/>
              <w:widowControl w:val="0"/>
              <w:numPr>
                <w:ilvl w:val="1"/>
                <w:numId w:val="23"/>
              </w:numPr>
              <w:overflowPunct/>
              <w:autoSpaceDE/>
              <w:autoSpaceDN/>
              <w:adjustRightInd/>
              <w:spacing w:after="120" w:afterLines="50" w:line="240" w:lineRule="auto"/>
              <w:jc w:val="both"/>
              <w:textAlignment w:val="auto"/>
              <w:rPr>
                <w:rFonts w:eastAsiaTheme="minorEastAsia"/>
                <w:lang w:val="en-US"/>
              </w:rPr>
            </w:pPr>
            <w:r>
              <w:rPr>
                <w:rFonts w:hint="eastAsia" w:eastAsiaTheme="minorEastAsia"/>
              </w:rPr>
              <w:t>I</w:t>
            </w:r>
            <w:r>
              <w:rPr>
                <w:rFonts w:eastAsiaTheme="minorEastAsia"/>
              </w:rPr>
              <w:t>n CA case</w:t>
            </w:r>
          </w:p>
          <w:p>
            <w:pPr>
              <w:pStyle w:val="48"/>
              <w:widowControl w:val="0"/>
              <w:numPr>
                <w:ilvl w:val="2"/>
                <w:numId w:val="23"/>
              </w:numPr>
              <w:overflowPunct/>
              <w:autoSpaceDE/>
              <w:autoSpaceDN/>
              <w:adjustRightInd/>
              <w:spacing w:after="120" w:afterLines="5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hAnsi="Cambria Math" w:eastAsiaTheme="minorEastAsia"/>
                      <w:i/>
                      <w:iCs/>
                    </w:rPr>
                  </m:ctrlPr>
                </m:sSubPr>
                <m:e>
                  <m:r>
                    <w:rPr>
                      <w:rFonts w:ascii="Cambria Math" w:hAnsi="Cambria Math" w:eastAsiaTheme="minorEastAsia"/>
                    </w:rPr>
                    <m:t>P</m:t>
                  </m:r>
                  <m:ctrlPr>
                    <w:rPr>
                      <w:rFonts w:ascii="Cambria Math" w:hAnsi="Cambria Math" w:eastAsiaTheme="minorEastAsia"/>
                      <w:i/>
                      <w:iCs/>
                    </w:rPr>
                  </m:ctrlPr>
                </m:e>
                <m:sub>
                  <m:r>
                    <w:rPr>
                      <w:rFonts w:ascii="Cambria Math" w:hAnsi="Cambria Math" w:eastAsiaTheme="minorEastAsia"/>
                    </w:rPr>
                    <m:t>dynamic</m:t>
                  </m:r>
                  <m:ctrlPr>
                    <w:rPr>
                      <w:rFonts w:ascii="Cambria Math" w:hAnsi="Cambria Math" w:eastAsiaTheme="minorEastAsia"/>
                      <w:i/>
                      <w:iCs/>
                    </w:rPr>
                  </m:ctrlPr>
                </m:sub>
              </m:sSub>
            </m:oMath>
            <w:r>
              <w:rPr>
                <w:rFonts w:eastAsiaTheme="minorEastAsia"/>
              </w:rPr>
              <w:t xml:space="preserve"> considering RF is shared among CCs.</w:t>
            </w:r>
          </w:p>
          <w:p>
            <w:pPr>
              <w:pStyle w:val="48"/>
              <w:widowControl w:val="0"/>
              <w:numPr>
                <w:ilvl w:val="2"/>
                <w:numId w:val="23"/>
              </w:numPr>
              <w:overflowPunct/>
              <w:autoSpaceDE/>
              <w:autoSpaceDN/>
              <w:adjustRightInd/>
              <w:spacing w:after="120" w:afterLines="50" w:line="240" w:lineRule="auto"/>
              <w:ind w:left="712" w:leftChars="356"/>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Qualcomm</w:t>
            </w:r>
          </w:p>
        </w:tc>
        <w:tc>
          <w:tcPr>
            <w:tcW w:w="7970" w:type="dxa"/>
          </w:tcPr>
          <w:p>
            <w:pPr>
              <w:widowControl w:val="0"/>
              <w:rPr>
                <w:u w:val="single"/>
              </w:rPr>
            </w:pPr>
            <w:r>
              <w:rPr>
                <w:u w:val="single"/>
              </w:rPr>
              <w:t>DL</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D</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m:oMathPara>
          </w:p>
          <w:p>
            <w:pPr>
              <w:pStyle w:val="48"/>
              <w:widowControl w:val="0"/>
              <w:numPr>
                <w:ilvl w:val="0"/>
                <w:numId w:val="24"/>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oMath>
            <w:r>
              <w:rPr>
                <w:i/>
              </w:rPr>
              <w:t xml:space="preserve"> and </w:t>
            </w: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oMath>
            <w:r>
              <w:rPr>
                <w:i/>
              </w:rPr>
              <w:t xml:space="preserve"> are relative power values of micro sleep and active DL transmission based on reference configuration, respectively</w:t>
            </w:r>
          </w:p>
          <w:p>
            <w:pPr>
              <w:pStyle w:val="48"/>
              <w:widowControl w:val="0"/>
              <w:numPr>
                <w:ilvl w:val="0"/>
                <w:numId w:val="24"/>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TxRUs and the reference number of TxRUs for DL transmission</w:t>
            </w:r>
          </w:p>
          <w:p>
            <w:pPr>
              <w:pStyle w:val="48"/>
              <w:widowControl w:val="0"/>
              <w:numPr>
                <w:ilvl w:val="0"/>
                <w:numId w:val="24"/>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DL transmission</w:t>
            </w:r>
          </w:p>
          <w:p>
            <w:pPr>
              <w:pStyle w:val="48"/>
              <w:widowControl w:val="0"/>
              <w:numPr>
                <w:ilvl w:val="0"/>
                <w:numId w:val="24"/>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eastAsiaTheme="minorEastAsia"/>
                </w:rPr>
                <m:t xml:space="preserve"> </m:t>
              </m:r>
            </m:oMath>
            <w:r>
              <w:rPr>
                <w:i/>
              </w:rPr>
              <w:t>is the ratio between PSD of the actual DL transmission and PSD of the reference DL transmission.</w:t>
            </w:r>
          </w:p>
          <w:p>
            <w:pPr>
              <w:pStyle w:val="48"/>
              <w:widowControl w:val="0"/>
              <w:numPr>
                <w:ilvl w:val="0"/>
                <w:numId w:val="24"/>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 xml:space="preserve"> </m:t>
                    </m:r>
                    <m:ctrlPr>
                      <w:rPr>
                        <w:rFonts w:ascii="Cambria Math" w:hAnsi="Cambria Math"/>
                        <w:i/>
                      </w:rPr>
                    </m:ctrlP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rPr>
                    </m:ctrlPr>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pStyle w:val="48"/>
              <w:widowControl w:val="0"/>
              <w:numPr>
                <w:ilvl w:val="2"/>
                <w:numId w:val="25"/>
              </w:numPr>
              <w:spacing w:after="0"/>
              <w:rPr>
                <w:rFonts w:eastAsiaTheme="minorEastAsia"/>
                <w:i/>
              </w:rPr>
            </w:pP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MAX</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p</m:t>
                  </m:r>
                  <m:ctrlPr>
                    <w:rPr>
                      <w:rFonts w:ascii="Cambria Math" w:hAnsi="Cambria Math"/>
                      <w:i/>
                    </w:rPr>
                  </m:ctrlP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ctrlPr>
                    <w:rPr>
                      <w:rFonts w:ascii="Cambria Math" w:hAnsi="Cambria Math"/>
                      <w:i/>
                      <w:lang w:val="sv-SE"/>
                    </w:rPr>
                  </m:ctrlPr>
                </m:num>
                <m:den>
                  <m:r>
                    <w:rPr>
                      <w:rFonts w:ascii="Cambria Math" w:hAnsi="Cambria Math"/>
                      <w:lang w:val="sv-SE"/>
                    </w:rPr>
                    <m:t>β</m:t>
                  </m:r>
                  <m:ctrlPr>
                    <w:rPr>
                      <w:rFonts w:ascii="Cambria Math" w:hAnsi="Cambria Math"/>
                      <w:i/>
                      <w:lang w:val="sv-SE"/>
                    </w:rPr>
                  </m:ctrlPr>
                </m:den>
              </m:f>
            </m:oMath>
            <w:r>
              <w:rPr>
                <w:i/>
              </w:rPr>
              <w:t xml:space="preserve"> when </w:t>
            </w:r>
            <m:oMath>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oMath>
            <w:r>
              <w:rPr>
                <w:i/>
              </w:rPr>
              <w:t xml:space="preserve"> = 1</w:t>
            </w:r>
          </w:p>
          <w:p>
            <w:pPr>
              <w:pStyle w:val="48"/>
              <w:widowControl w:val="0"/>
              <w:numPr>
                <w:ilvl w:val="2"/>
                <w:numId w:val="25"/>
              </w:numPr>
              <w:spacing w:after="0"/>
              <w:rPr>
                <w:rFonts w:eastAsiaTheme="minorEastAsia"/>
                <w:i/>
              </w:rPr>
            </w:pPr>
            <m:oMath>
              <m:sSub>
                <m:sSubPr>
                  <m:ctrlPr>
                    <w:rPr>
                      <w:rFonts w:ascii="Cambria Math" w:hAnsi="Cambria Math"/>
                      <w:i/>
                    </w:rPr>
                  </m:ctrlPr>
                </m:sSubPr>
                <m:e>
                  <m:r>
                    <w:rPr>
                      <w:rFonts w:ascii="Cambria Math" w:hAnsi="Cambria Math"/>
                    </w:rPr>
                    <m:t>PAE</m:t>
                  </m:r>
                  <m:ctrlPr>
                    <w:rPr>
                      <w:rFonts w:ascii="Cambria Math" w:hAnsi="Cambria Math"/>
                      <w:i/>
                    </w:rPr>
                  </m:ctrlPr>
                </m:e>
                <m:sub>
                  <m:r>
                    <w:rPr>
                      <w:rFonts w:ascii="Cambria Math" w:hAnsi="Cambria Math"/>
                    </w:rPr>
                    <m:t>NOM</m:t>
                  </m:r>
                  <m:ctrlPr>
                    <w:rPr>
                      <w:rFonts w:ascii="Cambria Math" w:hAnsi="Cambria Math"/>
                      <w:i/>
                    </w:rPr>
                  </m:ctrlPr>
                </m:sub>
              </m:sSub>
              <m:r>
                <w:rPr>
                  <w:rFonts w:ascii="Cambria Math" w:hAnsi="Cambria Math"/>
                </w:rPr>
                <m:t xml:space="preserve">, </m:t>
              </m:r>
            </m:oMath>
            <w:r>
              <w:rPr>
                <w:i/>
              </w:rPr>
              <w:t xml:space="preserve">α and </w:t>
            </w:r>
            <m:oMath>
              <m:r>
                <w:rPr>
                  <w:rFonts w:ascii="Cambria Math" w:hAnsi="Cambria Math"/>
                </w:rPr>
                <m:t>β</m:t>
              </m:r>
            </m:oMath>
            <w:r>
              <w:rPr>
                <w:i/>
              </w:rPr>
              <w:t xml:space="preserve"> are provided in the below table</w:t>
            </w:r>
          </w:p>
          <w:p>
            <w:pPr>
              <w:pStyle w:val="48"/>
              <w:widowControl w:val="0"/>
              <w:spacing w:after="0"/>
              <w:ind w:left="845"/>
              <w:rPr>
                <w:rFonts w:eastAsiaTheme="minorEastAsia"/>
                <w:i/>
              </w:rPr>
            </w:pPr>
          </w:p>
          <w:tbl>
            <w:tblPr>
              <w:tblStyle w:val="26"/>
              <w:tblW w:w="5040" w:type="dxa"/>
              <w:jc w:val="center"/>
              <w:tblLayout w:type="autofit"/>
              <w:tblCellMar>
                <w:top w:w="0" w:type="dxa"/>
                <w:left w:w="0" w:type="dxa"/>
                <w:bottom w:w="0" w:type="dxa"/>
                <w:right w:w="0" w:type="dxa"/>
              </w:tblCellMar>
            </w:tblPr>
            <w:tblGrid>
              <w:gridCol w:w="1538"/>
              <w:gridCol w:w="1702"/>
              <w:gridCol w:w="1800"/>
            </w:tblGrid>
            <w:tr>
              <w:tblPrEx>
                <w:tblCellMar>
                  <w:top w:w="0" w:type="dxa"/>
                  <w:left w:w="0" w:type="dxa"/>
                  <w:bottom w:w="0" w:type="dxa"/>
                  <w:right w:w="0" w:type="dxa"/>
                </w:tblCellMar>
              </w:tblPrEx>
              <w:trPr>
                <w:trHeight w:val="196"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FR2</w:t>
                  </w:r>
                </w:p>
              </w:tc>
            </w:tr>
            <w:tr>
              <w:tblPrEx>
                <w:tblCellMar>
                  <w:top w:w="0" w:type="dxa"/>
                  <w:left w:w="0" w:type="dxa"/>
                  <w:bottom w:w="0" w:type="dxa"/>
                  <w:right w:w="0" w:type="dxa"/>
                </w:tblCellMar>
              </w:tblPrEx>
              <w:trPr>
                <w:trHeight w:val="133"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ctrlPr>
                            <w:rPr>
                              <w:rFonts w:ascii="Cambria Math" w:hAnsi="Cambria Math"/>
                              <w:i/>
                              <w:sz w:val="20"/>
                            </w:rPr>
                          </m:ctrlPr>
                        </m:e>
                        <m:sub>
                          <m:r>
                            <w:rPr>
                              <w:rFonts w:ascii="Cambria Math" w:hAnsi="Cambria Math"/>
                              <w:sz w:val="20"/>
                            </w:rPr>
                            <m:t>NOM</m:t>
                          </m:r>
                          <m:ctrlPr>
                            <w:rPr>
                              <w:rFonts w:ascii="Cambria Math" w:hAnsi="Cambria Math"/>
                              <w:i/>
                              <w:sz w:val="20"/>
                            </w:rPr>
                          </m:ctrlPr>
                        </m:sub>
                      </m:sSub>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[31%]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[8%]</w:t>
                  </w:r>
                </w:p>
              </w:tc>
            </w:tr>
            <w:tr>
              <w:tblPrEx>
                <w:tblCellMar>
                  <w:top w:w="0" w:type="dxa"/>
                  <w:left w:w="0" w:type="dxa"/>
                  <w:bottom w:w="0" w:type="dxa"/>
                  <w:right w:w="0" w:type="dxa"/>
                </w:tblCellMar>
              </w:tblPrEx>
              <w:trPr>
                <w:trHeight w:val="151"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w:rPr>
                          <w:rFonts w:ascii="Cambria Math" w:hAnsi="Cambria Math"/>
                          <w:sz w:val="20"/>
                        </w:rPr>
                        <m:t>α</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[0.24]</w:t>
                  </w:r>
                </w:p>
              </w:tc>
            </w:tr>
            <w:tr>
              <w:tblPrEx>
                <w:tblCellMar>
                  <w:top w:w="0" w:type="dxa"/>
                  <w:left w:w="0" w:type="dxa"/>
                  <w:bottom w:w="0" w:type="dxa"/>
                  <w:right w:w="0" w:type="dxa"/>
                </w:tblCellMar>
              </w:tblPrEx>
              <w:trPr>
                <w:trHeight w:val="20"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w:rPr>
                          <w:rFonts w:ascii="Cambria Math" w:hAnsi="Cambria Math"/>
                          <w:sz w:val="20"/>
                        </w:rPr>
                        <m:t>β</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[0.025]</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[0.01]</w:t>
                  </w:r>
                </w:p>
              </w:tc>
            </w:tr>
          </w:tbl>
          <w:p>
            <w:pPr>
              <w:pStyle w:val="48"/>
              <w:widowControl w:val="0"/>
              <w:tabs>
                <w:tab w:val="left" w:pos="360"/>
              </w:tabs>
              <w:overflowPunct/>
              <w:snapToGrid w:val="0"/>
              <w:spacing w:after="120"/>
              <w:jc w:val="both"/>
              <w:textAlignment w:val="auto"/>
            </w:pPr>
          </w:p>
          <w:p>
            <w:pPr>
              <w:widowControl w:val="0"/>
              <w:tabs>
                <w:tab w:val="left" w:pos="360"/>
              </w:tabs>
              <w:rPr>
                <w:u w:val="single"/>
              </w:rPr>
            </w:pPr>
            <w:r>
              <w:rPr>
                <w:u w:val="single"/>
              </w:rPr>
              <w:t>UL</w:t>
            </w:r>
          </w:p>
          <w:p>
            <w:pPr>
              <w:widowControl w:val="0"/>
              <w:tabs>
                <w:tab w:val="left" w:pos="360"/>
              </w:tabs>
              <w:rPr>
                <w:i/>
              </w:rPr>
            </w:pPr>
            <w:r>
              <w:rPr>
                <w:i/>
              </w:rPr>
              <w:t>Power consumption of an active UL reception is adapted in spatial and frequency domain as</w:t>
            </w:r>
          </w:p>
          <w:p>
            <w:pPr>
              <w:widowControl w:val="0"/>
              <w:rPr>
                <w:rFonts w:eastAsiaTheme="minorEastAsia"/>
                <w:i/>
              </w:rPr>
            </w:pPr>
            <m:oMathPara>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U</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r>
                  <w:rPr>
                    <w:rFonts w:ascii="Cambria Math" w:hAnsi="Cambria Math" w:eastAsiaTheme="minorEastAsia"/>
                  </w:rPr>
                  <m:t>=</m:t>
                </m:r>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0.1</m:t>
                        </m:r>
                        <m:ctrlPr>
                          <w:rPr>
                            <w:rFonts w:ascii="Cambria Math" w:hAnsi="Cambria Math" w:eastAsiaTheme="minorEastAsia"/>
                            <w:i/>
                          </w:rPr>
                        </m:ctrlPr>
                      </m:e>
                    </m:d>
                    <m:r>
                      <w:rPr>
                        <w:rFonts w:ascii="Cambria Math" w:hAnsi="Cambria Math" w:eastAsiaTheme="minorEastAsia"/>
                      </w:rPr>
                      <m:t>+[0.9]</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ctrlPr>
                      <w:rPr>
                        <w:rFonts w:ascii="Cambria Math" w:hAnsi="Cambria Math" w:eastAsiaTheme="minorEastAsia"/>
                        <w:i/>
                      </w:rPr>
                    </m:ctrlPr>
                  </m:e>
                </m:d>
                <m:d>
                  <m:dPr>
                    <m:ctrlPr>
                      <w:rPr>
                        <w:rFonts w:ascii="Cambria Math" w:hAnsi="Cambria Math" w:eastAsiaTheme="minorEastAsia"/>
                        <w:i/>
                      </w:rPr>
                    </m:ctrlPr>
                  </m:dPr>
                  <m:e>
                    <m:d>
                      <m:dPr>
                        <m:begChr m:val="["/>
                        <m:endChr m:val="]"/>
                        <m:ctrlPr>
                          <w:rPr>
                            <w:rFonts w:ascii="Cambria Math" w:hAnsi="Cambria Math" w:eastAsiaTheme="minorEastAsia"/>
                            <w:i/>
                          </w:rPr>
                        </m:ctrlPr>
                      </m:dPr>
                      <m:e>
                        <m:r>
                          <w:rPr>
                            <w:rFonts w:ascii="Cambria Math" w:hAnsi="Cambria Math" w:eastAsiaTheme="minorEastAsia"/>
                          </w:rPr>
                          <m:t>0.8</m:t>
                        </m:r>
                        <m:ctrlPr>
                          <w:rPr>
                            <w:rFonts w:ascii="Cambria Math" w:hAnsi="Cambria Math" w:eastAsiaTheme="minorEastAsia"/>
                            <w:i/>
                          </w:rPr>
                        </m:ctrlPr>
                      </m:e>
                    </m:d>
                    <m:r>
                      <w:rPr>
                        <w:rFonts w:ascii="Cambria Math" w:hAnsi="Cambria Math" w:eastAsiaTheme="minorEastAsia"/>
                      </w:rPr>
                      <m:t>+[0.2]</m:t>
                    </m:r>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m:oMathPara>
          </w:p>
          <w:p>
            <w:pPr>
              <w:pStyle w:val="48"/>
              <w:widowControl w:val="0"/>
              <w:numPr>
                <w:ilvl w:val="0"/>
                <w:numId w:val="26"/>
              </w:numPr>
              <w:overflowPunct/>
              <w:snapToGrid w:val="0"/>
              <w:spacing w:after="0"/>
              <w:jc w:val="both"/>
              <w:textAlignment w:val="auto"/>
              <w:rPr>
                <w:rFonts w:eastAsiaTheme="minorEastAsia"/>
                <w:i/>
              </w:rPr>
            </w:pPr>
            <m:oMath>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5</m:t>
                  </m:r>
                  <m:ctrlPr>
                    <w:rPr>
                      <w:rFonts w:ascii="Cambria Math" w:hAnsi="Cambria Math" w:eastAsiaTheme="minorEastAsia"/>
                      <w:i/>
                    </w:rPr>
                  </m:ctrlPr>
                </m:sub>
              </m:sSub>
            </m:oMath>
            <w:r>
              <w:rPr>
                <w:rFonts w:eastAsiaTheme="minorEastAsia"/>
                <w:i/>
              </w:rPr>
              <w:t xml:space="preserve"> is the power consumption of the active UL reception based on the reference configuration.</w:t>
            </w:r>
          </w:p>
          <w:p>
            <w:pPr>
              <w:pStyle w:val="48"/>
              <w:widowControl w:val="0"/>
              <w:numPr>
                <w:ilvl w:val="0"/>
                <w:numId w:val="26"/>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RxRUs and the reference number of RxRUs for UL reception</w:t>
            </w:r>
          </w:p>
          <w:p>
            <w:pPr>
              <w:pStyle w:val="48"/>
              <w:widowControl w:val="0"/>
              <w:numPr>
                <w:ilvl w:val="0"/>
                <w:numId w:val="26"/>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r>
                <w:rPr>
                  <w:rFonts w:ascii="Cambria Math" w:hAnsi="Cambria Math" w:eastAsiaTheme="minorEastAsia"/>
                </w:rPr>
                <m:t xml:space="preserve"> </m:t>
              </m:r>
            </m:oMath>
            <w:r>
              <w:rPr>
                <w:i/>
              </w:rPr>
              <w:t>is the ratio between the actual number of frequency resources and the reference number of frequency resources for UL reception.</w:t>
            </w:r>
          </w:p>
          <w:p>
            <w:pPr>
              <w:widowControl w:val="0"/>
              <w:rPr>
                <w:i/>
                <w:lang w:eastAsia="en-US"/>
              </w:rPr>
            </w:pPr>
            <w:r>
              <w:rPr>
                <w:i/>
                <w:lang w:eastAsia="en-US"/>
              </w:rPr>
              <w:t>For CA,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pPr>
              <w:pStyle w:val="48"/>
              <w:widowControl w:val="0"/>
              <w:numPr>
                <w:ilvl w:val="1"/>
                <w:numId w:val="27"/>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pPr>
              <w:widowControl w:val="0"/>
              <w:rPr>
                <w:b/>
                <w:i/>
                <w:lang w:eastAsia="en-US"/>
              </w:rPr>
            </w:pPr>
            <w:r>
              <w:rPr>
                <w:i/>
                <w:lang w:eastAsia="en-US"/>
              </w:rPr>
              <w:t>For multi-TRP,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pPr>
        <w:spacing w:after="0"/>
      </w:pPr>
    </w:p>
    <w:p>
      <w:pPr>
        <w:pStyle w:val="4"/>
      </w:pPr>
      <w:r>
        <w:t>Initial round</w:t>
      </w:r>
    </w:p>
    <w:p>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dynamic</m:t>
            </m:r>
            <m:ctrlPr>
              <w:rPr>
                <w:rFonts w:ascii="Cambria Math" w:hAnsi="Cambria Math"/>
                <w:i/>
                <w:iCs/>
              </w:rPr>
            </m:ctrlP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pPr>
        <w:spacing w:after="0"/>
      </w:pP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2.4.1:</w:t>
            </w:r>
          </w:p>
          <w:p>
            <w:pPr>
              <w:pStyle w:val="48"/>
              <w:widowControl/>
              <w:numPr>
                <w:ilvl w:val="0"/>
                <w:numId w:val="9"/>
              </w:numPr>
              <w:spacing w:after="0"/>
              <w:rPr>
                <w:b/>
              </w:rPr>
            </w:pPr>
            <w:r>
              <w:rPr>
                <w:b/>
              </w:rPr>
              <w:t>The BS power consumption in a slot is provided by</w:t>
            </w:r>
          </w:p>
          <w:p>
            <w:pPr>
              <w:pStyle w:val="48"/>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pPr>
              <w:pStyle w:val="48"/>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power for BS in active, which is not scaled based on reference configurations. </w:t>
            </w:r>
          </w:p>
          <w:p>
            <w:pPr>
              <w:pStyle w:val="48"/>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3</m:t>
                  </m:r>
                  <m:ctrlPr>
                    <w:rPr>
                      <w:rFonts w:ascii="Cambria Math" w:hAnsi="Cambria Math"/>
                      <w:i/>
                      <w:iCs/>
                      <w:lang w:eastAsia="zh-CN"/>
                    </w:rPr>
                  </m:ctrlPr>
                </m:sub>
              </m:sSub>
            </m:oMath>
          </w:p>
          <w:p>
            <w:pPr>
              <w:pStyle w:val="48"/>
              <w:widowControl/>
              <w:numPr>
                <w:ilvl w:val="3"/>
                <w:numId w:val="9"/>
              </w:numPr>
              <w:rPr>
                <w:rFonts w:eastAsia="Malgun Gothic"/>
                <w:iCs/>
                <w:lang w:eastAsia="zh-CN"/>
              </w:rPr>
            </w:pPr>
            <w:r>
              <w:rPr>
                <w:rFonts w:eastAsia="Malgun Gothic"/>
                <w:iCs/>
                <w:lang w:eastAsia="zh-CN"/>
              </w:rPr>
              <w:t>Other values can be optionally reported</w:t>
            </w:r>
          </w:p>
          <w:p>
            <w:pPr>
              <w:pStyle w:val="48"/>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rPr>
                    <m:t>=s</m:t>
                  </m:r>
                  <m:ctrlPr>
                    <w:rPr>
                      <w:rFonts w:ascii="Cambria Math" w:hAnsi="Cambria Math"/>
                      <w:i/>
                      <w:iCs/>
                    </w:rPr>
                  </m:ctrlPr>
                </m:e>
                <m:sub>
                  <m:r>
                    <w:rPr>
                      <w:rFonts w:ascii="Cambria Math" w:hAnsi="Cambria Math"/>
                    </w:rPr>
                    <m:t>a</m:t>
                  </m:r>
                  <m:ctrlPr>
                    <w:rPr>
                      <w:rFonts w:ascii="Cambria Math" w:hAnsi="Cambria Math"/>
                      <w:i/>
                      <w:iCs/>
                    </w:rPr>
                  </m:ctrlP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iCs/>
                        </w:rPr>
                      </m:ctrlPr>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w:rPr>
                      <w:rFonts w:ascii="Cambria Math" w:hAnsi="Cambria Math"/>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i/>
                      <w:iCs/>
                    </w:rPr>
                  </m:ctrlPr>
                </m:e>
              </m:d>
            </m:oMath>
            <w:r>
              <w:rPr>
                <w:rFonts w:hint="eastAsia" w:eastAsia="Malgun Gothic"/>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pPr>
              <w:pStyle w:val="48"/>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8"/>
              <w:widowControl/>
              <w:numPr>
                <w:ilvl w:val="4"/>
                <w:numId w:val="9"/>
              </w:numPr>
              <w:rPr>
                <w:b/>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pPr>
              <w:pStyle w:val="48"/>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pPr>
              <w:pStyle w:val="48"/>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4</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val="0"/>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  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e>
                      </m:d>
                      <m:ctrlPr>
                        <w:rPr>
                          <w:rFonts w:ascii="Cambria Math" w:hAnsi="Cambria Math"/>
                          <w:b/>
                          <w:i/>
                          <w:iCs/>
                          <w:sz w:val="21"/>
                        </w:rPr>
                      </m:ctrlPr>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ctrlPr>
                    <w:rPr>
                      <w:rFonts w:ascii="Cambria Math" w:hAnsi="Cambria Math"/>
                      <w:b/>
                      <w:i/>
                      <w:iCs/>
                      <w:sz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w:rPr>
                      <w:rFonts w:ascii="Cambria Math" w:hAnsi="Cambria Math" w:eastAsiaTheme="minorEastAsia"/>
                    </w:rPr>
                    <m:t>s</m:t>
                  </m:r>
                  <m:ctrlPr>
                    <w:rPr>
                      <w:rFonts w:ascii="Cambria Math" w:hAnsi="Cambria Math" w:eastAsiaTheme="minorEastAsia"/>
                      <w:i/>
                    </w:rPr>
                  </m:ctrlPr>
                </m:e>
                <m:sub>
                  <m:r>
                    <w:rPr>
                      <w:rFonts w:ascii="Cambria Math" w:hAnsi="Cambria Math" w:eastAsiaTheme="minorEastAsia"/>
                    </w:rPr>
                    <m:t>p</m:t>
                  </m:r>
                  <m:ctrlPr>
                    <w:rPr>
                      <w:rFonts w:ascii="Cambria Math" w:hAnsi="Cambria Math" w:eastAsiaTheme="minorEastAsia"/>
                      <w:i/>
                    </w:rPr>
                  </m:ctrlP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ctrlPr>
                        <w:rPr>
                          <w:rFonts w:ascii="Cambria Math" w:hAnsi="Cambria Math"/>
                          <w:i/>
                        </w:rPr>
                      </m:ctrlPr>
                    </m:e>
                    <m:sub>
                      <m:r>
                        <w:rPr>
                          <w:rFonts w:ascii="Cambria Math" w:hAnsi="Cambria Math"/>
                        </w:rPr>
                        <m:t>f</m:t>
                      </m:r>
                      <m:ctrlPr>
                        <w:rPr>
                          <w:rFonts w:ascii="Cambria Math" w:hAnsi="Cambria Math"/>
                          <w:i/>
                        </w:rPr>
                      </m:ctrlPr>
                    </m:sub>
                  </m:sSub>
                  <m:sSub>
                    <m:sSubPr>
                      <m:ctrlPr>
                        <w:rPr>
                          <w:rFonts w:ascii="Cambria Math" w:hAnsi="Cambria Math"/>
                          <w:i/>
                        </w:rPr>
                      </m:ctrlPr>
                    </m:sSubPr>
                    <m:e>
                      <m:r>
                        <w:rPr>
                          <w:rFonts w:ascii="Cambria Math" w:hAnsi="Cambria Math"/>
                        </w:rPr>
                        <m:t>, s</m:t>
                      </m:r>
                      <m:ctrlPr>
                        <w:rPr>
                          <w:rFonts w:ascii="Cambria Math" w:hAnsi="Cambria Math"/>
                          <w:i/>
                        </w:rPr>
                      </m:ctrlPr>
                    </m:e>
                    <m:sub>
                      <m: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4</m:t>
                      </m:r>
                      <m:ctrlPr>
                        <w:rPr>
                          <w:rFonts w:ascii="Cambria Math" w:hAnsi="Cambria Math" w:eastAsiaTheme="minorEastAsia"/>
                          <w:i/>
                        </w:rPr>
                      </m:ctrlP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P</m:t>
                      </m:r>
                      <m:ctrlPr>
                        <w:rPr>
                          <w:rFonts w:ascii="Cambria Math" w:hAnsi="Cambria Math" w:eastAsiaTheme="minorEastAsia"/>
                          <w:i/>
                        </w:rPr>
                      </m:ctrlPr>
                    </m:e>
                    <m:sub>
                      <m: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hint="eastAsia" w:eastAsiaTheme="minorEastAsia"/>
              </w:rPr>
              <w:t xml:space="preserve"> is the ratio between a reference PA efficiency and actual PA efficiency</w:t>
            </w:r>
            <w:r>
              <w:rPr>
                <w:rFonts w:eastAsiaTheme="minorEastAsia"/>
              </w:rPr>
              <w:t>, up to company report</w:t>
            </w:r>
          </w:p>
          <w:p>
            <w:pPr>
              <w:pStyle w:val="48"/>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ctrlPr>
                        <w:rPr>
                          <w:rFonts w:ascii="Cambria Math" w:hAnsi="Cambria Math"/>
                          <w:bCs/>
                          <w:i/>
                        </w:rPr>
                      </m:ctrlPr>
                    </m:e>
                    <m:sub>
                      <m:r>
                        <w:rPr>
                          <w:rFonts w:ascii="Cambria Math" w:hAnsi="Cambria Math"/>
                        </w:rPr>
                        <m:t>a</m:t>
                      </m:r>
                      <m:ctrlPr>
                        <w:rPr>
                          <w:rFonts w:ascii="Cambria Math" w:hAnsi="Cambria Math"/>
                          <w:bCs/>
                          <w:i/>
                        </w:rPr>
                      </m:ctrlPr>
                    </m:sub>
                  </m:sSub>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p>
          <w:p>
            <w:pPr>
              <w:pStyle w:val="48"/>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r>
                <w:rPr>
                  <w:rFonts w:ascii="Cambria Math" w:hAnsi="Cambria Math"/>
                </w:rPr>
                <m:t>=1</m:t>
              </m:r>
            </m:oMath>
          </w:p>
          <w:p>
            <w:pPr>
              <w:pStyle w:val="48"/>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5</m:t>
                  </m:r>
                  <m:ctrlPr>
                    <w:rPr>
                      <w:rFonts w:ascii="Cambria Math" w:hAnsi="Cambria Math"/>
                      <w:i/>
                      <w:iCs/>
                      <w:lang w:eastAsia="zh-CN"/>
                    </w:rPr>
                  </m:ctrlP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a</m:t>
                  </m:r>
                  <m:ctrlPr>
                    <w:rPr>
                      <w:rFonts w:ascii="Cambria Math" w:hAnsi="Cambria Math"/>
                      <w:i/>
                      <w:iCs/>
                      <w:lang w:eastAsia="zh-CN"/>
                    </w:rPr>
                  </m:ctrlPr>
                </m:sub>
              </m:sSub>
              <m:r>
                <w:rPr>
                  <w:rFonts w:ascii="Cambria Math" w:hAnsi="Cambria Math"/>
                  <w:lang w:eastAsia="zh-CN"/>
                </w:rPr>
                <m:t>=1</m:t>
              </m:r>
            </m:oMath>
            <w:r>
              <w:rPr>
                <w:rFonts w:eastAsia="Malgun Gothic"/>
                <w:iCs/>
                <w:lang w:eastAsia="zh-CN"/>
              </w:rPr>
              <w:t>.</w:t>
            </w:r>
          </w:p>
          <w:p>
            <w:pPr>
              <w:pStyle w:val="48"/>
              <w:widowControl w:val="0"/>
              <w:numPr>
                <w:ilvl w:val="1"/>
                <w:numId w:val="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 xml:space="preserve">ch CC; for intra-band with contiguous CCs, the power consumption of each additional CC is scaled by [0.75]. </w:t>
            </w:r>
          </w:p>
          <w:p>
            <w:pPr>
              <w:pStyle w:val="48"/>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hint="eastAsia" w:eastAsia="Malgun Gothic"/>
                <w:lang w:eastAsia="ko-KR"/>
              </w:rPr>
              <w:t>the</w:t>
            </w:r>
            <w:r>
              <w:rPr>
                <w:rFonts w:eastAsia="Malgun Gothic"/>
                <w:lang w:eastAsia="ko-KR"/>
              </w:rPr>
              <w:t xml:space="preserve"> total</w:t>
            </w:r>
            <w:r>
              <w:rPr>
                <w:rFonts w:hint="eastAsia" w:eastAsia="Malgun Gothic"/>
                <w:lang w:eastAsia="ko-KR"/>
              </w:rPr>
              <w:t xml:space="preserve"> 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 xml:space="preserve">s assumed as </w:t>
            </w:r>
            <w:r>
              <w:t>the sum of the power consumption of each TRP</w:t>
            </w:r>
          </w:p>
          <w:p>
            <w:pPr>
              <w:pStyle w:val="48"/>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pPr>
              <w:pStyle w:val="48"/>
              <w:widowControl/>
              <w:numPr>
                <w:ilvl w:val="1"/>
                <w:numId w:val="9"/>
              </w:numPr>
              <w:rPr>
                <w:rFonts w:eastAsiaTheme="minorEastAsia"/>
              </w:rPr>
            </w:pPr>
            <w:r>
              <w:rPr>
                <w:rFonts w:eastAsia="Malgun Gothic"/>
                <w:iCs/>
                <w:lang w:eastAsia="zh-CN"/>
              </w:rPr>
              <w:t>Other scaling, e.g. cell-load dependent scaling can also be reported.</w:t>
            </w:r>
          </w:p>
          <w:p>
            <w:pPr>
              <w:pStyle w:val="48"/>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ctrlPr>
                        <w:rPr>
                          <w:rFonts w:ascii="Cambria Math" w:hAnsi="Cambria Math"/>
                          <w:i/>
                          <w:iCs/>
                          <w:lang w:eastAsia="zh-CN"/>
                        </w:rPr>
                      </m:ctrlPr>
                    </m:e>
                    <m:sub>
                      <m: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w:rPr>
                          <w:rFonts w:ascii="Cambria Math" w:hAnsi="Cambria Math"/>
                          <w:lang w:eastAsia="zh-CN"/>
                        </w:rPr>
                        <m:t>,  s</m:t>
                      </m:r>
                      <m:ctrlPr>
                        <w:rPr>
                          <w:rFonts w:ascii="Cambria Math" w:hAnsi="Cambria Math"/>
                          <w:i/>
                          <w:iCs/>
                          <w:lang w:eastAsia="zh-CN"/>
                        </w:rPr>
                      </m:ctrlPr>
                    </m:e>
                    <m:sub>
                      <m: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proposed in Alt 3 also captured in the LS</w:t>
            </w:r>
            <w:r>
              <w:rPr>
                <w:rFonts w:eastAsiaTheme="minorEastAsia"/>
              </w:rPr>
              <w:t>.</w:t>
            </w:r>
          </w:p>
          <w:p>
            <w:pPr>
              <w:widowControl w:val="0"/>
              <w:spacing w:after="0"/>
              <w:rPr>
                <w:rFonts w:eastAsiaTheme="minorEastAsia"/>
                <w:lang w:val="en-GB"/>
              </w:rPr>
            </w:pP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in general fine with the framework and proposal, with the following detailed comme</w:t>
            </w:r>
            <w:r>
              <w:rPr>
                <w:rFonts w:hint="eastAsia" w:eastAsiaTheme="minorEastAsia"/>
              </w:rPr>
              <w:t>nts</w:t>
            </w:r>
            <w:r>
              <w:rPr>
                <w:rFonts w:eastAsiaTheme="minorEastAsia"/>
              </w:rPr>
              <w:t>:</w:t>
            </w:r>
          </w:p>
          <w:p>
            <w:pPr>
              <w:pStyle w:val="48"/>
              <w:widowControl w:val="0"/>
              <w:numPr>
                <w:ilvl w:val="0"/>
                <w:numId w:val="28"/>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hint="eastAsia" w:eastAsiaTheme="minor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hint="eastAsia" w:eastAsiaTheme="minorEastAsia"/>
                <w:lang w:eastAsia="zh-CN"/>
              </w:rPr>
              <w:t xml:space="preserve"> </w:t>
            </w:r>
            <w:r>
              <w:rPr>
                <w:rFonts w:eastAsiaTheme="minorEastAsia"/>
                <w:lang w:eastAsia="zh-CN"/>
              </w:rPr>
              <w:t>in the evaluation. We are fine to keep 0.34 and 1 as typical PA efficiency values;</w:t>
            </w:r>
          </w:p>
          <w:p>
            <w:pPr>
              <w:pStyle w:val="48"/>
              <w:widowControl w:val="0"/>
              <w:numPr>
                <w:ilvl w:val="0"/>
                <w:numId w:val="28"/>
              </w:numPr>
              <w:spacing w:after="0"/>
              <w:rPr>
                <w:rFonts w:eastAsiaTheme="minorEastAsia"/>
              </w:rPr>
            </w:pPr>
            <w:r>
              <w:rPr>
                <w:rFonts w:eastAsiaTheme="minorEastAsia"/>
                <w:lang w:eastAsia="zh-CN"/>
              </w:rPr>
              <w:t xml:space="preserve">Antenna adaptation delay may or may not zero depends on whether fall into micro sleep. Therefore, </w:t>
            </w:r>
          </w:p>
          <w:p>
            <w:pPr>
              <w:pStyle w:val="48"/>
              <w:widowControl w:val="0"/>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pPr>
              <w:pStyle w:val="48"/>
              <w:widowControl w:val="0"/>
              <w:numPr>
                <w:ilvl w:val="0"/>
                <w:numId w:val="28"/>
              </w:numPr>
              <w:spacing w:after="0"/>
              <w:rPr>
                <w:rFonts w:eastAsiaTheme="minorEastAsia"/>
              </w:rPr>
            </w:pPr>
            <w:r>
              <w:rPr>
                <w:rFonts w:eastAsiaTheme="minorEastAsia"/>
                <w:lang w:eastAsia="zh-CN"/>
              </w:rPr>
              <w:t>For intra-band CC, we think the value of 0.65 would be more accurate.</w:t>
            </w:r>
          </w:p>
          <w:p>
            <w:pPr>
              <w:pStyle w:val="48"/>
              <w:widowControl w:val="0"/>
              <w:numPr>
                <w:ilvl w:val="1"/>
                <w:numId w:val="28"/>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Malgun Gothic"/>
                <w:lang w:eastAsia="ko-KR"/>
              </w:rPr>
            </w:pPr>
            <w:r>
              <w:rPr>
                <w:rFonts w:hint="eastAsia" w:eastAsia="Malgun Gothic"/>
                <w:lang w:eastAsia="ko-KR"/>
              </w:rPr>
              <w:t xml:space="preserve">We are generally fine with the proposal but </w:t>
            </w:r>
            <w:r>
              <w:rPr>
                <w:rFonts w:eastAsia="Malgun Gothic"/>
                <w:lang w:eastAsia="ko-KR"/>
              </w:rPr>
              <w:t>we would like to clarify the follows</w:t>
            </w:r>
            <w:r>
              <w:rPr>
                <w:rFonts w:hint="eastAsia" w:eastAsia="Malgun Gothic"/>
                <w:lang w:eastAsia="ko-KR"/>
              </w:rPr>
              <w:t>.</w:t>
            </w:r>
          </w:p>
          <w:p>
            <w:pPr>
              <w:pStyle w:val="48"/>
              <w:widowControl w:val="0"/>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hAnsi="Cambria Math" w:eastAsia="Malgun Gothic"/>
                      <w:bCs/>
                      <w:i/>
                      <w:lang w:eastAsia="ko-KR"/>
                    </w:rPr>
                  </m:ctrlPr>
                </m:sSubSup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r>
                <w:rPr>
                  <w:rFonts w:ascii="Cambria Math" w:hAnsi="Cambria Math" w:eastAsia="Malgun Gothic"/>
                  <w:lang w:eastAsia="ko-KR"/>
                </w:rPr>
                <m:t>=1</m:t>
              </m:r>
            </m:oMath>
            <w:r>
              <w:rPr>
                <w:rFonts w:eastAsia="Malgun Gothic"/>
                <w:lang w:eastAsia="ko-KR"/>
              </w:rPr>
              <w:t xml:space="preserve"> in </w:t>
            </w:r>
            <m:oMath>
              <m:sSubSup>
                <m:sSubSupPr>
                  <m:ctrlPr>
                    <w:rPr>
                      <w:rFonts w:ascii="Cambria Math" w:hAnsi="Cambria Math" w:eastAsia="Malgun Gothic"/>
                      <w:i/>
                      <w:iCs/>
                      <w:lang w:eastAsia="ko-KR"/>
                    </w:rPr>
                  </m:ctrlPr>
                </m:sSubSupPr>
                <m:e>
                  <m:r>
                    <w:rPr>
                      <w:rFonts w:ascii="Cambria Math" w:hAnsi="Cambria Math" w:eastAsia="Malgun Gothic"/>
                      <w:lang w:eastAsia="ko-KR"/>
                    </w:rPr>
                    <m:t>P</m:t>
                  </m:r>
                  <m:ctrlPr>
                    <w:rPr>
                      <w:rFonts w:ascii="Cambria Math" w:hAnsi="Cambria Math" w:eastAsia="Malgun Gothic"/>
                      <w:i/>
                      <w:iCs/>
                      <w:lang w:eastAsia="ko-KR"/>
                    </w:rPr>
                  </m:ctrlPr>
                </m:e>
                <m:sub>
                  <m:r>
                    <w:rPr>
                      <w:rFonts w:ascii="Cambria Math" w:hAnsi="Cambria Math" w:eastAsia="Malgun Gothic"/>
                      <w:lang w:eastAsia="ko-KR"/>
                    </w:rPr>
                    <m:t>dynamic</m:t>
                  </m:r>
                  <m:ctrlPr>
                    <w:rPr>
                      <w:rFonts w:ascii="Cambria Math" w:hAnsi="Cambria Math" w:eastAsia="Malgun Gothic"/>
                      <w:i/>
                      <w:iCs/>
                      <w:lang w:eastAsia="ko-KR"/>
                    </w:rPr>
                  </m:ctrlPr>
                </m:sub>
                <m:sup>
                  <m:r>
                    <w:rPr>
                      <w:rFonts w:ascii="Cambria Math" w:hAnsi="Cambria Math" w:eastAsia="Malgun Gothic"/>
                      <w:lang w:eastAsia="ko-KR"/>
                    </w:rPr>
                    <m:t>UL</m:t>
                  </m:r>
                  <m:ctrlPr>
                    <w:rPr>
                      <w:rFonts w:ascii="Cambria Math" w:hAnsi="Cambria Math" w:eastAsia="Malgun Gothic"/>
                      <w:i/>
                      <w:iCs/>
                      <w:lang w:eastAsia="ko-KR"/>
                    </w:rPr>
                  </m:ctrlPr>
                </m:sup>
              </m:sSubSup>
              <m:r>
                <w:rPr>
                  <w:rFonts w:ascii="Cambria Math" w:hAnsi="Cambria Math" w:eastAsia="Malgun Gothic"/>
                  <w:lang w:eastAsia="ko-KR"/>
                </w:rPr>
                <m:t>=</m:t>
              </m:r>
              <m:sSubSup>
                <m:sSubSupPr>
                  <m:ctrlPr>
                    <w:rPr>
                      <w:rFonts w:ascii="Cambria Math" w:hAnsi="Cambria Math" w:eastAsia="Malgun Gothic"/>
                      <w:bCs/>
                      <w:i/>
                      <w:lang w:eastAsia="ko-KR"/>
                    </w:rPr>
                  </m:ctrlPr>
                </m:sSubSupPr>
                <m:e>
                  <m:sSub>
                    <m:sSubPr>
                      <m:ctrlPr>
                        <w:rPr>
                          <w:rFonts w:ascii="Cambria Math" w:hAnsi="Cambria Math" w:eastAsia="Malgun Gothic"/>
                          <w:bCs/>
                          <w:i/>
                          <w:lang w:eastAsia="ko-KR"/>
                        </w:rPr>
                      </m:ctrlPr>
                    </m:sSubPr>
                    <m:e>
                      <m:r>
                        <w:rPr>
                          <w:rFonts w:ascii="Cambria Math" w:hAnsi="Cambria Math" w:eastAsia="Malgun Gothic"/>
                          <w:lang w:eastAsia="ko-KR"/>
                        </w:rPr>
                        <m:t>s</m:t>
                      </m:r>
                      <m:ctrlPr>
                        <w:rPr>
                          <w:rFonts w:ascii="Cambria Math" w:hAnsi="Cambria Math" w:eastAsia="Malgun Gothic"/>
                          <w:bCs/>
                          <w:i/>
                          <w:lang w:eastAsia="ko-KR"/>
                        </w:rPr>
                      </m:ctrlPr>
                    </m:e>
                    <m:sub>
                      <m:r>
                        <w:rPr>
                          <w:rFonts w:ascii="Cambria Math" w:hAnsi="Cambria Math" w:eastAsia="Malgun Gothic"/>
                          <w:lang w:eastAsia="ko-KR"/>
                        </w:rPr>
                        <m:t>a</m:t>
                      </m:r>
                      <m:ctrlPr>
                        <w:rPr>
                          <w:rFonts w:ascii="Cambria Math" w:hAnsi="Cambria Math" w:eastAsia="Malgun Gothic"/>
                          <w:bCs/>
                          <w:i/>
                          <w:lang w:eastAsia="ko-KR"/>
                        </w:rPr>
                      </m:ctrlPr>
                    </m:sub>
                  </m:sSub>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dyn,ante</m:t>
                  </m:r>
                  <m:ctrlPr>
                    <w:rPr>
                      <w:rFonts w:ascii="Cambria Math" w:hAnsi="Cambria Math" w:eastAsia="Malgun Gothic"/>
                      <w:bCs/>
                      <w:i/>
                      <w:lang w:eastAsia="ko-KR"/>
                    </w:rPr>
                  </m:ctrlPr>
                </m:sub>
                <m:sup>
                  <m:r>
                    <w:rPr>
                      <w:rFonts w:ascii="Cambria Math" w:hAnsi="Cambria Math" w:eastAsia="Malgun Gothic"/>
                      <w:lang w:eastAsia="ko-KR"/>
                    </w:rPr>
                    <m:t>UL</m:t>
                  </m:r>
                  <m:ctrlPr>
                    <w:rPr>
                      <w:rFonts w:ascii="Cambria Math" w:hAnsi="Cambria Math" w:eastAsia="Malgun Gothic"/>
                      <w:bCs/>
                      <w:i/>
                      <w:lang w:eastAsia="ko-KR"/>
                    </w:rPr>
                  </m:ctrlPr>
                </m:sup>
              </m:sSubSup>
            </m:oMath>
            <w:r>
              <w:rPr>
                <w:rFonts w:eastAsia="Malgun Gothic"/>
                <w:bCs/>
                <w:lang w:eastAsia="ko-KR"/>
              </w:rPr>
              <w:t>?</w:t>
            </w:r>
          </w:p>
          <w:p>
            <w:pPr>
              <w:pStyle w:val="48"/>
              <w:widowControl w:val="0"/>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pPr>
              <w:pStyle w:val="48"/>
              <w:widowControl w:val="0"/>
              <w:numPr>
                <w:ilvl w:val="1"/>
                <w:numId w:val="9"/>
              </w:numPr>
              <w:spacing w:after="0"/>
              <w:rPr>
                <w:rFonts w:eastAsia="Malgun Gothic"/>
                <w:lang w:eastAsia="ko-KR"/>
              </w:rPr>
            </w:pPr>
            <w:r>
              <w:rPr>
                <w:rFonts w:eastAsia="Malgun Gothic"/>
                <w:lang w:eastAsia="ko-KR"/>
              </w:rPr>
              <w:t>Which formula Alt 3 in the last bullet refers to?</w:t>
            </w:r>
          </w:p>
          <w:p>
            <w:pPr>
              <w:widowControl w:val="0"/>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ctrlPr>
                        <w:rPr>
                          <w:rFonts w:ascii="Cambria Math" w:hAnsi="Cambria Math"/>
                          <w:i/>
                          <w:iCs/>
                        </w:rPr>
                      </m:ctrlPr>
                    </m:e>
                    <m:sub>
                      <m:r>
                        <w:rPr>
                          <w:rFonts w:ascii="Cambria Math" w:hAnsi="Cambria Math"/>
                        </w:rPr>
                        <m:t>f</m:t>
                      </m:r>
                      <m:ctrlPr>
                        <w:rPr>
                          <w:rFonts w:ascii="Cambria Math" w:hAnsi="Cambria Math"/>
                          <w:i/>
                          <w:iCs/>
                        </w:rPr>
                      </m:ctrlPr>
                    </m:sub>
                  </m:sSub>
                  <m:sSub>
                    <m:sSubPr>
                      <m:ctrlPr>
                        <w:rPr>
                          <w:rFonts w:ascii="Cambria Math" w:hAnsi="Cambria Math"/>
                          <w:i/>
                          <w:iCs/>
                        </w:rPr>
                      </m:ctrlPr>
                    </m:sSubPr>
                    <m:e>
                      <m:r>
                        <w:rPr>
                          <w:rFonts w:ascii="Cambria Math" w:hAnsi="Cambria Math"/>
                        </w:rPr>
                        <m:t>,  s</m:t>
                      </m:r>
                      <m:ctrlPr>
                        <w:rPr>
                          <w:rFonts w:ascii="Cambria Math" w:hAnsi="Cambria Math"/>
                          <w:i/>
                          <w:iCs/>
                        </w:rPr>
                      </m:ctrlPr>
                    </m:e>
                    <m:sub>
                      <m:r>
                        <w:rPr>
                          <w:rFonts w:ascii="Cambria Math" w:hAnsi="Cambria Math"/>
                        </w:rPr>
                        <m:t>p</m:t>
                      </m:r>
                      <m:ctrlPr>
                        <w:rPr>
                          <w:rFonts w:ascii="Cambria Math" w:hAnsi="Cambria Math"/>
                          <w:i/>
                          <w:iCs/>
                        </w:rPr>
                      </m:ctrlPr>
                    </m:sub>
                  </m:sSub>
                  <m:ctrlPr>
                    <w:rPr>
                      <w:rFonts w:ascii="Cambria Math" w:hAnsi="Cambria Math"/>
                      <w:i/>
                    </w:rPr>
                  </m:ctrlPr>
                </m:e>
              </m:d>
            </m:oMath>
            <w:r>
              <w:rPr>
                <w:rFonts w:hint="eastAsia" w:eastAsia="Malgun Gothic"/>
                <w:lang w:eastAsia="ko-KR"/>
              </w:rPr>
              <w:t xml:space="preserve"> </w:t>
            </w:r>
            <w:r>
              <w:rPr>
                <w:rFonts w:eastAsia="Malgun Gothic"/>
                <w:lang w:eastAsia="ko-KR"/>
              </w:rPr>
              <w:t>is up to company report, isn't there no need to send LS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hint="eastAsia" w:eastAsia="MS Mincho"/>
                <w:lang w:eastAsia="ja-JP"/>
              </w:rPr>
              <w:t xml:space="preserve"> </w:t>
            </w:r>
            <w:r>
              <w:rPr>
                <w:rFonts w:eastAsia="MS Mincho"/>
                <w:lang w:eastAsia="ja-JP"/>
              </w:rPr>
              <w:t>may not be realistic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Nokia/Nsb</w:t>
            </w:r>
          </w:p>
        </w:tc>
        <w:tc>
          <w:tcPr>
            <w:tcW w:w="8329" w:type="dxa"/>
          </w:tcPr>
          <w:p>
            <w:pPr>
              <w:widowControl w:val="0"/>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“multi-carrier”, we propose to have the following to be captured: </w:t>
            </w:r>
          </w:p>
          <w:p>
            <w:pPr>
              <w:widowControl w:val="0"/>
              <w:spacing w:after="0"/>
              <w:jc w:val="left"/>
              <w:rPr>
                <w:rFonts w:eastAsiaTheme="minorEastAsia"/>
              </w:rPr>
            </w:pPr>
          </w:p>
          <w:p>
            <w:pPr>
              <w:pStyle w:val="14"/>
              <w:widowControl w:val="0"/>
              <w:numPr>
                <w:ilvl w:val="1"/>
                <w:numId w:val="9"/>
              </w:numPr>
            </w:pPr>
            <w:r>
              <w:t xml:space="preserve">For inter-band CA, separate RFs are used, so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pPr>
              <w:pStyle w:val="48"/>
              <w:widowControl w:val="0"/>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Regarding “multi-TRP”, we could like to clarify that, the P_static is assumed common for all TRPs.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“Antenna Adaptation Delay”, </w:t>
            </w:r>
          </w:p>
          <w:p>
            <w:pPr>
              <w:pStyle w:val="48"/>
              <w:widowControl w:val="0"/>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pPr>
              <w:pStyle w:val="48"/>
              <w:widowControl w:val="0"/>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pPr>
              <w:widowControl w:val="0"/>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G</w:t>
            </w:r>
            <w:r>
              <w:rPr>
                <w:rFonts w:eastAsiaTheme="minorEastAsia"/>
              </w:rPr>
              <w:t>enerally fine. Some comments:</w:t>
            </w:r>
          </w:p>
          <w:p>
            <w:pPr>
              <w:pStyle w:val="48"/>
              <w:widowControl w:val="0"/>
              <w:numPr>
                <w:ilvl w:val="0"/>
                <w:numId w:val="29"/>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pPr>
              <w:pStyle w:val="48"/>
              <w:widowControl w:val="0"/>
              <w:numPr>
                <w:ilvl w:val="0"/>
                <w:numId w:val="29"/>
              </w:numPr>
              <w:spacing w:after="0"/>
              <w:rPr>
                <w:rFonts w:eastAsiaTheme="minorEastAsia"/>
              </w:rPr>
            </w:pPr>
            <w:r>
              <w:rPr>
                <w:rFonts w:eastAsiaTheme="minorEastAsia"/>
                <w:lang w:eastAsia="zh-CN"/>
              </w:rPr>
              <w:t>Joint equation for DL/UL may not meaningful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generally fine with the direction of the proposal and with the following comments:</w:t>
            </w:r>
          </w:p>
          <w:p>
            <w:pPr>
              <w:pStyle w:val="48"/>
              <w:widowControl w:val="0"/>
              <w:numPr>
                <w:ilvl w:val="0"/>
                <w:numId w:val="30"/>
              </w:numPr>
              <w:spacing w:after="0"/>
              <w:rPr>
                <w:rFonts w:eastAsiaTheme="minorEastAsia"/>
              </w:rPr>
            </w:pPr>
            <w:r>
              <w:rPr>
                <w:rFonts w:hint="eastAsia" w:eastAsiaTheme="minorEastAsia"/>
                <w:lang w:eastAsia="zh-CN"/>
              </w:rPr>
              <w:t>I</w:t>
            </w:r>
            <w:r>
              <w:rPr>
                <w:rFonts w:eastAsiaTheme="minorEastAsia"/>
                <w:lang w:eastAsia="zh-CN"/>
              </w:rPr>
              <w:t>t seems the static power part is missing for DL and UL symbols, the equation should be</w:t>
            </w:r>
          </w:p>
          <w:p>
            <w:pPr>
              <w:pStyle w:val="48"/>
              <w:widowControl w:val="0"/>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DL</m:t>
                  </m:r>
                  <m:ctrlPr>
                    <w:rPr>
                      <w:rFonts w:ascii="Cambria Math" w:hAnsi="Cambria Math"/>
                      <w:i/>
                      <w:iCs/>
                      <w:lang w:eastAsia="zh-CN"/>
                    </w:rPr>
                  </m:ctrlP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static</m:t>
                  </m:r>
                  <m:ctrlPr>
                    <w:rPr>
                      <w:rFonts w:ascii="Cambria Math" w:hAnsi="Cambria Math"/>
                      <w:i/>
                      <w:iCs/>
                      <w:lang w:eastAsia="zh-CN"/>
                    </w:rPr>
                  </m:ctrlP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ctrlPr>
                    <w:rPr>
                      <w:rFonts w:ascii="Cambria Math" w:hAnsi="Cambria Math"/>
                      <w:i/>
                      <w:iCs/>
                      <w:lang w:eastAsia="zh-CN"/>
                    </w:rPr>
                  </m:ctrlPr>
                </m:e>
                <m:sub>
                  <m:r>
                    <w:rPr>
                      <w:rFonts w:ascii="Cambria Math" w:hAnsi="Cambria Math"/>
                      <w:lang w:eastAsia="zh-CN"/>
                    </w:rPr>
                    <m:t>dynamic</m:t>
                  </m:r>
                  <m:ctrlPr>
                    <w:rPr>
                      <w:rFonts w:ascii="Cambria Math" w:hAnsi="Cambria Math"/>
                      <w:i/>
                      <w:iCs/>
                      <w:lang w:eastAsia="zh-CN"/>
                    </w:rPr>
                  </m:ctrlPr>
                </m:sub>
                <m:sup>
                  <m: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p>
          <w:p>
            <w:pPr>
              <w:pStyle w:val="48"/>
              <w:widowControl w:val="0"/>
              <w:numPr>
                <w:ilvl w:val="0"/>
                <w:numId w:val="30"/>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hint="eastAsia" w:eastAsiaTheme="minor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oMath>
            <w:r>
              <w:rPr>
                <w:rFonts w:hint="eastAsia" w:eastAsiaTheme="minor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hint="eastAsia" w:eastAsiaTheme="minor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 xml:space="preserve"> </w:t>
            </w:r>
            <w:r>
              <w:rPr>
                <w:rFonts w:eastAsiaTheme="minorEastAsia"/>
                <w:iCs/>
              </w:rPr>
              <w:t>should be determined for Cat 1 and Cat 2 value respectively. Here is our proposal:</w:t>
            </w:r>
          </w:p>
          <w:p>
            <w:pPr>
              <w:widowControl w:val="0"/>
              <w:spacing w:after="0"/>
              <w:rPr>
                <w:rFonts w:eastAsiaTheme="minorEastAsia"/>
                <w:iCs/>
              </w:rPr>
            </w:pPr>
            <w:r>
              <w:rPr>
                <w:rFonts w:hint="eastAsia" w:eastAsiaTheme="minorEastAsia"/>
                <w:iCs/>
              </w:rPr>
              <w:t>C</w:t>
            </w:r>
            <w:r>
              <w:rPr>
                <w:rFonts w:eastAsiaTheme="minorEastAsia"/>
                <w:iCs/>
              </w:rPr>
              <w:t>at 1 (</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57.5</w:t>
            </w:r>
          </w:p>
          <w:p>
            <w:pPr>
              <w:widowControl w:val="0"/>
              <w:spacing w:after="0"/>
              <w:rPr>
                <w:rFonts w:hint="eastAsia" w:eastAsiaTheme="minorEastAsia"/>
                <w:iCs/>
              </w:rPr>
            </w:pPr>
            <w:r>
              <w:rPr>
                <w:rFonts w:hint="eastAsia" w:eastAsiaTheme="minorEastAsia"/>
              </w:rPr>
              <w:t>C</w:t>
            </w:r>
            <w:r>
              <w:rPr>
                <w:rFonts w:eastAsiaTheme="minorEastAsia"/>
              </w:rPr>
              <w:t xml:space="preserve">at 2 </w:t>
            </w:r>
            <w:r>
              <w:rPr>
                <w:rFonts w:eastAsiaTheme="minorEastAsia"/>
                <w:iCs/>
              </w:rPr>
              <w:t>(</w:t>
            </w:r>
            <m:oMath>
              <m: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ctrlPr>
                    <w:rPr>
                      <w:rFonts w:ascii="Cambria Math" w:hAnsi="Cambria Math"/>
                      <w:i/>
                      <w:iCs/>
                    </w:rPr>
                  </m:ctrlPr>
                </m:e>
                <m:sub>
                  <m: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8.3</w:t>
            </w:r>
          </w:p>
          <w:p>
            <w:pPr>
              <w:widowControl w:val="0"/>
              <w:spacing w:after="0"/>
              <w:jc w:val="left"/>
              <w:rPr>
                <w:rFonts w:hint="eastAsia" w:eastAsiaTheme="minorEastAsia"/>
              </w:rPr>
            </w:pPr>
            <w:r>
              <w:rPr>
                <w:rFonts w:hint="eastAsia" w:eastAsiaTheme="minor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ctrlPr>
                    <w:rPr>
                      <w:rFonts w:ascii="Cambria Math" w:hAnsi="Cambria Math"/>
                      <w:bCs/>
                      <w:i/>
                    </w:rPr>
                  </m:ctrlPr>
                </m:e>
                <m:sub>
                  <m:r>
                    <w:rPr>
                      <w:rFonts w:ascii="Cambria Math" w:hAnsi="Cambria Math"/>
                    </w:rPr>
                    <m:t>dyn,ante</m:t>
                  </m:r>
                  <m:ctrlPr>
                    <w:rPr>
                      <w:rFonts w:ascii="Cambria Math" w:hAnsi="Cambria Math"/>
                      <w:bCs/>
                      <w:i/>
                    </w:rPr>
                  </m:ctrlPr>
                </m:sub>
                <m:sup>
                  <m: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1 for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sz w:val="20"/>
                <w:szCs w:val="20"/>
                <w:lang w:val="en-US" w:eastAsia="zh-CN" w:bidi="ar-SA"/>
              </w:rPr>
            </w:pPr>
            <w:r>
              <w:rPr>
                <w:rFonts w:hint="eastAsia" w:eastAsiaTheme="minorEastAsia"/>
                <w:sz w:val="20"/>
                <w:szCs w:val="20"/>
                <w:lang w:val="en-US" w:eastAsia="zh-CN"/>
              </w:rPr>
              <w:t>ZTE, Sanechips</w:t>
            </w:r>
          </w:p>
        </w:tc>
        <w:tc>
          <w:tcPr>
            <w:tcW w:w="8329" w:type="dxa"/>
            <w:vAlign w:val="top"/>
          </w:tcPr>
          <w:p>
            <w:pPr>
              <w:keepNext w:val="0"/>
              <w:keepLines w:val="0"/>
              <w:widowControl w:val="0"/>
              <w:suppressLineNumbers w:val="0"/>
              <w:spacing w:before="0" w:beforeAutospacing="0" w:after="0" w:afterAutospacing="0"/>
              <w:ind w:left="0" w:right="0"/>
              <w:jc w:val="left"/>
              <w:rPr>
                <w:rFonts w:hint="eastAsia" w:eastAsiaTheme="minorEastAsia"/>
                <w:sz w:val="20"/>
                <w:szCs w:val="20"/>
                <w:lang w:val="en-US" w:eastAsia="zh-CN"/>
              </w:rPr>
            </w:pPr>
            <w:r>
              <w:rPr>
                <w:rFonts w:hint="eastAsia" w:eastAsiaTheme="minorEastAsia"/>
                <w:sz w:val="20"/>
                <w:szCs w:val="20"/>
                <w:lang w:val="en-US" w:eastAsia="zh-CN"/>
              </w:rPr>
              <w:t>We are okay with the principle of proposal. The comments are</w:t>
            </w:r>
          </w:p>
          <w:p>
            <w:pPr>
              <w:keepNext w:val="0"/>
              <w:keepLines w:val="0"/>
              <w:widowControl w:val="0"/>
              <w:numPr>
                <w:ilvl w:val="0"/>
                <w:numId w:val="31"/>
              </w:numPr>
              <w:suppressLineNumbers w:val="0"/>
              <w:autoSpaceDE w:val="0"/>
              <w:autoSpaceDN w:val="0"/>
              <w:adjustRightInd w:val="0"/>
              <w:snapToGrid w:val="0"/>
              <w:spacing w:before="0" w:beforeAutospacing="0" w:after="0" w:afterAutospacing="0" w:line="259" w:lineRule="auto"/>
              <w:ind w:left="0" w:right="0"/>
              <w:jc w:val="left"/>
              <w:rPr>
                <w:rFonts w:hint="eastAsia" w:cs="Times New Roman"/>
                <w:i w:val="0"/>
                <w:iCs/>
                <w:sz w:val="20"/>
                <w:szCs w:val="20"/>
                <w:lang w:val="en-US" w:eastAsia="zh-CN"/>
              </w:rPr>
            </w:pPr>
            <w:r>
              <w:rPr>
                <w:rFonts w:hint="eastAsia" w:eastAsiaTheme="minorEastAsia"/>
                <w:sz w:val="20"/>
                <w:szCs w:val="20"/>
                <w:lang w:val="en-US" w:eastAsia="zh-CN"/>
              </w:rPr>
              <w:t xml:space="preserve">We also think </w:t>
            </w:r>
            <m:oMath>
              <m:r>
                <w:rPr>
                  <w:rFonts w:hint="default" w:ascii="Cambria Math" w:hAnsi="Cambria Math" w:cs="Times New Roman"/>
                  <w:sz w:val="20"/>
                  <w:szCs w:val="20"/>
                  <w:lang w:eastAsia="zh-CN"/>
                </w:rPr>
                <m:t>η</m:t>
              </m:r>
              <m:d>
                <m:dPr>
                  <m:ctrlPr>
                    <w:rPr>
                      <w:rFonts w:hint="default" w:ascii="Cambria Math" w:hAnsi="Cambria Math" w:cs="Times New Roman"/>
                      <w:i/>
                      <w:sz w:val="20"/>
                      <w:szCs w:val="20"/>
                      <w:lang w:eastAsia="zh-CN"/>
                    </w:rPr>
                  </m:ctrlPr>
                </m:dPr>
                <m:e>
                  <m:sSub>
                    <m:sSubPr>
                      <m:ctrlPr>
                        <w:rPr>
                          <w:rFonts w:hint="default" w:ascii="Cambria Math" w:hAnsi="Cambria Math" w:cs="Times New Roman"/>
                          <w:i/>
                          <w:iCs/>
                          <w:sz w:val="20"/>
                          <w:szCs w:val="20"/>
                          <w:lang w:eastAsia="zh-CN"/>
                        </w:rPr>
                      </m:ctrlPr>
                    </m:sSubPr>
                    <m:e>
                      <m:r>
                        <w:rPr>
                          <w:rFonts w:hint="default" w:ascii="Cambria Math" w:hAnsi="Cambria Math" w:cs="Times New Roman"/>
                          <w:sz w:val="20"/>
                          <w:szCs w:val="20"/>
                          <w:lang w:eastAsia="zh-CN"/>
                        </w:rPr>
                        <m:t>s</m:t>
                      </m:r>
                      <m:ctrlPr>
                        <w:rPr>
                          <w:rFonts w:hint="default" w:ascii="Cambria Math" w:hAnsi="Cambria Math" w:cs="Times New Roman"/>
                          <w:i/>
                          <w:iCs/>
                          <w:sz w:val="20"/>
                          <w:szCs w:val="20"/>
                          <w:lang w:eastAsia="zh-CN"/>
                        </w:rPr>
                      </m:ctrlPr>
                    </m:e>
                    <m:sub>
                      <m:r>
                        <w:rPr>
                          <w:rFonts w:hint="default" w:ascii="Cambria Math" w:hAnsi="Cambria Math" w:cs="Times New Roman"/>
                          <w:sz w:val="20"/>
                          <w:szCs w:val="20"/>
                          <w:lang w:eastAsia="zh-CN"/>
                        </w:rPr>
                        <m:t>f</m:t>
                      </m:r>
                      <m:ctrlPr>
                        <w:rPr>
                          <w:rFonts w:hint="default" w:ascii="Cambria Math" w:hAnsi="Cambria Math" w:cs="Times New Roman"/>
                          <w:i/>
                          <w:iCs/>
                          <w:sz w:val="20"/>
                          <w:szCs w:val="20"/>
                          <w:lang w:eastAsia="zh-CN"/>
                        </w:rPr>
                      </m:ctrlPr>
                    </m:sub>
                  </m:sSub>
                  <m:sSub>
                    <m:sSubPr>
                      <m:ctrlPr>
                        <w:rPr>
                          <w:rFonts w:hint="default" w:ascii="Cambria Math" w:hAnsi="Cambria Math" w:cs="Times New Roman"/>
                          <w:i/>
                          <w:iCs/>
                          <w:sz w:val="20"/>
                          <w:szCs w:val="20"/>
                          <w:lang w:eastAsia="zh-CN"/>
                        </w:rPr>
                      </m:ctrlPr>
                    </m:sSubPr>
                    <m:e>
                      <m:r>
                        <w:rPr>
                          <w:rFonts w:hint="default" w:ascii="Cambria Math" w:hAnsi="Cambria Math" w:cs="Times New Roman"/>
                          <w:sz w:val="20"/>
                          <w:szCs w:val="20"/>
                          <w:lang w:eastAsia="zh-CN"/>
                        </w:rPr>
                        <m:t>,  s</m:t>
                      </m:r>
                      <m:ctrlPr>
                        <w:rPr>
                          <w:rFonts w:hint="default" w:ascii="Cambria Math" w:hAnsi="Cambria Math" w:cs="Times New Roman"/>
                          <w:i/>
                          <w:iCs/>
                          <w:sz w:val="20"/>
                          <w:szCs w:val="20"/>
                          <w:lang w:eastAsia="zh-CN"/>
                        </w:rPr>
                      </m:ctrlPr>
                    </m:e>
                    <m:sub>
                      <m:r>
                        <w:rPr>
                          <w:rFonts w:hint="default" w:ascii="Cambria Math" w:hAnsi="Cambria Math" w:cs="Times New Roman"/>
                          <w:sz w:val="20"/>
                          <w:szCs w:val="20"/>
                          <w:lang w:eastAsia="zh-CN"/>
                        </w:rPr>
                        <m:t>p</m:t>
                      </m:r>
                      <m:ctrlPr>
                        <w:rPr>
                          <w:rFonts w:hint="default" w:ascii="Cambria Math" w:hAnsi="Cambria Math" w:cs="Times New Roman"/>
                          <w:i/>
                          <w:iCs/>
                          <w:sz w:val="20"/>
                          <w:szCs w:val="20"/>
                          <w:lang w:eastAsia="zh-CN"/>
                        </w:rPr>
                      </m:ctrlPr>
                    </m:sub>
                  </m:sSub>
                  <m:ctrlPr>
                    <w:rPr>
                      <w:rFonts w:hint="default" w:ascii="Cambria Math" w:hAnsi="Cambria Math" w:cs="Times New Roman"/>
                      <w:i/>
                      <w:sz w:val="20"/>
                      <w:szCs w:val="20"/>
                      <w:lang w:eastAsia="zh-CN"/>
                    </w:rPr>
                  </m:ctrlPr>
                </m:e>
              </m:d>
            </m:oMath>
            <w:r>
              <w:rPr>
                <w:rFonts w:hint="eastAsia" w:ascii="Cambria Math" w:hAnsi="Cambria Math" w:cs="Times New Roman"/>
                <w:i w:val="0"/>
                <w:sz w:val="20"/>
                <w:szCs w:val="20"/>
                <w:lang w:val="en-US" w:eastAsia="zh-CN"/>
              </w:rPr>
              <w:t>=1 is too idealist. The value of 0.34, 0.5 is closer to implementation.</w:t>
            </w:r>
          </w:p>
          <w:p>
            <w:pPr>
              <w:keepNext w:val="0"/>
              <w:keepLines w:val="0"/>
              <w:widowControl w:val="0"/>
              <w:numPr>
                <w:ilvl w:val="0"/>
                <w:numId w:val="31"/>
              </w:numPr>
              <w:suppressLineNumbers w:val="0"/>
              <w:autoSpaceDE w:val="0"/>
              <w:autoSpaceDN w:val="0"/>
              <w:adjustRightInd w:val="0"/>
              <w:snapToGrid w:val="0"/>
              <w:spacing w:before="0" w:beforeAutospacing="0" w:after="0" w:afterAutospacing="0" w:line="259" w:lineRule="auto"/>
              <w:ind w:left="0" w:right="0"/>
              <w:jc w:val="left"/>
              <w:rPr>
                <w:rFonts w:hint="eastAsia" w:cs="Times New Roman"/>
                <w:i w:val="0"/>
                <w:iCs/>
                <w:sz w:val="20"/>
                <w:szCs w:val="20"/>
                <w:lang w:val="en-US" w:eastAsia="zh-CN"/>
              </w:rPr>
            </w:pPr>
          </w:p>
          <w:p>
            <w:pPr>
              <w:keepNext w:val="0"/>
              <w:keepLines w:val="0"/>
              <w:widowControl w:val="0"/>
              <w:numPr>
                <w:ilvl w:val="0"/>
                <w:numId w:val="0"/>
              </w:numPr>
              <w:suppressLineNumbers w:val="0"/>
              <w:autoSpaceDE w:val="0"/>
              <w:autoSpaceDN w:val="0"/>
              <w:adjustRightInd w:val="0"/>
              <w:snapToGrid w:val="0"/>
              <w:spacing w:before="0" w:beforeAutospacing="0" w:after="0" w:afterAutospacing="0" w:line="259" w:lineRule="auto"/>
              <w:ind w:left="0" w:right="0"/>
              <w:jc w:val="left"/>
              <w:rPr>
                <w:rFonts w:hint="eastAsia" w:cs="Times New Roman"/>
                <w:i w:val="0"/>
                <w:iCs/>
                <w:sz w:val="20"/>
                <w:szCs w:val="20"/>
                <w:lang w:val="en-US" w:eastAsia="zh-CN"/>
              </w:rPr>
            </w:pPr>
            <w:r>
              <w:rPr>
                <w:rFonts w:hint="eastAsia" w:eastAsiaTheme="minorEastAsia"/>
                <w:sz w:val="20"/>
                <w:szCs w:val="20"/>
                <w:lang w:val="en-US" w:eastAsia="zh-CN"/>
              </w:rPr>
              <w:t xml:space="preserve">For the calculation of </w:t>
            </w:r>
            <m:oMath>
              <m:sSubSup>
                <m:sSubSupPr>
                  <m:ctrlPr>
                    <w:rPr>
                      <w:rFonts w:hint="default" w:ascii="Cambria Math" w:hAnsi="Cambria Math"/>
                      <w:i/>
                      <w:iCs/>
                      <w:sz w:val="20"/>
                      <w:szCs w:val="20"/>
                      <w:lang w:eastAsia="zh-CN"/>
                    </w:rPr>
                  </m:ctrlPr>
                </m:sSubSupPr>
                <m:e>
                  <m:r>
                    <w:rPr>
                      <w:rFonts w:hint="default" w:ascii="Cambria Math" w:hAnsi="Cambria Math"/>
                      <w:sz w:val="20"/>
                      <w:szCs w:val="20"/>
                      <w:lang w:eastAsia="zh-CN"/>
                    </w:rPr>
                    <m:t>P</m:t>
                  </m:r>
                  <m:ctrlPr>
                    <w:rPr>
                      <w:rFonts w:hint="default" w:ascii="Cambria Math" w:hAnsi="Cambria Math"/>
                      <w:i/>
                      <w:iCs/>
                      <w:sz w:val="20"/>
                      <w:szCs w:val="20"/>
                      <w:lang w:eastAsia="zh-CN"/>
                    </w:rPr>
                  </m:ctrlPr>
                </m:e>
                <m:sub>
                  <m:r>
                    <w:rPr>
                      <w:rFonts w:hint="default" w:ascii="Cambria Math" w:hAnsi="Cambria Math"/>
                      <w:sz w:val="20"/>
                      <w:szCs w:val="20"/>
                      <w:lang w:eastAsia="zh-CN"/>
                    </w:rPr>
                    <m:t>dynamic</m:t>
                  </m:r>
                  <m:ctrlPr>
                    <w:rPr>
                      <w:rFonts w:hint="default" w:ascii="Cambria Math" w:hAnsi="Cambria Math"/>
                      <w:i/>
                      <w:iCs/>
                      <w:sz w:val="20"/>
                      <w:szCs w:val="20"/>
                      <w:lang w:eastAsia="zh-CN"/>
                    </w:rPr>
                  </m:ctrlPr>
                </m:sub>
                <m:sup>
                  <m:r>
                    <w:rPr>
                      <w:rFonts w:hint="default" w:ascii="Cambria Math" w:hAnsi="Cambria Math"/>
                      <w:sz w:val="20"/>
                      <w:szCs w:val="20"/>
                      <w:lang w:eastAsia="zh-CN"/>
                    </w:rPr>
                    <m:t>DL</m:t>
                  </m:r>
                  <m:ctrlPr>
                    <w:rPr>
                      <w:rFonts w:hint="default" w:ascii="Cambria Math" w:hAnsi="Cambria Math"/>
                      <w:i/>
                      <w:iCs/>
                      <w:sz w:val="20"/>
                      <w:szCs w:val="20"/>
                      <w:lang w:eastAsia="zh-CN"/>
                    </w:rPr>
                  </m:ctrlPr>
                </m:sup>
              </m:sSubSup>
            </m:oMath>
            <w:r>
              <w:rPr>
                <w:rFonts w:hint="eastAsia" w:ascii="Cambria Math" w:hAnsi="Cambria Math"/>
                <w:i w:val="0"/>
                <w:iCs/>
                <w:sz w:val="20"/>
                <w:szCs w:val="20"/>
                <w:lang w:val="en-US" w:eastAsia="zh-CN"/>
              </w:rPr>
              <w:t xml:space="preserve">, </w:t>
            </w:r>
            <w:r>
              <w:rPr>
                <w:rFonts w:hint="default" w:ascii="Times New Roman" w:hAnsi="Times New Roman" w:cs="Times New Roman"/>
                <w:i w:val="0"/>
                <w:iCs/>
                <w:sz w:val="20"/>
                <w:szCs w:val="20"/>
                <w:lang w:val="en-US" w:eastAsia="zh-CN"/>
              </w:rPr>
              <w:t xml:space="preserve">the value of </w:t>
            </w:r>
            <m:oMath>
              <m:r>
                <w:rPr>
                  <w:rFonts w:hint="default" w:ascii="Cambria Math" w:hAnsi="Cambria Math" w:cs="Times New Roman"/>
                  <w:sz w:val="20"/>
                  <w:szCs w:val="20"/>
                  <w:lang w:eastAsia="zh-CN"/>
                </w:rPr>
                <m:t>η</m:t>
              </m:r>
              <m:d>
                <m:dPr>
                  <m:ctrlPr>
                    <w:rPr>
                      <w:rFonts w:hint="default" w:ascii="Cambria Math" w:hAnsi="Cambria Math" w:cs="Times New Roman"/>
                      <w:i/>
                      <w:sz w:val="20"/>
                      <w:szCs w:val="20"/>
                      <w:lang w:eastAsia="zh-CN"/>
                    </w:rPr>
                  </m:ctrlPr>
                </m:dPr>
                <m:e>
                  <m:sSub>
                    <m:sSubPr>
                      <m:ctrlPr>
                        <w:rPr>
                          <w:rFonts w:hint="default" w:ascii="Cambria Math" w:hAnsi="Cambria Math" w:cs="Times New Roman"/>
                          <w:i/>
                          <w:iCs/>
                          <w:sz w:val="20"/>
                          <w:szCs w:val="20"/>
                          <w:lang w:eastAsia="zh-CN"/>
                        </w:rPr>
                      </m:ctrlPr>
                    </m:sSubPr>
                    <m:e>
                      <m:r>
                        <w:rPr>
                          <w:rFonts w:hint="default" w:ascii="Cambria Math" w:hAnsi="Cambria Math" w:cs="Times New Roman"/>
                          <w:sz w:val="20"/>
                          <w:szCs w:val="20"/>
                          <w:lang w:eastAsia="zh-CN"/>
                        </w:rPr>
                        <m:t>s</m:t>
                      </m:r>
                      <m:ctrlPr>
                        <w:rPr>
                          <w:rFonts w:hint="default" w:ascii="Cambria Math" w:hAnsi="Cambria Math" w:cs="Times New Roman"/>
                          <w:i/>
                          <w:iCs/>
                          <w:sz w:val="20"/>
                          <w:szCs w:val="20"/>
                          <w:lang w:eastAsia="zh-CN"/>
                        </w:rPr>
                      </m:ctrlPr>
                    </m:e>
                    <m:sub>
                      <m:r>
                        <w:rPr>
                          <w:rFonts w:hint="default" w:ascii="Cambria Math" w:hAnsi="Cambria Math" w:cs="Times New Roman"/>
                          <w:sz w:val="20"/>
                          <w:szCs w:val="20"/>
                          <w:lang w:eastAsia="zh-CN"/>
                        </w:rPr>
                        <m:t>f</m:t>
                      </m:r>
                      <m:ctrlPr>
                        <w:rPr>
                          <w:rFonts w:hint="default" w:ascii="Cambria Math" w:hAnsi="Cambria Math" w:cs="Times New Roman"/>
                          <w:i/>
                          <w:iCs/>
                          <w:sz w:val="20"/>
                          <w:szCs w:val="20"/>
                          <w:lang w:eastAsia="zh-CN"/>
                        </w:rPr>
                      </m:ctrlPr>
                    </m:sub>
                  </m:sSub>
                  <m:sSub>
                    <m:sSubPr>
                      <m:ctrlPr>
                        <w:rPr>
                          <w:rFonts w:hint="default" w:ascii="Cambria Math" w:hAnsi="Cambria Math" w:cs="Times New Roman"/>
                          <w:i/>
                          <w:iCs/>
                          <w:sz w:val="20"/>
                          <w:szCs w:val="20"/>
                          <w:lang w:eastAsia="zh-CN"/>
                        </w:rPr>
                      </m:ctrlPr>
                    </m:sSubPr>
                    <m:e>
                      <m:r>
                        <w:rPr>
                          <w:rFonts w:hint="default" w:ascii="Cambria Math" w:hAnsi="Cambria Math" w:cs="Times New Roman"/>
                          <w:sz w:val="20"/>
                          <w:szCs w:val="20"/>
                          <w:lang w:eastAsia="zh-CN"/>
                        </w:rPr>
                        <m:t>,  s</m:t>
                      </m:r>
                      <m:ctrlPr>
                        <w:rPr>
                          <w:rFonts w:hint="default" w:ascii="Cambria Math" w:hAnsi="Cambria Math" w:cs="Times New Roman"/>
                          <w:i/>
                          <w:iCs/>
                          <w:sz w:val="20"/>
                          <w:szCs w:val="20"/>
                          <w:lang w:eastAsia="zh-CN"/>
                        </w:rPr>
                      </m:ctrlPr>
                    </m:e>
                    <m:sub>
                      <m:r>
                        <w:rPr>
                          <w:rFonts w:hint="default" w:ascii="Cambria Math" w:hAnsi="Cambria Math" w:cs="Times New Roman"/>
                          <w:sz w:val="20"/>
                          <w:szCs w:val="20"/>
                          <w:lang w:eastAsia="zh-CN"/>
                        </w:rPr>
                        <m:t>p</m:t>
                      </m:r>
                      <m:ctrlPr>
                        <w:rPr>
                          <w:rFonts w:hint="default" w:ascii="Cambria Math" w:hAnsi="Cambria Math" w:cs="Times New Roman"/>
                          <w:i/>
                          <w:iCs/>
                          <w:sz w:val="20"/>
                          <w:szCs w:val="20"/>
                          <w:lang w:eastAsia="zh-CN"/>
                        </w:rPr>
                      </m:ctrlPr>
                    </m:sub>
                  </m:sSub>
                  <m:ctrlPr>
                    <w:rPr>
                      <w:rFonts w:hint="default" w:ascii="Cambria Math" w:hAnsi="Cambria Math" w:cs="Times New Roman"/>
                      <w:i/>
                      <w:sz w:val="20"/>
                      <w:szCs w:val="20"/>
                      <w:lang w:eastAsia="zh-CN"/>
                    </w:rPr>
                  </m:ctrlPr>
                </m:e>
              </m:d>
            </m:oMath>
            <w:r>
              <w:rPr>
                <w:rFonts w:hint="default" w:ascii="Times New Roman" w:hAnsi="Times New Roman" w:cs="Times New Roman"/>
                <w:i w:val="0"/>
                <w:sz w:val="20"/>
                <w:szCs w:val="20"/>
                <w:lang w:val="en-US" w:eastAsia="zh-CN"/>
              </w:rPr>
              <w:t xml:space="preserve">, </w:t>
            </w:r>
            <m:oMath>
              <m:sSub>
                <m:sSubPr>
                  <m:ctrlPr>
                    <w:rPr>
                      <w:rFonts w:hint="default" w:ascii="Cambria Math" w:hAnsi="Cambria Math" w:cs="Times New Roman"/>
                      <w:i/>
                      <w:iCs/>
                      <w:sz w:val="20"/>
                      <w:szCs w:val="20"/>
                    </w:rPr>
                  </m:ctrlPr>
                </m:sSubPr>
                <m:e>
                  <m:r>
                    <w:rPr>
                      <w:rFonts w:hint="default" w:ascii="Cambria Math" w:hAnsi="Cambria Math" w:cs="Times New Roman"/>
                      <w:sz w:val="20"/>
                      <w:szCs w:val="20"/>
                    </w:rPr>
                    <m:t>P</m:t>
                  </m:r>
                  <m:ctrlPr>
                    <w:rPr>
                      <w:rFonts w:hint="default" w:ascii="Cambria Math" w:hAnsi="Cambria Math" w:cs="Times New Roman"/>
                      <w:i/>
                      <w:iCs/>
                      <w:sz w:val="20"/>
                      <w:szCs w:val="20"/>
                    </w:rPr>
                  </m:ctrlPr>
                </m:e>
                <m:sub>
                  <m:r>
                    <w:rPr>
                      <w:rFonts w:hint="default" w:ascii="Cambria Math" w:hAnsi="Cambria Math" w:cs="Times New Roman"/>
                      <w:sz w:val="20"/>
                      <w:szCs w:val="20"/>
                    </w:rPr>
                    <m:t>dyn,ante</m:t>
                  </m:r>
                  <m:ctrlPr>
                    <w:rPr>
                      <w:rFonts w:hint="default" w:ascii="Cambria Math" w:hAnsi="Cambria Math" w:cs="Times New Roman"/>
                      <w:i/>
                      <w:iCs/>
                      <w:sz w:val="20"/>
                      <w:szCs w:val="20"/>
                    </w:rPr>
                  </m:ctrlPr>
                </m:sub>
              </m:sSub>
            </m:oMath>
            <w:r>
              <w:rPr>
                <w:rFonts w:hint="default" w:ascii="Times New Roman" w:hAnsi="Times New Roman" w:cs="Times New Roman"/>
                <w:i w:val="0"/>
                <w:iCs/>
                <w:sz w:val="20"/>
                <w:szCs w:val="20"/>
                <w:lang w:val="en-US" w:eastAsia="zh-CN"/>
              </w:rPr>
              <w:t xml:space="preserve"> and </w:t>
            </w:r>
            <m:oMath>
              <m:sSub>
                <m:sSubPr>
                  <m:ctrlPr>
                    <w:rPr>
                      <w:rFonts w:hint="default" w:ascii="Cambria Math" w:hAnsi="Cambria Math" w:cs="Times New Roman"/>
                      <w:i/>
                      <w:iCs/>
                      <w:sz w:val="20"/>
                      <w:szCs w:val="20"/>
                    </w:rPr>
                  </m:ctrlPr>
                </m:sSubPr>
                <m:e>
                  <m:r>
                    <w:rPr>
                      <w:rFonts w:hint="default" w:ascii="Cambria Math" w:hAnsi="Cambria Math" w:cs="Times New Roman"/>
                      <w:sz w:val="20"/>
                      <w:szCs w:val="20"/>
                    </w:rPr>
                    <m:t>P</m:t>
                  </m:r>
                  <m:ctrlPr>
                    <w:rPr>
                      <w:rFonts w:hint="default" w:ascii="Cambria Math" w:hAnsi="Cambria Math" w:cs="Times New Roman"/>
                      <w:i/>
                      <w:iCs/>
                      <w:sz w:val="20"/>
                      <w:szCs w:val="20"/>
                    </w:rPr>
                  </m:ctrlPr>
                </m:e>
                <m:sub>
                  <m:r>
                    <w:rPr>
                      <w:rFonts w:hint="default" w:ascii="Cambria Math" w:hAnsi="Cambria Math" w:cs="Times New Roman"/>
                      <w:sz w:val="20"/>
                      <w:szCs w:val="20"/>
                    </w:rPr>
                    <m:t>dyn,joint</m:t>
                  </m:r>
                  <m:ctrlPr>
                    <w:rPr>
                      <w:rFonts w:hint="default" w:ascii="Cambria Math" w:hAnsi="Cambria Math" w:cs="Times New Roman"/>
                      <w:i/>
                      <w:iCs/>
                      <w:sz w:val="20"/>
                      <w:szCs w:val="20"/>
                    </w:rPr>
                  </m:ctrlPr>
                </m:sub>
              </m:sSub>
            </m:oMath>
            <w:r>
              <w:rPr>
                <w:rFonts w:hint="default" w:ascii="Times New Roman" w:hAnsi="Times New Roman" w:cs="Times New Roman"/>
                <w:i w:val="0"/>
                <w:iCs/>
                <w:sz w:val="20"/>
                <w:szCs w:val="20"/>
                <w:lang w:val="en-US" w:eastAsia="zh-CN"/>
              </w:rPr>
              <w:t xml:space="preserve"> should be defined for cat1 and cat</w:t>
            </w:r>
            <w:r>
              <w:rPr>
                <w:rFonts w:hint="eastAsia" w:cs="Times New Roman"/>
                <w:i w:val="0"/>
                <w:iCs/>
                <w:sz w:val="20"/>
                <w:szCs w:val="20"/>
                <w:lang w:val="en-US" w:eastAsia="zh-CN"/>
              </w:rPr>
              <w:t xml:space="preserve"> </w:t>
            </w:r>
            <w:r>
              <w:rPr>
                <w:rFonts w:hint="default" w:ascii="Times New Roman" w:hAnsi="Times New Roman" w:cs="Times New Roman"/>
                <w:i w:val="0"/>
                <w:iCs/>
                <w:sz w:val="20"/>
                <w:szCs w:val="20"/>
                <w:lang w:val="en-US" w:eastAsia="zh-CN"/>
              </w:rPr>
              <w:t>2 respectively</w:t>
            </w:r>
            <w:r>
              <w:rPr>
                <w:rFonts w:hint="eastAsia" w:cs="Times New Roman"/>
                <w:i w:val="0"/>
                <w:iCs/>
                <w:sz w:val="20"/>
                <w:szCs w:val="20"/>
                <w:lang w:val="en-US" w:eastAsia="zh-CN"/>
              </w:rPr>
              <w:t xml:space="preserve">, because of the different power values for the active states. </w:t>
            </w:r>
          </w:p>
          <w:p>
            <w:pPr>
              <w:keepNext w:val="0"/>
              <w:keepLines w:val="0"/>
              <w:widowControl w:val="0"/>
              <w:suppressLineNumbers w:val="0"/>
              <w:spacing w:before="0" w:beforeAutospacing="0" w:after="0" w:afterAutospacing="0"/>
              <w:ind w:left="0" w:right="0"/>
              <w:jc w:val="left"/>
              <w:rPr>
                <w:rFonts w:hint="default" w:cs="Times New Roman"/>
                <w:i w:val="0"/>
                <w:iCs/>
                <w:sz w:val="20"/>
                <w:szCs w:val="20"/>
                <w:lang w:val="en-US" w:eastAsia="zh-CN"/>
              </w:rPr>
            </w:pPr>
            <w:r>
              <w:rPr>
                <w:rFonts w:hint="eastAsia" w:cs="Times New Roman"/>
                <w:i w:val="0"/>
                <w:iCs/>
                <w:sz w:val="20"/>
                <w:szCs w:val="20"/>
                <w:lang w:val="en-US" w:eastAsia="zh-CN"/>
              </w:rPr>
              <w:t>In addition, considering that the</w:t>
            </w:r>
            <w:r>
              <w:rPr>
                <w:rFonts w:hint="eastAsia"/>
                <w:sz w:val="20"/>
                <w:szCs w:val="22"/>
              </w:rPr>
              <w:t xml:space="preserve"> </w:t>
            </w:r>
            <w:r>
              <w:rPr>
                <w:rFonts w:hint="default"/>
                <w:sz w:val="20"/>
                <w:szCs w:val="22"/>
              </w:rPr>
              <w:t xml:space="preserve">resultant </w:t>
            </w:r>
            <w:r>
              <w:rPr>
                <w:rFonts w:hint="eastAsia"/>
                <w:sz w:val="20"/>
                <w:szCs w:val="22"/>
              </w:rPr>
              <w:t xml:space="preserve">scaling factors </w:t>
            </w:r>
            <w:r>
              <w:rPr>
                <w:rFonts w:hint="default"/>
                <w:sz w:val="20"/>
                <w:szCs w:val="22"/>
              </w:rPr>
              <w:t>for</w:t>
            </w:r>
            <w:r>
              <w:rPr>
                <w:rFonts w:hint="eastAsia"/>
                <w:sz w:val="20"/>
                <w:szCs w:val="22"/>
              </w:rPr>
              <w:t xml:space="preserve"> DL power </w:t>
            </w:r>
            <w:r>
              <w:rPr>
                <w:rFonts w:hint="default"/>
                <w:sz w:val="20"/>
                <w:szCs w:val="22"/>
              </w:rPr>
              <w:t xml:space="preserve">consumption </w:t>
            </w:r>
            <w:r>
              <w:rPr>
                <w:rFonts w:hint="eastAsia"/>
                <w:sz w:val="20"/>
                <w:szCs w:val="22"/>
              </w:rPr>
              <w:t>calculated by Category 1</w:t>
            </w:r>
            <w:r>
              <w:rPr>
                <w:rFonts w:hint="eastAsia" w:eastAsiaTheme="minorEastAsia"/>
                <w:sz w:val="20"/>
                <w:szCs w:val="20"/>
              </w:rPr>
              <w:t xml:space="preserve"> and </w:t>
            </w:r>
            <w:r>
              <w:rPr>
                <w:rFonts w:hint="eastAsia"/>
                <w:sz w:val="20"/>
                <w:szCs w:val="22"/>
              </w:rPr>
              <w:t xml:space="preserve">Category 2 should be </w:t>
            </w:r>
            <w:r>
              <w:rPr>
                <w:rFonts w:hint="eastAsia"/>
                <w:sz w:val="20"/>
                <w:szCs w:val="22"/>
                <w:lang w:val="en-US" w:eastAsia="zh-CN"/>
              </w:rPr>
              <w:t>similar</w:t>
            </w:r>
            <w:r>
              <w:rPr>
                <w:rFonts w:hint="eastAsia"/>
                <w:sz w:val="20"/>
                <w:szCs w:val="22"/>
              </w:rPr>
              <w:t xml:space="preserve"> </w:t>
            </w:r>
            <w:r>
              <w:rPr>
                <w:rFonts w:hint="default"/>
                <w:sz w:val="20"/>
                <w:szCs w:val="22"/>
              </w:rPr>
              <w:t>in</w:t>
            </w:r>
            <w:r>
              <w:rPr>
                <w:rFonts w:hint="eastAsia"/>
                <w:sz w:val="20"/>
                <w:szCs w:val="22"/>
              </w:rPr>
              <w:t xml:space="preserve"> </w:t>
            </w:r>
            <w:r>
              <w:rPr>
                <w:rFonts w:hint="eastAsia"/>
                <w:sz w:val="20"/>
                <w:szCs w:val="22"/>
                <w:lang w:val="en-US" w:eastAsia="zh-CN"/>
              </w:rPr>
              <w:t>different</w:t>
            </w:r>
            <w:r>
              <w:rPr>
                <w:rFonts w:hint="eastAsia"/>
                <w:sz w:val="20"/>
                <w:szCs w:val="22"/>
              </w:rPr>
              <w:t xml:space="preserve"> domain adaptation.</w:t>
            </w:r>
            <w:r>
              <w:rPr>
                <w:rFonts w:hint="eastAsia" w:cs="Times New Roman"/>
                <w:i w:val="0"/>
                <w:iCs/>
                <w:sz w:val="20"/>
                <w:szCs w:val="20"/>
                <w:lang w:val="en-US" w:eastAsia="zh-CN"/>
              </w:rPr>
              <w:t>Therefore, the proposal can be modified as follows.</w:t>
            </w:r>
          </w:p>
          <w:p>
            <w:pPr>
              <w:pStyle w:val="48"/>
              <w:keepNext w:val="0"/>
              <w:keepLines w:val="0"/>
              <w:widowControl/>
              <w:numPr>
                <w:ilvl w:val="4"/>
                <w:numId w:val="9"/>
              </w:numPr>
              <w:suppressLineNumbers w:val="0"/>
              <w:spacing w:before="0" w:beforeAutospacing="0" w:afterAutospacing="0"/>
              <w:ind w:right="0"/>
              <w:rPr>
                <w:rFonts w:hint="default"/>
                <w:b/>
                <w:sz w:val="20"/>
                <w:szCs w:val="20"/>
              </w:rPr>
            </w:pPr>
            <m:oMath>
              <m:r>
                <w:rPr>
                  <w:rFonts w:hint="default" w:ascii="Cambria Math" w:hAnsi="Cambria Math"/>
                  <w:sz w:val="20"/>
                  <w:szCs w:val="20"/>
                  <w:lang w:eastAsia="zh-CN"/>
                </w:rPr>
                <m:t>η</m:t>
              </m:r>
              <m:d>
                <m:dPr>
                  <m:ctrlPr>
                    <w:rPr>
                      <w:rFonts w:hint="default" w:ascii="Cambria Math" w:hAnsi="Cambria Math"/>
                      <w:i/>
                      <w:sz w:val="20"/>
                      <w:szCs w:val="20"/>
                      <w:lang w:eastAsia="zh-CN"/>
                    </w:rPr>
                  </m:ctrlPr>
                </m:dPr>
                <m:e>
                  <m:sSub>
                    <m:sSubPr>
                      <m:ctrlPr>
                        <w:rPr>
                          <w:rFonts w:hint="default" w:ascii="Cambria Math" w:hAnsi="Cambria Math"/>
                          <w:i/>
                          <w:iCs/>
                          <w:sz w:val="20"/>
                          <w:szCs w:val="20"/>
                          <w:lang w:eastAsia="zh-CN"/>
                        </w:rPr>
                      </m:ctrlPr>
                    </m:sSubPr>
                    <m:e>
                      <m:r>
                        <w:rPr>
                          <w:rFonts w:hint="default" w:ascii="Cambria Math" w:hAnsi="Cambria Math"/>
                          <w:sz w:val="20"/>
                          <w:szCs w:val="20"/>
                          <w:lang w:eastAsia="zh-CN"/>
                        </w:rPr>
                        <m:t>s</m:t>
                      </m:r>
                      <m:ctrlPr>
                        <w:rPr>
                          <w:rFonts w:hint="default" w:ascii="Cambria Math" w:hAnsi="Cambria Math"/>
                          <w:i/>
                          <w:iCs/>
                          <w:sz w:val="20"/>
                          <w:szCs w:val="20"/>
                          <w:lang w:eastAsia="zh-CN"/>
                        </w:rPr>
                      </m:ctrlPr>
                    </m:e>
                    <m:sub>
                      <m:r>
                        <w:rPr>
                          <w:rFonts w:hint="default" w:ascii="Cambria Math" w:hAnsi="Cambria Math"/>
                          <w:sz w:val="20"/>
                          <w:szCs w:val="20"/>
                          <w:lang w:eastAsia="zh-CN"/>
                        </w:rPr>
                        <m:t>f</m:t>
                      </m:r>
                      <m:ctrlPr>
                        <w:rPr>
                          <w:rFonts w:hint="default" w:ascii="Cambria Math" w:hAnsi="Cambria Math"/>
                          <w:i/>
                          <w:iCs/>
                          <w:sz w:val="20"/>
                          <w:szCs w:val="20"/>
                          <w:lang w:eastAsia="zh-CN"/>
                        </w:rPr>
                      </m:ctrlPr>
                    </m:sub>
                  </m:sSub>
                  <m:sSub>
                    <m:sSubPr>
                      <m:ctrlPr>
                        <w:rPr>
                          <w:rFonts w:hint="default" w:ascii="Cambria Math" w:hAnsi="Cambria Math"/>
                          <w:i/>
                          <w:iCs/>
                          <w:sz w:val="20"/>
                          <w:szCs w:val="20"/>
                          <w:lang w:eastAsia="zh-CN"/>
                        </w:rPr>
                      </m:ctrlPr>
                    </m:sSubPr>
                    <m:e>
                      <m:r>
                        <w:rPr>
                          <w:rFonts w:hint="default" w:ascii="Cambria Math" w:hAnsi="Cambria Math"/>
                          <w:sz w:val="20"/>
                          <w:szCs w:val="20"/>
                          <w:lang w:eastAsia="zh-CN"/>
                        </w:rPr>
                        <m:t>,  s</m:t>
                      </m:r>
                      <m:ctrlPr>
                        <w:rPr>
                          <w:rFonts w:hint="default" w:ascii="Cambria Math" w:hAnsi="Cambria Math"/>
                          <w:i/>
                          <w:iCs/>
                          <w:sz w:val="20"/>
                          <w:szCs w:val="20"/>
                          <w:lang w:eastAsia="zh-CN"/>
                        </w:rPr>
                      </m:ctrlPr>
                    </m:e>
                    <m:sub>
                      <m:r>
                        <w:rPr>
                          <w:rFonts w:hint="default" w:ascii="Cambria Math" w:hAnsi="Cambria Math"/>
                          <w:sz w:val="20"/>
                          <w:szCs w:val="20"/>
                          <w:lang w:eastAsia="zh-CN"/>
                        </w:rPr>
                        <m:t>p</m:t>
                      </m:r>
                      <m:ctrlPr>
                        <w:rPr>
                          <w:rFonts w:hint="default" w:ascii="Cambria Math" w:hAnsi="Cambria Math"/>
                          <w:i/>
                          <w:iCs/>
                          <w:sz w:val="20"/>
                          <w:szCs w:val="20"/>
                          <w:lang w:eastAsia="zh-CN"/>
                        </w:rPr>
                      </m:ctrlPr>
                    </m:sub>
                  </m:sSub>
                  <m:ctrlPr>
                    <w:rPr>
                      <w:rFonts w:hint="default" w:ascii="Cambria Math" w:hAnsi="Cambria Math"/>
                      <w:i/>
                      <w:sz w:val="20"/>
                      <w:szCs w:val="20"/>
                      <w:lang w:eastAsia="zh-CN"/>
                    </w:rPr>
                  </m:ctrlPr>
                </m:e>
              </m:d>
            </m:oMath>
            <w:r>
              <w:rPr>
                <w:rFonts w:hint="eastAsia" w:eastAsiaTheme="minorEastAsia"/>
                <w:b/>
                <w:sz w:val="20"/>
                <w:szCs w:val="20"/>
                <w:lang w:eastAsia="zh-CN"/>
              </w:rPr>
              <w:t xml:space="preserve"> </w:t>
            </w:r>
            <w:r>
              <w:rPr>
                <w:rFonts w:hint="default" w:eastAsia="Malgun Gothic"/>
                <w:sz w:val="20"/>
                <w:szCs w:val="20"/>
                <w:lang w:eastAsia="ko-KR"/>
              </w:rPr>
              <w:t xml:space="preserve">is the PA efficiency. </w:t>
            </w:r>
            <w:r>
              <w:rPr>
                <w:rFonts w:hint="default" w:eastAsiaTheme="minorEastAsia"/>
                <w:sz w:val="20"/>
                <w:szCs w:val="20"/>
                <w:lang w:eastAsia="zh-CN"/>
              </w:rPr>
              <w:t xml:space="preserve">For evaluation purpose, </w:t>
            </w:r>
            <m:oMath>
              <m:r>
                <w:rPr>
                  <w:rFonts w:hint="default" w:ascii="Cambria Math" w:hAnsi="Cambria Math"/>
                  <w:sz w:val="20"/>
                  <w:szCs w:val="20"/>
                  <w:lang w:eastAsia="zh-CN"/>
                </w:rPr>
                <m:t>η=0.34, 0.5</m:t>
              </m:r>
              <m:r>
                <m:rPr>
                  <m:sty m:val="p"/>
                </m:rPr>
                <w:rPr>
                  <w:rFonts w:hint="default" w:ascii="Cambria Math" w:hAnsi="Cambria Math" w:eastAsiaTheme="minorEastAsia"/>
                  <w:sz w:val="20"/>
                  <w:szCs w:val="20"/>
                  <w:lang w:eastAsia="zh-CN"/>
                </w:rPr>
                <m:t>, 1</m:t>
              </m:r>
            </m:oMath>
            <w:r>
              <w:rPr>
                <w:rFonts w:hint="eastAsia" w:ascii="Cambria Math" w:hAnsi="Cambria Math" w:eastAsiaTheme="minorEastAsia"/>
                <w:b w:val="0"/>
                <w:i w:val="0"/>
                <w:sz w:val="20"/>
                <w:szCs w:val="20"/>
                <w:lang w:val="en-US" w:eastAsia="zh-CN"/>
              </w:rPr>
              <w:t xml:space="preserve"> (if considered)</w:t>
            </w:r>
            <w:r>
              <w:rPr>
                <w:rFonts w:hint="default"/>
                <w:iCs/>
                <w:sz w:val="20"/>
                <w:szCs w:val="20"/>
                <w:lang w:eastAsia="zh-CN"/>
              </w:rPr>
              <w:t xml:space="preserve">: </w:t>
            </w:r>
          </w:p>
          <w:p>
            <w:pPr>
              <w:pStyle w:val="48"/>
              <w:keepNext w:val="0"/>
              <w:keepLines w:val="0"/>
              <w:widowControl/>
              <w:numPr>
                <w:ilvl w:val="5"/>
                <w:numId w:val="9"/>
              </w:numPr>
              <w:suppressLineNumbers w:val="0"/>
              <w:spacing w:before="0" w:beforeAutospacing="0" w:afterAutospacing="0"/>
              <w:ind w:left="2520" w:leftChars="0" w:right="0" w:hanging="420" w:firstLineChars="0"/>
              <w:rPr>
                <w:rFonts w:hint="default"/>
                <w:b/>
                <w:sz w:val="20"/>
                <w:szCs w:val="20"/>
              </w:rPr>
            </w:pPr>
            <w:r>
              <w:rPr>
                <w:rFonts w:hint="eastAsia"/>
                <w:iCs/>
                <w:color w:val="0000FF"/>
                <w:sz w:val="20"/>
                <w:szCs w:val="20"/>
                <w:lang w:val="en-US" w:eastAsia="zh-CN"/>
              </w:rPr>
              <w:t xml:space="preserve">for cat 1: </w:t>
            </w:r>
            <w:r>
              <w:rPr>
                <w:rFonts w:hint="default"/>
                <w:iCs/>
                <w:color w:val="0000FF"/>
                <w:sz w:val="20"/>
                <w:szCs w:val="20"/>
                <w:lang w:eastAsia="zh-CN"/>
              </w:rPr>
              <w:t>[</w:t>
            </w:r>
            <w:r>
              <w:rPr>
                <w:rFonts w:hint="eastAsia"/>
                <w:iCs/>
                <w:color w:val="0000FF"/>
                <w:sz w:val="20"/>
                <w:szCs w:val="20"/>
                <w:lang w:val="en-US" w:eastAsia="zh-CN"/>
              </w:rPr>
              <w:t>75</w:t>
            </w:r>
            <w:r>
              <w:rPr>
                <w:rFonts w:hint="default"/>
                <w:iCs/>
                <w:color w:val="0000FF"/>
                <w:sz w:val="20"/>
                <w:szCs w:val="20"/>
                <w:lang w:eastAsia="zh-CN"/>
              </w:rPr>
              <w:t xml:space="preserve">] </w:t>
            </w:r>
            <w:r>
              <w:rPr>
                <w:rFonts w:hint="default"/>
                <w:iCs/>
                <w:sz w:val="20"/>
                <w:szCs w:val="20"/>
                <w:lang w:eastAsia="zh-CN"/>
              </w:rPr>
              <w:t xml:space="preserve">for </w:t>
            </w:r>
            <m:oMath>
              <m:r>
                <w:rPr>
                  <w:rFonts w:hint="default" w:ascii="Cambria Math" w:hAnsi="Cambria Math"/>
                  <w:sz w:val="20"/>
                  <w:szCs w:val="20"/>
                  <w:lang w:eastAsia="zh-CN"/>
                </w:rPr>
                <m:t>η=0.34</m:t>
              </m:r>
            </m:oMath>
            <w:r>
              <w:rPr>
                <w:rFonts w:hint="default"/>
                <w:sz w:val="20"/>
                <w:szCs w:val="20"/>
                <w:lang w:eastAsia="zh-CN"/>
              </w:rPr>
              <w:t xml:space="preserve">, </w:t>
            </w:r>
            <w:r>
              <w:rPr>
                <w:rFonts w:hint="default"/>
                <w:iCs/>
                <w:sz w:val="20"/>
                <w:szCs w:val="20"/>
                <w:lang w:eastAsia="zh-CN"/>
              </w:rPr>
              <w:t>[</w:t>
            </w:r>
            <w:r>
              <w:rPr>
                <w:rFonts w:hint="eastAsia"/>
                <w:iCs/>
                <w:color w:val="0000FF"/>
                <w:sz w:val="20"/>
                <w:szCs w:val="20"/>
                <w:lang w:val="en-US" w:eastAsia="zh-CN"/>
              </w:rPr>
              <w:t xml:space="preserve">80 </w:t>
            </w:r>
            <w:r>
              <w:rPr>
                <w:rFonts w:hint="default"/>
                <w:iCs/>
                <w:strike/>
                <w:dstrike w:val="0"/>
                <w:color w:val="0000FF"/>
                <w:sz w:val="20"/>
                <w:szCs w:val="20"/>
                <w:lang w:eastAsia="zh-CN"/>
              </w:rPr>
              <w:t>9.9</w:t>
            </w:r>
            <w:r>
              <w:rPr>
                <w:rFonts w:hint="default"/>
                <w:iCs/>
                <w:sz w:val="20"/>
                <w:szCs w:val="20"/>
                <w:lang w:eastAsia="zh-CN"/>
              </w:rPr>
              <w:t xml:space="preserve">] for </w:t>
            </w:r>
            <m:oMath>
              <m:r>
                <w:rPr>
                  <w:rFonts w:hint="default" w:ascii="Cambria Math" w:hAnsi="Cambria Math"/>
                  <w:sz w:val="20"/>
                  <w:szCs w:val="20"/>
                  <w:lang w:eastAsia="zh-CN"/>
                </w:rPr>
                <m:t>η=0.5</m:t>
              </m:r>
            </m:oMath>
            <w:r>
              <w:rPr>
                <w:rFonts w:hint="default"/>
                <w:sz w:val="20"/>
                <w:szCs w:val="20"/>
                <w:lang w:eastAsia="zh-CN"/>
              </w:rPr>
              <w:t xml:space="preserve">, [110] for </w:t>
            </w:r>
            <m:oMath>
              <m:r>
                <w:rPr>
                  <w:rFonts w:hint="default" w:ascii="Cambria Math" w:hAnsi="Cambria Math"/>
                  <w:sz w:val="20"/>
                  <w:szCs w:val="20"/>
                  <w:lang w:eastAsia="zh-CN"/>
                </w:rPr>
                <m:t>η=1</m:t>
              </m:r>
            </m:oMath>
          </w:p>
          <w:p>
            <w:pPr>
              <w:pStyle w:val="48"/>
              <w:keepNext w:val="0"/>
              <w:keepLines w:val="0"/>
              <w:widowControl/>
              <w:numPr>
                <w:ilvl w:val="5"/>
                <w:numId w:val="9"/>
              </w:numPr>
              <w:suppressLineNumbers w:val="0"/>
              <w:spacing w:before="0" w:beforeAutospacing="0" w:afterAutospacing="0"/>
              <w:ind w:left="2520" w:leftChars="0" w:right="0" w:hanging="420" w:firstLineChars="0"/>
              <w:rPr>
                <w:rFonts w:hint="default"/>
                <w:b/>
                <w:sz w:val="20"/>
                <w:szCs w:val="20"/>
              </w:rPr>
            </w:pPr>
            <w:r>
              <w:rPr>
                <w:rFonts w:hint="eastAsia" w:ascii="Cambria Math" w:hAnsi="Cambria Math"/>
                <w:i w:val="0"/>
                <w:color w:val="0000FF"/>
                <w:sz w:val="20"/>
                <w:szCs w:val="20"/>
                <w:lang w:val="en-US" w:eastAsia="zh-CN"/>
              </w:rPr>
              <w:t xml:space="preserve">for cat 2: </w:t>
            </w:r>
            <w:r>
              <w:rPr>
                <w:rFonts w:hint="default"/>
                <w:iCs/>
                <w:sz w:val="20"/>
                <w:szCs w:val="20"/>
                <w:lang w:eastAsia="zh-CN"/>
              </w:rPr>
              <w:t>[</w:t>
            </w:r>
            <w:r>
              <w:rPr>
                <w:rFonts w:hint="eastAsia"/>
                <w:iCs/>
                <w:color w:val="0000FF"/>
                <w:sz w:val="20"/>
                <w:szCs w:val="20"/>
                <w:lang w:val="en-US" w:eastAsia="zh-CN"/>
              </w:rPr>
              <w:t xml:space="preserve">11.5 </w:t>
            </w:r>
            <w:r>
              <w:rPr>
                <w:rFonts w:hint="eastAsia"/>
                <w:iCs/>
                <w:strike/>
                <w:dstrike w:val="0"/>
                <w:color w:val="0000FF"/>
                <w:sz w:val="20"/>
                <w:szCs w:val="20"/>
                <w:lang w:val="en-US" w:eastAsia="zh-CN"/>
              </w:rPr>
              <w:t>1.5</w:t>
            </w:r>
            <w:r>
              <w:rPr>
                <w:rFonts w:hint="default" w:eastAsia="Malgun Gothic"/>
                <w:sz w:val="20"/>
                <w:szCs w:val="20"/>
                <w:lang w:eastAsia="zh-CN"/>
              </w:rPr>
              <w:t xml:space="preserve">] for </w:t>
            </w:r>
            <m:oMath>
              <m:r>
                <m:rPr>
                  <m:sty m:val="p"/>
                </m:rPr>
                <w:rPr>
                  <w:rFonts w:hint="default" w:ascii="Cambria Math" w:hAnsi="Cambria Math" w:eastAsia="Malgun Gothic"/>
                  <w:sz w:val="20"/>
                  <w:szCs w:val="20"/>
                  <w:lang w:eastAsia="zh-CN"/>
                </w:rPr>
                <m:t>η=0.34</m:t>
              </m:r>
            </m:oMath>
            <w:r>
              <w:rPr>
                <w:rFonts w:hint="default" w:eastAsia="Malgun Gothic"/>
                <w:sz w:val="20"/>
                <w:szCs w:val="20"/>
                <w:lang w:eastAsia="zh-CN"/>
              </w:rPr>
              <w:t xml:space="preserve">, [9.9] for </w:t>
            </w:r>
            <m:oMath>
              <m:r>
                <m:rPr>
                  <m:sty m:val="p"/>
                </m:rPr>
                <w:rPr>
                  <w:rFonts w:hint="default" w:ascii="Cambria Math" w:hAnsi="Cambria Math" w:eastAsia="Malgun Gothic"/>
                  <w:sz w:val="20"/>
                  <w:szCs w:val="20"/>
                  <w:lang w:eastAsia="zh-CN"/>
                </w:rPr>
                <m:t>η=0.5</m:t>
              </m:r>
            </m:oMath>
            <w:r>
              <w:rPr>
                <w:rFonts w:hint="default"/>
                <w:color w:val="0000FF"/>
                <w:sz w:val="20"/>
                <w:szCs w:val="20"/>
                <w:lang w:eastAsia="zh-CN"/>
              </w:rPr>
              <w:t>, [</w:t>
            </w:r>
            <w:r>
              <w:rPr>
                <w:rFonts w:hint="eastAsia"/>
                <w:color w:val="0000FF"/>
                <w:sz w:val="20"/>
                <w:szCs w:val="20"/>
                <w:lang w:val="en-US" w:eastAsia="zh-CN"/>
              </w:rPr>
              <w:t xml:space="preserve">13.5 </w:t>
            </w:r>
            <w:r>
              <w:rPr>
                <w:rFonts w:hint="default"/>
                <w:strike/>
                <w:dstrike w:val="0"/>
                <w:color w:val="0000FF"/>
                <w:sz w:val="20"/>
                <w:szCs w:val="20"/>
                <w:lang w:eastAsia="zh-CN"/>
              </w:rPr>
              <w:t>110</w:t>
            </w:r>
            <w:r>
              <w:rPr>
                <w:rFonts w:hint="default"/>
                <w:color w:val="0000FF"/>
                <w:sz w:val="20"/>
                <w:szCs w:val="20"/>
                <w:lang w:eastAsia="zh-CN"/>
              </w:rPr>
              <w:t xml:space="preserve">] for </w:t>
            </w:r>
            <m:oMath>
              <m:r>
                <w:rPr>
                  <w:rFonts w:hint="default" w:ascii="Cambria Math" w:hAnsi="Cambria Math"/>
                  <w:color w:val="0000FF"/>
                  <w:sz w:val="20"/>
                  <w:szCs w:val="20"/>
                  <w:lang w:eastAsia="zh-CN"/>
                </w:rPr>
                <m:t>η=1</m:t>
              </m:r>
            </m:oMath>
          </w:p>
          <w:p>
            <w:pPr>
              <w:pStyle w:val="48"/>
              <w:keepNext w:val="0"/>
              <w:keepLines w:val="0"/>
              <w:widowControl/>
              <w:numPr>
                <w:ilvl w:val="4"/>
                <w:numId w:val="9"/>
              </w:numPr>
              <w:suppressLineNumbers w:val="0"/>
              <w:spacing w:before="0" w:beforeAutospacing="0" w:afterAutospacing="0"/>
              <w:ind w:right="0"/>
              <w:rPr>
                <w:rFonts w:hint="eastAsia" w:cs="Times New Roman"/>
                <w:i w:val="0"/>
                <w:iCs/>
                <w:sz w:val="20"/>
                <w:szCs w:val="20"/>
                <w:lang w:val="en-US" w:eastAsia="zh-CN"/>
              </w:rPr>
            </w:pPr>
            <m:oMath>
              <m:sSub>
                <m:sSubPr>
                  <m:ctrlPr>
                    <w:rPr>
                      <w:rFonts w:hint="default" w:ascii="Cambria Math" w:hAnsi="Cambria Math"/>
                      <w:i/>
                      <w:iCs/>
                      <w:sz w:val="20"/>
                      <w:szCs w:val="20"/>
                    </w:rPr>
                  </m:ctrlPr>
                </m:sSubPr>
                <m:e>
                  <m:r>
                    <w:rPr>
                      <w:rFonts w:hint="default" w:ascii="Cambria Math" w:hAnsi="Cambria Math"/>
                      <w:sz w:val="20"/>
                      <w:szCs w:val="20"/>
                    </w:rPr>
                    <m:t>P</m:t>
                  </m:r>
                  <m:ctrlPr>
                    <w:rPr>
                      <w:rFonts w:hint="default" w:ascii="Cambria Math" w:hAnsi="Cambria Math"/>
                      <w:i/>
                      <w:iCs/>
                      <w:sz w:val="20"/>
                      <w:szCs w:val="20"/>
                    </w:rPr>
                  </m:ctrlPr>
                </m:e>
                <m:sub>
                  <m:r>
                    <w:rPr>
                      <w:rFonts w:hint="default" w:ascii="Cambria Math" w:hAnsi="Cambria Math"/>
                      <w:sz w:val="20"/>
                      <w:szCs w:val="20"/>
                    </w:rPr>
                    <m:t>dyn,joint</m:t>
                  </m:r>
                  <m:ctrlPr>
                    <w:rPr>
                      <w:rFonts w:hint="default" w:ascii="Cambria Math" w:hAnsi="Cambria Math"/>
                      <w:i/>
                      <w:iCs/>
                      <w:sz w:val="20"/>
                      <w:szCs w:val="20"/>
                    </w:rPr>
                  </m:ctrlPr>
                </m:sub>
              </m:sSub>
            </m:oMath>
            <w:r>
              <w:rPr>
                <w:rFonts w:hint="default"/>
                <w:iCs/>
                <w:sz w:val="20"/>
                <w:szCs w:val="20"/>
                <w:lang w:eastAsia="zh-CN"/>
              </w:rPr>
              <w:t xml:space="preserve">: </w:t>
            </w:r>
          </w:p>
          <w:p>
            <w:pPr>
              <w:pStyle w:val="48"/>
              <w:keepNext w:val="0"/>
              <w:keepLines w:val="0"/>
              <w:widowControl/>
              <w:numPr>
                <w:ilvl w:val="5"/>
                <w:numId w:val="9"/>
              </w:numPr>
              <w:suppressLineNumbers w:val="0"/>
              <w:spacing w:before="0" w:beforeAutospacing="0" w:afterAutospacing="0"/>
              <w:ind w:left="2520" w:leftChars="0" w:right="0" w:hanging="420" w:firstLineChars="0"/>
              <w:rPr>
                <w:rFonts w:hint="eastAsia" w:cs="Times New Roman"/>
                <w:i w:val="0"/>
                <w:iCs/>
                <w:sz w:val="20"/>
                <w:szCs w:val="20"/>
                <w:lang w:val="en-US" w:eastAsia="zh-CN"/>
              </w:rPr>
            </w:pPr>
            <w:r>
              <w:rPr>
                <w:rFonts w:hint="eastAsia"/>
                <w:iCs/>
                <w:color w:val="0000FF"/>
                <w:sz w:val="20"/>
                <w:szCs w:val="20"/>
                <w:lang w:val="en-US" w:eastAsia="zh-CN"/>
              </w:rPr>
              <w:t xml:space="preserve">for cat 1: </w:t>
            </w:r>
            <w:r>
              <w:rPr>
                <w:rFonts w:hint="default"/>
                <w:iCs/>
                <w:color w:val="0000FF"/>
                <w:sz w:val="20"/>
                <w:szCs w:val="20"/>
                <w:lang w:eastAsia="zh-CN"/>
              </w:rPr>
              <w:t>[</w:t>
            </w:r>
            <w:r>
              <w:rPr>
                <w:rFonts w:hint="eastAsia"/>
                <w:iCs/>
                <w:color w:val="0000FF"/>
                <w:sz w:val="20"/>
                <w:szCs w:val="20"/>
                <w:lang w:val="en-US" w:eastAsia="zh-CN"/>
              </w:rPr>
              <w:t>51</w:t>
            </w:r>
            <w:r>
              <w:rPr>
                <w:rFonts w:hint="default"/>
                <w:iCs/>
                <w:color w:val="0000FF"/>
                <w:sz w:val="20"/>
                <w:szCs w:val="20"/>
                <w:lang w:eastAsia="zh-CN"/>
              </w:rPr>
              <w:t>]</w:t>
            </w:r>
            <w:r>
              <w:rPr>
                <w:rFonts w:hint="default"/>
                <w:iCs/>
                <w:sz w:val="20"/>
                <w:szCs w:val="20"/>
                <w:lang w:eastAsia="zh-CN"/>
              </w:rPr>
              <w:t xml:space="preserve"> for </w:t>
            </w:r>
            <m:oMath>
              <m:r>
                <w:rPr>
                  <w:rFonts w:hint="default" w:ascii="Cambria Math" w:hAnsi="Cambria Math"/>
                  <w:sz w:val="20"/>
                  <w:szCs w:val="20"/>
                  <w:lang w:eastAsia="zh-CN"/>
                </w:rPr>
                <m:t>η=0.34</m:t>
              </m:r>
            </m:oMath>
            <w:r>
              <w:rPr>
                <w:rFonts w:hint="default"/>
                <w:sz w:val="20"/>
                <w:szCs w:val="20"/>
                <w:lang w:eastAsia="zh-CN"/>
              </w:rPr>
              <w:t xml:space="preserve">, </w:t>
            </w:r>
            <w:r>
              <w:rPr>
                <w:rFonts w:hint="default"/>
                <w:iCs/>
                <w:sz w:val="20"/>
                <w:szCs w:val="20"/>
                <w:lang w:eastAsia="zh-CN"/>
              </w:rPr>
              <w:t>[</w:t>
            </w:r>
            <w:r>
              <w:rPr>
                <w:rFonts w:hint="eastAsia"/>
                <w:iCs/>
                <w:color w:val="0000FF"/>
                <w:sz w:val="20"/>
                <w:szCs w:val="20"/>
                <w:lang w:val="en-US" w:eastAsia="zh-CN"/>
              </w:rPr>
              <w:t xml:space="preserve">72.5 </w:t>
            </w:r>
            <w:r>
              <w:rPr>
                <w:rFonts w:hint="default"/>
                <w:iCs/>
                <w:strike/>
                <w:dstrike w:val="0"/>
                <w:color w:val="0000FF"/>
                <w:sz w:val="20"/>
                <w:szCs w:val="20"/>
                <w:lang w:eastAsia="zh-CN"/>
              </w:rPr>
              <w:t>8.3</w:t>
            </w:r>
            <w:r>
              <w:rPr>
                <w:rFonts w:hint="default"/>
                <w:iCs/>
                <w:sz w:val="20"/>
                <w:szCs w:val="20"/>
                <w:lang w:eastAsia="zh-CN"/>
              </w:rPr>
              <w:t xml:space="preserve">] for </w:t>
            </w:r>
            <m:oMath>
              <m:r>
                <w:rPr>
                  <w:rFonts w:hint="default" w:ascii="Cambria Math" w:hAnsi="Cambria Math"/>
                  <w:sz w:val="20"/>
                  <w:szCs w:val="20"/>
                  <w:lang w:eastAsia="zh-CN"/>
                </w:rPr>
                <m:t>η=0.5</m:t>
              </m:r>
            </m:oMath>
            <w:r>
              <w:rPr>
                <w:rFonts w:hint="default"/>
                <w:sz w:val="20"/>
                <w:szCs w:val="20"/>
                <w:lang w:eastAsia="zh-CN"/>
              </w:rPr>
              <w:t xml:space="preserve">, [115] for </w:t>
            </w:r>
            <m:oMath>
              <m:r>
                <w:rPr>
                  <w:rFonts w:hint="default" w:ascii="Cambria Math" w:hAnsi="Cambria Math"/>
                  <w:sz w:val="20"/>
                  <w:szCs w:val="20"/>
                  <w:lang w:eastAsia="zh-CN"/>
                </w:rPr>
                <m:t>η=1</m:t>
              </m:r>
            </m:oMath>
          </w:p>
          <w:p>
            <w:pPr>
              <w:pStyle w:val="48"/>
              <w:keepNext w:val="0"/>
              <w:keepLines w:val="0"/>
              <w:widowControl/>
              <w:numPr>
                <w:ilvl w:val="5"/>
                <w:numId w:val="9"/>
              </w:numPr>
              <w:suppressLineNumbers w:val="0"/>
              <w:spacing w:before="0" w:beforeAutospacing="0" w:afterAutospacing="0"/>
              <w:ind w:left="2520" w:leftChars="0" w:right="0" w:hanging="420" w:firstLineChars="0"/>
              <w:rPr>
                <w:rFonts w:hint="eastAsia" w:cs="Times New Roman"/>
                <w:i w:val="0"/>
                <w:iCs/>
                <w:sz w:val="20"/>
                <w:szCs w:val="20"/>
                <w:lang w:val="en-US" w:eastAsia="zh-CN"/>
              </w:rPr>
            </w:pPr>
            <w:r>
              <w:rPr>
                <w:rFonts w:hint="eastAsia"/>
                <w:iCs/>
                <w:color w:val="0000FF"/>
                <w:sz w:val="20"/>
                <w:szCs w:val="20"/>
                <w:lang w:val="en-US" w:eastAsia="zh-CN"/>
              </w:rPr>
              <w:t xml:space="preserve">for cat 2: </w:t>
            </w:r>
            <w:r>
              <w:rPr>
                <w:rFonts w:hint="default"/>
                <w:iCs/>
                <w:sz w:val="20"/>
                <w:szCs w:val="20"/>
                <w:lang w:eastAsia="zh-CN"/>
              </w:rPr>
              <w:t>[</w:t>
            </w:r>
            <w:r>
              <w:rPr>
                <w:rFonts w:hint="eastAsia"/>
                <w:iCs/>
                <w:color w:val="0000FF"/>
                <w:sz w:val="20"/>
                <w:szCs w:val="20"/>
                <w:lang w:val="en-US" w:eastAsia="zh-CN"/>
              </w:rPr>
              <w:t xml:space="preserve">5.1 </w:t>
            </w:r>
            <w:r>
              <w:rPr>
                <w:rFonts w:hint="default"/>
                <w:iCs/>
                <w:strike/>
                <w:dstrike w:val="0"/>
                <w:color w:val="0000FF"/>
                <w:sz w:val="20"/>
                <w:szCs w:val="20"/>
                <w:lang w:eastAsia="zh-CN"/>
              </w:rPr>
              <w:t>8.5</w:t>
            </w:r>
            <w:r>
              <w:rPr>
                <w:rFonts w:hint="default"/>
                <w:iCs/>
                <w:sz w:val="20"/>
                <w:szCs w:val="20"/>
                <w:lang w:eastAsia="zh-CN"/>
              </w:rPr>
              <w:t xml:space="preserve">] for </w:t>
            </w:r>
            <m:oMath>
              <m:r>
                <m:rPr>
                  <m:sty m:val="p"/>
                </m:rPr>
                <w:rPr>
                  <w:rFonts w:hint="default" w:ascii="Cambria Math" w:hAnsi="Cambria Math"/>
                  <w:sz w:val="20"/>
                  <w:szCs w:val="20"/>
                  <w:lang w:eastAsia="zh-CN"/>
                </w:rPr>
                <m:t>η=0.34</m:t>
              </m:r>
            </m:oMath>
            <w:r>
              <w:rPr>
                <w:rFonts w:hint="default"/>
                <w:iCs/>
                <w:sz w:val="20"/>
                <w:szCs w:val="20"/>
                <w:lang w:eastAsia="zh-CN"/>
              </w:rPr>
              <w:t xml:space="preserve">, [8.3] for </w:t>
            </w:r>
            <m:oMath>
              <m:r>
                <m:rPr>
                  <m:sty m:val="p"/>
                </m:rPr>
                <w:rPr>
                  <w:rFonts w:hint="default" w:ascii="Cambria Math" w:hAnsi="Cambria Math"/>
                  <w:sz w:val="20"/>
                  <w:szCs w:val="20"/>
                  <w:lang w:eastAsia="zh-CN"/>
                </w:rPr>
                <m:t>η=0.5</m:t>
              </m:r>
            </m:oMath>
            <w:r>
              <w:rPr>
                <w:rFonts w:hint="default"/>
                <w:iCs/>
                <w:sz w:val="20"/>
                <w:szCs w:val="20"/>
                <w:lang w:eastAsia="zh-CN"/>
              </w:rPr>
              <w:t xml:space="preserve">, </w:t>
            </w:r>
            <w:r>
              <w:rPr>
                <w:rFonts w:hint="default"/>
                <w:color w:val="0000FF"/>
                <w:sz w:val="20"/>
                <w:szCs w:val="20"/>
                <w:lang w:eastAsia="zh-CN"/>
              </w:rPr>
              <w:t>[</w:t>
            </w:r>
            <w:r>
              <w:rPr>
                <w:rFonts w:hint="eastAsia"/>
                <w:color w:val="0000FF"/>
                <w:sz w:val="20"/>
                <w:szCs w:val="20"/>
                <w:lang w:val="en-US" w:eastAsia="zh-CN"/>
              </w:rPr>
              <w:t xml:space="preserve">13 </w:t>
            </w:r>
            <w:r>
              <w:rPr>
                <w:rFonts w:hint="default"/>
                <w:strike/>
                <w:dstrike w:val="0"/>
                <w:color w:val="0000FF"/>
                <w:sz w:val="20"/>
                <w:szCs w:val="20"/>
                <w:lang w:eastAsia="zh-CN"/>
              </w:rPr>
              <w:t>115</w:t>
            </w:r>
            <w:r>
              <w:rPr>
                <w:rFonts w:hint="eastAsia"/>
                <w:color w:val="0000FF"/>
                <w:sz w:val="20"/>
                <w:szCs w:val="20"/>
                <w:lang w:val="en-US" w:eastAsia="zh-CN"/>
              </w:rPr>
              <w:t xml:space="preserve"> </w:t>
            </w:r>
            <w:r>
              <w:rPr>
                <w:rFonts w:hint="default"/>
                <w:color w:val="0000FF"/>
                <w:sz w:val="20"/>
                <w:szCs w:val="20"/>
                <w:lang w:eastAsia="zh-CN"/>
              </w:rPr>
              <w:t xml:space="preserve">] for </w:t>
            </w:r>
            <m:oMath>
              <m:r>
                <w:rPr>
                  <w:rFonts w:hint="default" w:ascii="Cambria Math" w:hAnsi="Cambria Math"/>
                  <w:color w:val="0000FF"/>
                  <w:sz w:val="20"/>
                  <w:szCs w:val="20"/>
                  <w:lang w:eastAsia="zh-CN"/>
                </w:rPr>
                <m:t>η=1</m:t>
              </m:r>
            </m:oMath>
          </w:p>
          <w:p>
            <w:pPr>
              <w:keepNext w:val="0"/>
              <w:keepLines w:val="0"/>
              <w:widowControl w:val="0"/>
              <w:numPr>
                <w:ilvl w:val="0"/>
                <w:numId w:val="31"/>
              </w:numPr>
              <w:suppressLineNumbers w:val="0"/>
              <w:autoSpaceDE w:val="0"/>
              <w:autoSpaceDN w:val="0"/>
              <w:adjustRightInd w:val="0"/>
              <w:snapToGrid w:val="0"/>
              <w:spacing w:before="0" w:beforeAutospacing="0" w:after="0" w:afterAutospacing="0" w:line="259" w:lineRule="auto"/>
              <w:ind w:left="0" w:right="0"/>
              <w:jc w:val="left"/>
              <w:rPr>
                <w:rFonts w:hint="default" w:eastAsiaTheme="minorEastAsia"/>
                <w:sz w:val="20"/>
                <w:szCs w:val="20"/>
              </w:rPr>
            </w:pPr>
            <w:r>
              <w:rPr>
                <w:rFonts w:hint="eastAsia" w:eastAsiaTheme="minorEastAsia"/>
                <w:sz w:val="20"/>
                <w:szCs w:val="20"/>
                <w:lang w:val="en-US" w:eastAsia="zh-CN"/>
              </w:rPr>
              <w:t>For inter-band CA, we think the total power consumption is separately calculated for each CC, including the static part.</w:t>
            </w:r>
          </w:p>
          <w:p>
            <w:pPr>
              <w:keepNext w:val="0"/>
              <w:keepLines w:val="0"/>
              <w:widowControl w:val="0"/>
              <w:numPr>
                <w:ilvl w:val="0"/>
                <w:numId w:val="31"/>
              </w:numPr>
              <w:suppressLineNumbers w:val="0"/>
              <w:autoSpaceDE w:val="0"/>
              <w:autoSpaceDN w:val="0"/>
              <w:adjustRightInd w:val="0"/>
              <w:snapToGrid w:val="0"/>
              <w:spacing w:before="0" w:beforeAutospacing="0" w:after="0" w:afterAutospacing="0" w:line="259" w:lineRule="auto"/>
              <w:ind w:left="0" w:right="0"/>
              <w:jc w:val="left"/>
              <w:rPr>
                <w:rFonts w:hint="default" w:eastAsiaTheme="minorEastAsia"/>
                <w:sz w:val="20"/>
                <w:szCs w:val="20"/>
              </w:rPr>
            </w:pPr>
            <w:r>
              <w:rPr>
                <w:rFonts w:hint="eastAsia" w:eastAsiaTheme="minorEastAsia"/>
                <w:sz w:val="20"/>
                <w:szCs w:val="20"/>
                <w:lang w:val="en-US" w:eastAsia="zh-CN"/>
              </w:rPr>
              <w:t>Transition time of zero should also be considered.</w:t>
            </w:r>
          </w:p>
          <w:p>
            <w:pPr>
              <w:keepNext w:val="0"/>
              <w:keepLines w:val="0"/>
              <w:widowControl w:val="0"/>
              <w:numPr>
                <w:ilvl w:val="0"/>
                <w:numId w:val="0"/>
              </w:numPr>
              <w:suppressLineNumbers w:val="0"/>
              <w:autoSpaceDE w:val="0"/>
              <w:autoSpaceDN w:val="0"/>
              <w:adjustRightInd w:val="0"/>
              <w:snapToGrid w:val="0"/>
              <w:spacing w:before="0" w:beforeAutospacing="0" w:after="0" w:afterAutospacing="0" w:line="259" w:lineRule="auto"/>
              <w:ind w:left="0" w:right="0"/>
              <w:jc w:val="left"/>
              <w:rPr>
                <w:rFonts w:hint="default" w:eastAsiaTheme="minorEastAsia"/>
                <w:sz w:val="20"/>
                <w:szCs w:val="20"/>
              </w:rPr>
            </w:pPr>
            <w:r>
              <w:rPr>
                <w:rFonts w:hint="eastAsia" w:eastAsiaTheme="minorEastAsia"/>
                <w:sz w:val="20"/>
                <w:szCs w:val="20"/>
                <w:lang w:val="en-US" w:eastAsia="zh-CN"/>
              </w:rPr>
              <w:t xml:space="preserve">For </w:t>
            </w:r>
            <w:r>
              <w:rPr>
                <w:rFonts w:hint="default" w:eastAsia="Malgun Gothic"/>
                <w:iCs/>
                <w:sz w:val="20"/>
                <w:szCs w:val="20"/>
                <w:lang w:eastAsia="zh-CN"/>
              </w:rPr>
              <w:t>Antenna adaptation delay is explicitly modelled with a transition time of [</w:t>
            </w:r>
            <w:r>
              <w:rPr>
                <w:rFonts w:hint="eastAsia" w:eastAsia="Malgun Gothic"/>
                <w:iCs/>
                <w:color w:val="FF0000"/>
                <w:sz w:val="20"/>
                <w:szCs w:val="20"/>
                <w:lang w:val="en-US" w:eastAsia="zh-CN"/>
              </w:rPr>
              <w:t>0</w:t>
            </w:r>
            <w:r>
              <w:rPr>
                <w:rFonts w:hint="default" w:eastAsia="Malgun Gothic"/>
                <w:iCs/>
                <w:sz w:val="20"/>
                <w:szCs w:val="20"/>
                <w:lang w:eastAsia="zh-CN"/>
              </w:rPr>
              <w:t>-3] ms</w:t>
            </w:r>
            <w:r>
              <w:rPr>
                <w:rFonts w:hint="default" w:eastAsia="Malgun Gothic"/>
                <w:iCs/>
                <w:strike/>
                <w:dstrike w:val="0"/>
                <w:color w:val="FF0000"/>
                <w:sz w:val="20"/>
                <w:szCs w:val="20"/>
                <w:lang w:eastAsia="zh-CN"/>
              </w:rPr>
              <w:t>, if not fall into micro-slee</w:t>
            </w:r>
            <w:r>
              <w:rPr>
                <w:rFonts w:hint="default" w:eastAsia="Malgun Gothic"/>
                <w:iCs/>
                <w:sz w:val="20"/>
                <w:szCs w:val="20"/>
                <w:lang w:eastAsia="zh-CN"/>
              </w:rPr>
              <w:t>p.</w:t>
            </w:r>
          </w:p>
          <w:p>
            <w:pPr>
              <w:keepNext w:val="0"/>
              <w:keepLines w:val="0"/>
              <w:widowControl w:val="0"/>
              <w:numPr>
                <w:ilvl w:val="0"/>
                <w:numId w:val="0"/>
              </w:numPr>
              <w:suppressLineNumbers w:val="0"/>
              <w:autoSpaceDE w:val="0"/>
              <w:autoSpaceDN w:val="0"/>
              <w:adjustRightInd w:val="0"/>
              <w:snapToGrid w:val="0"/>
              <w:spacing w:before="0" w:beforeAutospacing="0" w:after="0" w:afterAutospacing="0" w:line="259" w:lineRule="auto"/>
              <w:ind w:left="0" w:right="0"/>
              <w:jc w:val="left"/>
              <w:rPr>
                <w:rFonts w:hint="default" w:eastAsiaTheme="minorEastAsia"/>
                <w:sz w:val="20"/>
                <w:szCs w:val="20"/>
                <w:lang w:val="en-US" w:eastAsia="zh-CN"/>
              </w:rPr>
            </w:pPr>
          </w:p>
          <w:p>
            <w:pPr>
              <w:keepNext w:val="0"/>
              <w:keepLines w:val="0"/>
              <w:widowControl w:val="0"/>
              <w:suppressLineNumbers w:val="0"/>
              <w:spacing w:before="0" w:beforeAutospacing="0" w:after="0" w:afterAutospacing="0"/>
              <w:ind w:left="0" w:leftChars="0" w:right="0" w:rightChars="0"/>
              <w:jc w:val="left"/>
              <w:rPr>
                <w:rFonts w:hint="eastAsia" w:ascii="Times New Roman" w:hAnsi="Times New Roman" w:eastAsia="宋体" w:cs="Times New Roman"/>
                <w:i w:val="0"/>
                <w:iCs/>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keepNext w:val="0"/>
              <w:keepLines w:val="0"/>
              <w:widowControl w:val="0"/>
              <w:suppressLineNumbers w:val="0"/>
              <w:spacing w:before="0" w:beforeAutospacing="0" w:after="0" w:afterAutospacing="0"/>
              <w:ind w:left="0" w:leftChars="0" w:right="0" w:rightChars="0"/>
              <w:jc w:val="center"/>
              <w:rPr>
                <w:rFonts w:hint="eastAsia" w:eastAsiaTheme="minorEastAsia"/>
                <w:sz w:val="20"/>
                <w:szCs w:val="20"/>
                <w:lang w:val="en-US" w:eastAsia="zh-CN"/>
              </w:rPr>
            </w:pPr>
          </w:p>
        </w:tc>
        <w:tc>
          <w:tcPr>
            <w:tcW w:w="8329" w:type="dxa"/>
            <w:vAlign w:val="top"/>
          </w:tcPr>
          <w:p>
            <w:pPr>
              <w:keepNext w:val="0"/>
              <w:keepLines w:val="0"/>
              <w:widowControl w:val="0"/>
              <w:suppressLineNumbers w:val="0"/>
              <w:spacing w:before="0" w:beforeAutospacing="0" w:after="0" w:afterAutospacing="0"/>
              <w:ind w:left="0" w:leftChars="0" w:right="0" w:rightChars="0"/>
              <w:jc w:val="left"/>
              <w:rPr>
                <w:rFonts w:hint="eastAsia" w:ascii="Times New Roman" w:hAnsi="Times New Roman" w:eastAsia="宋体" w:cs="Times New Roman"/>
                <w:i w:val="0"/>
                <w:iCs/>
                <w:sz w:val="20"/>
                <w:szCs w:val="20"/>
                <w:lang w:val="en-US" w:eastAsia="zh-CN" w:bidi="ar-SA"/>
              </w:rPr>
            </w:pPr>
          </w:p>
        </w:tc>
      </w:tr>
    </w:tbl>
    <w:p>
      <w:pPr>
        <w:spacing w:after="0"/>
      </w:pPr>
    </w:p>
    <w:p>
      <w:pPr>
        <w:pStyle w:val="3"/>
      </w:pPr>
      <w:r>
        <w:t>Power model feasibility/applicability</w:t>
      </w:r>
    </w:p>
    <w:p>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
        <w:t>OPPO wants to discuss whether power scaling and sleep mode is supported by legacy BS to align the evaluation baseline for BS energy saving study.</w:t>
      </w:r>
    </w:p>
    <w:p>
      <w:r>
        <w:t>Fujitsu observes similarly as Nokia w.r.t. the difference of categories, and further notes that the difference on the power of active DL compared to micro sleep is relatively small.</w:t>
      </w:r>
    </w:p>
    <w:p>
      <w:r>
        <w:t>Samsung observes that the gap between micro and active UL in Cat 1 seems a bit high thus may need to be further investigated.</w:t>
      </w:r>
    </w:p>
    <w:p>
      <w:pPr>
        <w:pStyle w:val="4"/>
      </w:pPr>
      <w:r>
        <w:t>Initial round</w:t>
      </w:r>
    </w:p>
    <w:p>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2.5.1:</w:t>
            </w:r>
          </w:p>
          <w:p>
            <w:pPr>
              <w:pStyle w:val="48"/>
              <w:widowControl w:val="0"/>
              <w:numPr>
                <w:ilvl w:val="0"/>
                <w:numId w:val="32"/>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32"/>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32"/>
              </w:numPr>
            </w:pPr>
            <w:r>
              <w:t>Capture that, different power states and transition times is possible for BS today, although different BS types with different number of power state levels, relative power values and transition times can exist.</w:t>
            </w:r>
          </w:p>
          <w:p>
            <w:pPr>
              <w:pStyle w:val="48"/>
              <w:widowControl w:val="0"/>
              <w:numPr>
                <w:ilvl w:val="0"/>
                <w:numId w:val="32"/>
              </w:numPr>
            </w:pPr>
            <w:r>
              <w:t xml:space="preserve">Companies are invited to share more that can be discussed about feasibility of each category. For example, whether/how to capture hardware operations for state transition.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could like the proponents of Cat-1 to clarify the HW feasibility in reality.</w:t>
            </w:r>
          </w:p>
          <w:p>
            <w:pPr>
              <w:widowControl w:val="0"/>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pPr>
              <w:widowControl w:val="0"/>
              <w:spacing w:after="0"/>
              <w:jc w:val="left"/>
              <w:rPr>
                <w:rFonts w:eastAsiaTheme="minorEastAsia"/>
              </w:rPr>
            </w:pPr>
            <w:r>
              <w:rPr>
                <w:rFonts w:eastAsiaTheme="minorEastAsia"/>
              </w:rPr>
              <w:t>We would like to capture the discussion outcome in the TR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Spreadtrum</w:t>
            </w:r>
          </w:p>
        </w:tc>
        <w:tc>
          <w:tcPr>
            <w:tcW w:w="8329" w:type="dxa"/>
          </w:tcPr>
          <w:p>
            <w:pPr>
              <w:widowControl w:val="0"/>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eastAsiaTheme="minorEastAsia"/>
                <w:sz w:val="20"/>
                <w:szCs w:val="20"/>
                <w:lang w:val="en-US" w:eastAsia="zh-CN" w:bidi="ar-SA"/>
              </w:rPr>
            </w:pPr>
            <w:r>
              <w:rPr>
                <w:rFonts w:hint="eastAsia" w:eastAsiaTheme="minorEastAsia"/>
                <w:sz w:val="20"/>
                <w:szCs w:val="20"/>
                <w:lang w:val="en-US" w:eastAsia="zh-CN"/>
              </w:rPr>
              <w:t>ZTE, Sanechips</w:t>
            </w:r>
          </w:p>
        </w:tc>
        <w:tc>
          <w:tcPr>
            <w:tcW w:w="8329" w:type="dxa"/>
            <w:vAlign w:val="top"/>
          </w:tcPr>
          <w:p>
            <w:pPr>
              <w:keepNext w:val="0"/>
              <w:keepLines w:val="0"/>
              <w:widowControl w:val="0"/>
              <w:suppressLineNumbers w:val="0"/>
              <w:spacing w:before="0" w:beforeAutospacing="0" w:after="0" w:afterAutospacing="0"/>
              <w:ind w:left="0" w:leftChars="0" w:right="0" w:rightChars="0"/>
              <w:jc w:val="left"/>
              <w:rPr>
                <w:rFonts w:hint="default" w:ascii="Times New Roman" w:hAnsi="Times New Roman" w:cs="Times New Roman" w:eastAsiaTheme="minorEastAsia"/>
                <w:sz w:val="20"/>
                <w:szCs w:val="20"/>
                <w:lang w:val="en-US" w:eastAsia="zh-CN" w:bidi="ar-SA"/>
              </w:rPr>
            </w:pPr>
            <w:r>
              <w:rPr>
                <w:rFonts w:hint="eastAsia" w:eastAsiaTheme="minorEastAsia"/>
                <w:sz w:val="20"/>
                <w:szCs w:val="20"/>
                <w:lang w:val="en-US" w:eastAsia="zh-CN"/>
              </w:rPr>
              <w:t>Okay for the discussion.</w:t>
            </w:r>
          </w:p>
        </w:tc>
      </w:tr>
    </w:tbl>
    <w:p/>
    <w:p>
      <w:pPr>
        <w:pStyle w:val="3"/>
      </w:pPr>
      <w:r>
        <w:t>Total energy consumption</w:t>
      </w:r>
    </w:p>
    <w:p>
      <w:r>
        <w:t xml:space="preserve">OPPO clarifies that, the total BS energy can be calculated as below. </w:t>
      </w:r>
    </w:p>
    <w:p>
      <w:pPr>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pStyle w:val="4"/>
      </w:pPr>
      <w:r>
        <w:t>Initial round</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P</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D</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w:rPr>
                      <w:rFonts w:ascii="Cambria Math" w:hAnsi="Cambria Math" w:eastAsiaTheme="minorEastAsia"/>
                    </w:rPr>
                    <m:t>E</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w:rPr>
                      <w:rFonts w:ascii="Cambria Math" w:hAnsi="Cambria Math" w:eastAsiaTheme="minorEastAsia"/>
                    </w:rPr>
                    <m:t>L</m:t>
                  </m:r>
                  <m:ctrlPr>
                    <w:rPr>
                      <w:rFonts w:ascii="Cambria Math" w:hAnsi="Cambria Math" w:eastAsiaTheme="minorEastAsia"/>
                      <w:bCs/>
                    </w:rPr>
                  </m:ctrlPr>
                </m:e>
                <m:sub>
                  <m: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pPr>
              <w:widowControl w:val="0"/>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3</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oMath>
            </m:oMathPara>
          </w:p>
          <w:p>
            <w:pPr>
              <w:widowControl w:val="0"/>
              <w:spacing w:after="0"/>
              <w:jc w:val="left"/>
              <w:rPr>
                <w:rFonts w:eastAsiaTheme="minorEastAsia"/>
              </w:rPr>
            </w:pPr>
            <w:r>
              <w:rPr>
                <w:rFonts w:eastAsiaTheme="minorEastAsia"/>
                <w:color w:val="FF0000"/>
              </w:rPr>
              <w:t xml:space="preserve">, where </w:t>
            </w:r>
            <m:oMath>
              <m:r>
                <m:rPr>
                  <m:sty m:val="bi"/>
                </m:rPr>
                <w:rPr>
                  <w:rFonts w:ascii="Cambria Math" w:hAnsi="Cambria Math" w:eastAsiaTheme="minorEastAsia"/>
                  <w:color w:val="FF0000"/>
                </w:rPr>
                <m:t>μ</m:t>
              </m:r>
            </m:oMath>
            <w:r>
              <w:rPr>
                <w:rFonts w:eastAsiaTheme="minorEastAsia"/>
                <w:color w:val="FF0000"/>
              </w:rPr>
              <w:t xml:space="preserve"> is the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are generally fine with the proposal and the revision by HW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Not sure if we need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B</w:t>
            </w:r>
            <w:r>
              <w:rPr>
                <w:rFonts w:eastAsiaTheme="minorEastAsia"/>
              </w:rPr>
              <w:t>asically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hint="eastAsia" w:eastAsiaTheme="minorEastAsia"/>
              </w:rPr>
            </w:pPr>
            <w:r>
              <w:rPr>
                <w:rFonts w:hint="eastAsia" w:eastAsiaTheme="minorEastAsia"/>
              </w:rPr>
              <w:t>W</w:t>
            </w:r>
            <w:r>
              <w:rPr>
                <w:rFonts w:eastAsiaTheme="minorEastAsia"/>
              </w:rPr>
              <w:t>e think that there may not be need to capture this since the total energy is the sum of energy for all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sz w:val="20"/>
                <w:szCs w:val="20"/>
                <w:lang w:val="en-US" w:eastAsia="zh-CN" w:bidi="ar-SA"/>
              </w:rPr>
            </w:pPr>
            <w:r>
              <w:rPr>
                <w:rFonts w:hint="eastAsia" w:eastAsiaTheme="minorEastAsia"/>
                <w:sz w:val="20"/>
                <w:szCs w:val="20"/>
                <w:lang w:val="en-US" w:eastAsia="zh-CN"/>
              </w:rPr>
              <w:t>ZTE, Sanechips</w:t>
            </w:r>
          </w:p>
        </w:tc>
        <w:tc>
          <w:tcPr>
            <w:tcW w:w="8329" w:type="dxa"/>
            <w:vAlign w:val="top"/>
          </w:tcPr>
          <w:p>
            <w:pPr>
              <w:keepNext w:val="0"/>
              <w:keepLines w:val="0"/>
              <w:widowControl w:val="0"/>
              <w:suppressLineNumbers w:val="0"/>
              <w:spacing w:before="0" w:beforeAutospacing="0" w:after="0" w:afterAutospacing="0"/>
              <w:ind w:left="0" w:leftChars="0" w:right="0" w:rightChars="0"/>
              <w:jc w:val="left"/>
              <w:rPr>
                <w:rFonts w:hint="eastAsia" w:ascii="Times New Roman" w:hAnsi="Times New Roman" w:cs="Times New Roman" w:eastAsiaTheme="minorEastAsia"/>
                <w:sz w:val="20"/>
                <w:szCs w:val="20"/>
                <w:lang w:val="en-US" w:eastAsia="zh-CN" w:bidi="ar-SA"/>
              </w:rPr>
            </w:pPr>
            <w:r>
              <w:rPr>
                <w:rFonts w:hint="eastAsia" w:cs="Times New Roman" w:eastAsiaTheme="minorEastAsia"/>
                <w:sz w:val="20"/>
                <w:szCs w:val="20"/>
                <w:lang w:val="en-US" w:eastAsia="zh-CN" w:bidi="ar-SA"/>
              </w:rPr>
              <w:t>Same view with Nokia, vivo, not sure whether it is needed.</w:t>
            </w:r>
          </w:p>
        </w:tc>
      </w:tr>
    </w:tbl>
    <w:p/>
    <w:p/>
    <w:p>
      <w:pPr>
        <w:pStyle w:val="2"/>
      </w:pPr>
      <w:r>
        <w:t>Methodology</w:t>
      </w:r>
    </w:p>
    <w:p>
      <w:pPr>
        <w:pStyle w:val="3"/>
      </w:pPr>
      <w:r>
        <w:rPr>
          <w:rFonts w:hint="eastAsia"/>
        </w:rPr>
        <w:t>K</w:t>
      </w:r>
      <w:r>
        <w:t>PI and traffic model</w:t>
      </w:r>
    </w:p>
    <w:p>
      <w:r>
        <w:t xml:space="preserve">Nokia consider that we should be able to benefit from using some multi-dimensional EE KPIs that jointly consider the energy consumption of the network and system/UE performance for a given technique, such as </w:t>
      </w:r>
    </w:p>
    <w:tbl>
      <w:tblPr>
        <w:tblStyle w:val="27"/>
        <w:tblpPr w:leftFromText="180" w:rightFromText="180" w:vertAnchor="text" w:horzAnchor="margin" w:tblpY="55"/>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4207"/>
        <w:gridCol w:w="842"/>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shd w:val="clear" w:color="auto" w:fill="F1F1F1" w:themeFill="background1" w:themeFillShade="F2"/>
            <w:vAlign w:val="center"/>
          </w:tcPr>
          <w:p>
            <w:pPr>
              <w:widowControl w:val="0"/>
              <w:spacing w:afterLines="50"/>
              <w:rPr>
                <w:rFonts w:cstheme="minorHAnsi"/>
                <w:b/>
                <w:bCs/>
              </w:rPr>
            </w:pPr>
            <w:r>
              <w:rPr>
                <w:rFonts w:cstheme="minorHAnsi"/>
                <w:b/>
                <w:bCs/>
              </w:rPr>
              <w:t>Metric ​</w:t>
            </w:r>
          </w:p>
        </w:tc>
        <w:tc>
          <w:tcPr>
            <w:tcW w:w="2113" w:type="pct"/>
            <w:shd w:val="clear" w:color="auto" w:fill="F1F1F1" w:themeFill="background1" w:themeFillShade="F2"/>
            <w:vAlign w:val="center"/>
          </w:tcPr>
          <w:p>
            <w:pPr>
              <w:widowControl w:val="0"/>
              <w:spacing w:afterLines="50"/>
              <w:jc w:val="center"/>
              <w:rPr>
                <w:rFonts w:cstheme="minorHAnsi"/>
                <w:b/>
                <w:bCs/>
              </w:rPr>
            </w:pPr>
            <w:r>
              <w:rPr>
                <w:rFonts w:cstheme="minorHAnsi"/>
                <w:b/>
                <w:bCs/>
              </w:rPr>
              <w:t>Metric formula​</w:t>
            </w:r>
          </w:p>
        </w:tc>
        <w:tc>
          <w:tcPr>
            <w:tcW w:w="423" w:type="pct"/>
            <w:shd w:val="clear" w:color="auto" w:fill="F1F1F1" w:themeFill="background1" w:themeFillShade="F2"/>
            <w:vAlign w:val="center"/>
          </w:tcPr>
          <w:p>
            <w:pPr>
              <w:widowControl w:val="0"/>
              <w:spacing w:afterLines="50"/>
              <w:jc w:val="center"/>
              <w:rPr>
                <w:rFonts w:cstheme="minorHAnsi"/>
                <w:b/>
                <w:bCs/>
                <w:sz w:val="18"/>
                <w:szCs w:val="18"/>
              </w:rPr>
            </w:pPr>
            <w:r>
              <w:rPr>
                <w:rFonts w:cstheme="minorHAnsi"/>
                <w:b/>
                <w:bCs/>
              </w:rPr>
              <w:t>Unit</w:t>
            </w:r>
          </w:p>
        </w:tc>
        <w:tc>
          <w:tcPr>
            <w:tcW w:w="1550" w:type="pct"/>
            <w:shd w:val="clear" w:color="auto" w:fill="F1F1F1" w:themeFill="background1" w:themeFillShade="F2"/>
            <w:vAlign w:val="center"/>
          </w:tcPr>
          <w:p>
            <w:pPr>
              <w:widowControl w:val="0"/>
              <w:spacing w:afterLines="50"/>
              <w:jc w:val="center"/>
              <w:rPr>
                <w:rFonts w:cstheme="minorHAnsi"/>
                <w:b/>
                <w:bCs/>
              </w:rPr>
            </w:pPr>
            <w:r>
              <w:rPr>
                <w:rFonts w:cstheme="minorHAnsi"/>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UPT-aware EE </w:t>
            </w:r>
          </w:p>
        </w:tc>
        <w:tc>
          <w:tcPr>
            <w:tcW w:w="2113" w:type="pct"/>
          </w:tcPr>
          <w:p>
            <w:pPr>
              <w:widowControl w:val="0"/>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UPT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cstheme="minorHAnsi"/>
                <w:b/>
                <w:bCs/>
              </w:rPr>
            </w:pPr>
            <w:r>
              <w:rPr>
                <w:rFonts w:eastAsiaTheme="minorEastAsia"/>
                <w:b/>
                <w:lang w:eastAsia="zh-TW"/>
              </w:rPr>
              <w:t xml:space="preserve">Cell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AvgCell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 xml:space="preserve">The ratio of the average cell throughput to the network power consumption.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Cell-edge UE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Cell-edge Tput</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The ratio of the cell-edge UE (instantaneous) throughput to the network power consumption.</w:t>
            </w:r>
          </w:p>
          <w:p>
            <w:pPr>
              <w:widowControl w:val="0"/>
              <w:spacing w:afterLines="50"/>
              <w:rPr>
                <w:sz w:val="18"/>
                <w:szCs w:val="18"/>
              </w:rPr>
            </w:pPr>
            <w:r>
              <w:rPr>
                <w:rFonts w:cstheme="minorHAnsi"/>
                <w:sz w:val="18"/>
                <w:szCs w:val="18"/>
              </w:rPr>
              <w:t>Note: This metric corresponds to the coverage aware EE KPI defined by ETSI.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Data Volume-aware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ctrlPr>
                      <w:rPr>
                        <w:rFonts w:ascii="Cambria Math" w:hAnsi="Cambria Math" w:cstheme="minorHAnsi"/>
                        <w:i/>
                        <w:sz w:val="16"/>
                        <w:szCs w:val="16"/>
                      </w:rPr>
                    </m:ctrlPr>
                  </m:e>
                  <m:sub>
                    <m:r>
                      <w:rPr>
                        <w:rFonts w:ascii="Cambria Math" w:hAnsi="Cambria Math" w:cstheme="minorHAnsi"/>
                        <w:sz w:val="16"/>
                        <w:szCs w:val="16"/>
                      </w:rPr>
                      <m:t>DV</m:t>
                    </m:r>
                    <m:ctrlPr>
                      <w:rPr>
                        <w:rFonts w:ascii="Cambria Math" w:hAnsi="Cambria Math" w:cstheme="minorHAnsi"/>
                        <w:i/>
                        <w:sz w:val="16"/>
                        <w:szCs w:val="16"/>
                      </w:rPr>
                    </m:ctrlP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ctrlPr>
                      <w:rPr>
                        <w:rFonts w:ascii="Cambria Math" w:hAnsi="Cambria Math" w:cstheme="minorHAnsi"/>
                        <w:i/>
                        <w:sz w:val="16"/>
                        <w:szCs w:val="16"/>
                      </w:rPr>
                    </m:ctrlPr>
                  </m:num>
                  <m:den>
                    <m: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 xml:space="preserve">[Mbit] </w:t>
            </w:r>
          </w:p>
        </w:tc>
        <w:tc>
          <w:tcPr>
            <w:tcW w:w="1550" w:type="pct"/>
          </w:tcPr>
          <w:p>
            <w:pPr>
              <w:widowControl w:val="0"/>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p>
      <w:r>
        <w:t xml:space="preserve">Furthermore, </w:t>
      </w:r>
    </w:p>
    <w:p>
      <w:pPr>
        <w:pStyle w:val="48"/>
        <w:numPr>
          <w:ilvl w:val="0"/>
          <w:numId w:val="9"/>
        </w:numPr>
      </w:pPr>
      <w:r>
        <w:t>Huawei/HiSilicon, Nokia, Samsung: multiple QoS target values, e.g. UPT loss can be defined</w:t>
      </w:r>
      <w:r>
        <w:rPr>
          <w:rFonts w:hint="eastAsia"/>
          <w:lang w:eastAsia="zh-CN"/>
        </w:rPr>
        <w:t>.</w:t>
      </w:r>
    </w:p>
    <w:p>
      <w:pPr>
        <w:pStyle w:val="48"/>
        <w:numPr>
          <w:ilvl w:val="0"/>
          <w:numId w:val="9"/>
        </w:numPr>
      </w:pPr>
      <w:r>
        <w:t>Nokia: minimum QoS target per deployment scenario is needed and shall be defined.</w:t>
      </w:r>
    </w:p>
    <w:p>
      <w:pPr>
        <w:pStyle w:val="48"/>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pPr>
        <w:pStyle w:val="11"/>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pPr>
        <w:pStyle w:val="11"/>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pPr>
        <w:pStyle w:val="11"/>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pPr>
        <w:pStyle w:val="11"/>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pPr>
        <w:pStyle w:val="16"/>
        <w:numPr>
          <w:ilvl w:val="0"/>
          <w:numId w:val="33"/>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ctrlPr>
              <w:rPr>
                <w:rFonts w:ascii="Cambria Math" w:hAnsi="Cambria Math"/>
                <w:b/>
                <w:iCs/>
                <w:lang w:val="fr-FR"/>
              </w:rPr>
            </m:ctrlPr>
          </m:e>
          <m:sub>
            <m:r>
              <m:rPr>
                <m:sty m:val="bi"/>
              </m:rPr>
              <w:rPr>
                <w:rFonts w:ascii="Cambria Math" w:hAnsi="Cambria Math"/>
              </w:rPr>
              <m:t>K</m:t>
            </m:r>
            <m:ctrlPr>
              <w:rPr>
                <w:rFonts w:ascii="Cambria Math" w:hAnsi="Cambria Math"/>
                <w:b/>
                <w:iCs/>
                <w:lang w:val="fr-FR"/>
              </w:rPr>
            </m:ctrlP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ctrlPr>
                  <w:rPr>
                    <w:rFonts w:ascii="Cambria Math" w:hAnsi="Cambria Math"/>
                    <w:b/>
                    <w:i/>
                    <w:iCs/>
                    <w:lang w:val="fr-FR"/>
                  </w:rPr>
                </m:ctrlPr>
              </m:e>
              <m:sub>
                <m:r>
                  <m:rPr>
                    <m:sty m:val="bi"/>
                  </m:rPr>
                  <w:rPr>
                    <w:rFonts w:ascii="Cambria Math" w:hAnsi="Cambria Math"/>
                    <w:lang w:val="fr-FR"/>
                  </w:rPr>
                  <m:t>K</m:t>
                </m:r>
                <m:ctrlPr>
                  <w:rPr>
                    <w:rFonts w:ascii="Cambria Math" w:hAnsi="Cambria Math"/>
                    <w:b/>
                    <w:i/>
                    <w:iCs/>
                    <w:lang w:val="fr-FR"/>
                  </w:rPr>
                </m:ctrlPr>
              </m:sub>
            </m:sSub>
            <m:ctrlPr>
              <w:rPr>
                <w:rFonts w:ascii="Cambria Math" w:hAnsi="Cambria Math"/>
                <w:b/>
                <w:i/>
                <w:iCs/>
                <w:lang w:val="fr-FR"/>
              </w:rPr>
            </m:ctrlPr>
          </m:num>
          <m:den>
            <m:r>
              <m:rPr>
                <m:sty m:val="bi"/>
              </m:rPr>
              <w:rPr>
                <w:rFonts w:hint="eastAsia" w:ascii="Cambria Math" w:hAnsi="Cambria Math" w:eastAsiaTheme="minorEastAsia"/>
                <w:lang w:val="fr-FR"/>
              </w:rPr>
              <m:t>EC</m:t>
            </m:r>
            <m:ctrlPr>
              <w:rPr>
                <w:rFonts w:ascii="Cambria Math" w:hAnsi="Cambria Math"/>
                <w:b/>
                <w:i/>
                <w:iCs/>
                <w:lang w:val="fr-FR"/>
              </w:rPr>
            </m:ctrlP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pPr>
        <w:pStyle w:val="48"/>
        <w:numPr>
          <w:ilvl w:val="0"/>
          <w:numId w:val="9"/>
        </w:numPr>
      </w:pPr>
      <w:r>
        <w:t>Fujitsu: no need to define exact requirements/QoS target for UPT impact, while propose that both average UPT and 5% UPT are reported along with gains.</w:t>
      </w:r>
    </w:p>
    <w:p>
      <w:pPr>
        <w:pStyle w:val="48"/>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enhanced</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oMath>
      <w:r>
        <w:rPr>
          <w:bCs/>
        </w:rPr>
        <w:t xml:space="preserve"> where average UPT is assumed.</w:t>
      </w:r>
    </w:p>
    <w:p>
      <w:pPr>
        <w:pStyle w:val="48"/>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pPr>
        <w:pStyle w:val="48"/>
        <w:numPr>
          <w:ilvl w:val="0"/>
          <w:numId w:val="9"/>
        </w:numPr>
        <w:rPr>
          <w:bCs/>
        </w:rPr>
      </w:pPr>
      <w:r>
        <w:rPr>
          <w:bCs/>
        </w:rPr>
        <w:t>Samsung: use KPIs of Energy saving gain, Latency (packet latency and scheduling latency), UPT, Coverage, UE power consumption.</w:t>
      </w:r>
    </w:p>
    <w:p>
      <w:pPr>
        <w:pStyle w:val="4"/>
      </w:pPr>
      <w:r>
        <w:t>Initial round</w:t>
      </w:r>
    </w:p>
    <w:p>
      <w:r>
        <w:t>There has been rounds of attempt for almost all of the above points while no consensus could be made. FL consider those could be up to company report.</w:t>
      </w:r>
    </w:p>
    <w:p>
      <w:r>
        <w:t>On the other hand, it may be useful to agree on a template for collection of company’s results next meeting. Note the Editor Note does not serve a requirement, but they are informative and can be kept.</w:t>
      </w:r>
    </w:p>
    <w:p>
      <w:pPr>
        <w:spacing w:before="120" w:beforeLines="50" w:after="0"/>
        <w:rPr>
          <w:b/>
        </w:rPr>
      </w:pPr>
      <w:r>
        <w:rPr>
          <w:b/>
        </w:rPr>
        <w:t>FL1 Proposal 3.1.1:</w:t>
      </w:r>
    </w:p>
    <w:p>
      <w:pPr>
        <w:pStyle w:val="48"/>
        <w:numPr>
          <w:ilvl w:val="0"/>
          <w:numId w:val="34"/>
        </w:numPr>
        <w:rPr>
          <w:rFonts w:eastAsiaTheme="minorEastAsia"/>
        </w:rPr>
      </w:pPr>
      <w:r>
        <w:rPr>
          <w:b/>
        </w:rPr>
        <w:t>Use the following table as a draft template for collection of simulation results, when appropriate.</w:t>
      </w:r>
    </w:p>
    <w:p>
      <w:pPr>
        <w:pStyle w:val="48"/>
        <w:numPr>
          <w:ilvl w:val="0"/>
          <w:numId w:val="34"/>
        </w:numPr>
        <w:rPr>
          <w:rFonts w:eastAsiaTheme="minorEastAsia"/>
        </w:rPr>
      </w:pPr>
      <w:r>
        <w:rPr>
          <w:b/>
        </w:rPr>
        <w:t>The template can be further adjusted with input, and when captured into TR.</w:t>
      </w:r>
    </w:p>
    <w:p>
      <w:pPr>
        <w:pStyle w:val="48"/>
        <w:numPr>
          <w:ilvl w:val="0"/>
          <w:numId w:val="34"/>
        </w:numPr>
        <w:rPr>
          <w:rFonts w:eastAsiaTheme="minorEastAsia"/>
        </w:rPr>
      </w:pPr>
      <w:r>
        <w:rPr>
          <w:b/>
        </w:rPr>
        <w:t>Other formats are not precluded.</w:t>
      </w:r>
    </w:p>
    <w:tbl>
      <w:tblPr>
        <w:tblStyle w:val="26"/>
        <w:tblW w:w="11483"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93"/>
        <w:gridCol w:w="1417"/>
        <w:gridCol w:w="1559"/>
        <w:gridCol w:w="1560"/>
        <w:gridCol w:w="2126"/>
        <w:gridCol w:w="1276"/>
        <w:gridCol w:w="1276"/>
        <w:gridCol w:w="127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7" w:hRule="atLeast"/>
          <w:jc w:val="center"/>
        </w:trPr>
        <w:tc>
          <w:tcPr>
            <w:tcW w:w="993"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1417"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1559"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1560"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212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1276" w:type="dxa"/>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127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2" w:hRule="atLeast"/>
          <w:jc w:val="center"/>
        </w:trPr>
        <w:tc>
          <w:tcPr>
            <w:tcW w:w="993" w:type="dxa"/>
            <w:shd w:val="clear" w:color="auto" w:fill="BDD6EE"/>
          </w:tcPr>
          <w:p>
            <w:pPr>
              <w:spacing w:line="288" w:lineRule="auto"/>
              <w:jc w:val="left"/>
              <w:rPr>
                <w:bCs/>
                <w:sz w:val="18"/>
                <w:szCs w:val="18"/>
              </w:rPr>
            </w:pPr>
          </w:p>
        </w:tc>
        <w:tc>
          <w:tcPr>
            <w:tcW w:w="1417" w:type="dxa"/>
            <w:shd w:val="clear" w:color="auto" w:fill="BDD6EE"/>
          </w:tcPr>
          <w:p>
            <w:pPr>
              <w:spacing w:line="288" w:lineRule="auto"/>
              <w:jc w:val="left"/>
              <w:rPr>
                <w:bCs/>
                <w:sz w:val="18"/>
                <w:szCs w:val="18"/>
              </w:rPr>
            </w:pPr>
          </w:p>
        </w:tc>
        <w:tc>
          <w:tcPr>
            <w:tcW w:w="1559" w:type="dxa"/>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rPr>
            </w:pPr>
            <w:r>
              <w:rPr>
                <w:bCs/>
                <w:i/>
                <w:sz w:val="18"/>
              </w:rPr>
              <w:t>Optionally, results with EE can be included with clear definition reported.</w:t>
            </w:r>
          </w:p>
        </w:tc>
        <w:tc>
          <w:tcPr>
            <w:tcW w:w="127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22"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7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5"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Style w:val="26"/>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19"/>
              <w:gridCol w:w="666"/>
              <w:gridCol w:w="1097"/>
              <w:gridCol w:w="1061"/>
              <w:gridCol w:w="1117"/>
              <w:gridCol w:w="992"/>
              <w:gridCol w:w="1552"/>
              <w:gridCol w:w="13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bCs/>
                      <w:i/>
                      <w:sz w:val="18"/>
                      <w:szCs w:val="18"/>
                    </w:rPr>
                    <w:t>.</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algun Gothic"/>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DOCOMO</w:t>
            </w:r>
          </w:p>
        </w:tc>
        <w:tc>
          <w:tcPr>
            <w:tcW w:w="8709" w:type="dxa"/>
            <w:tcBorders>
              <w:top w:val="single" w:color="auto" w:sz="4" w:space="0"/>
              <w:left w:val="single" w:color="auto" w:sz="4" w:space="0"/>
              <w:bottom w:val="single" w:color="auto" w:sz="4" w:space="0"/>
              <w:right w:val="single" w:color="auto" w:sz="4" w:space="0"/>
            </w:tcBorders>
          </w:tcPr>
          <w:p>
            <w:pPr>
              <w:widowControl w:val="0"/>
              <w:rPr>
                <w:b/>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Nokia/Nsb</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may also need to highlight which Category (Cat-1 or Cat-2) the simulation is applied </w:t>
            </w:r>
          </w:p>
          <w:p>
            <w:pPr>
              <w:widowControl w:val="0"/>
              <w:spacing w:after="0"/>
              <w:jc w:val="left"/>
              <w:rPr>
                <w:rFonts w:eastAsiaTheme="minorEastAsia"/>
              </w:rPr>
            </w:pPr>
          </w:p>
          <w:p>
            <w:pPr>
              <w:widowControl w:val="0"/>
              <w:rPr>
                <w:rFonts w:eastAsiaTheme="minorEastAsia"/>
              </w:rPr>
            </w:pPr>
            <w:r>
              <w:rPr>
                <w:rFonts w:eastAsiaTheme="minorEastAsia"/>
              </w:rPr>
              <w:t>Regarding “Other impact”, is it optional to report coverage and UE power consumption? Or it is mandatory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v</w:t>
            </w:r>
            <w:r>
              <w:rPr>
                <w:rFonts w:eastAsiaTheme="minorEastAsia"/>
              </w:rPr>
              <w:t>ivo</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F</w:t>
            </w:r>
            <w:r>
              <w:rPr>
                <w:rFonts w:eastAsiaTheme="minorEastAsia"/>
              </w:rPr>
              <w:t>or UPT/latency part, a target QoS requirement can also be considered and the ratio of packets that meets the QoS requirement (e.g. target UPT or latency</w:t>
            </w:r>
            <w:r>
              <w:rPr>
                <w:rFonts w:hint="eastAsia" w:eastAsiaTheme="minorEastAsia"/>
              </w:rPr>
              <w:t>)</w:t>
            </w:r>
            <w:r>
              <w:rPr>
                <w:rFonts w:eastAsiaTheme="minorEastAsia"/>
              </w:rPr>
              <w:t xml:space="preserve"> </w:t>
            </w:r>
            <w:r>
              <w:rPr>
                <w:rFonts w:hint="eastAsia" w:eastAsiaTheme="minorEastAsia"/>
              </w:rPr>
              <w:t>is</w:t>
            </w:r>
            <w:r>
              <w:rPr>
                <w:rFonts w:eastAsiaTheme="minorEastAsia"/>
              </w:rPr>
              <w:t xml:space="preserve">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ind w:left="0" w:leftChars="0" w:right="0" w:rightChars="0"/>
              <w:rPr>
                <w:rFonts w:hint="eastAsia" w:ascii="Times New Roman" w:hAnsi="Times New Roman" w:cs="Times New Roman" w:eastAsiaTheme="minorEastAsia"/>
                <w:sz w:val="20"/>
                <w:szCs w:val="20"/>
                <w:lang w:val="en-US" w:eastAsia="zh-CN" w:bidi="ar-SA"/>
              </w:rPr>
            </w:pPr>
            <w:r>
              <w:rPr>
                <w:rFonts w:hint="eastAsia" w:eastAsiaTheme="minorEastAsia"/>
                <w:sz w:val="20"/>
                <w:szCs w:val="20"/>
                <w:lang w:val="en-US" w:eastAsia="zh-CN"/>
              </w:rPr>
              <w:t>ZTE, Sanechips</w:t>
            </w:r>
          </w:p>
        </w:tc>
        <w:tc>
          <w:tcPr>
            <w:tcW w:w="8709"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numPr>
                <w:ilvl w:val="0"/>
                <w:numId w:val="35"/>
              </w:numPr>
              <w:suppressLineNumbers w:val="0"/>
              <w:spacing w:before="0" w:beforeAutospacing="0" w:afterAutospacing="0"/>
              <w:ind w:left="0" w:right="0"/>
              <w:rPr>
                <w:rFonts w:hint="default" w:eastAsiaTheme="minorEastAsia"/>
                <w:sz w:val="20"/>
                <w:szCs w:val="20"/>
                <w:lang w:val="en-US" w:eastAsia="zh-CN"/>
              </w:rPr>
            </w:pPr>
            <w:r>
              <w:rPr>
                <w:rFonts w:hint="eastAsia" w:eastAsiaTheme="minorEastAsia"/>
                <w:sz w:val="20"/>
                <w:szCs w:val="20"/>
                <w:lang w:val="en-US" w:eastAsia="zh-CN"/>
              </w:rPr>
              <w:t>The difference between the two columns of  ES gain is unclear.</w:t>
            </w:r>
          </w:p>
          <w:p>
            <w:pPr>
              <w:keepNext w:val="0"/>
              <w:keepLines w:val="0"/>
              <w:widowControl w:val="0"/>
              <w:numPr>
                <w:ilvl w:val="0"/>
                <w:numId w:val="35"/>
              </w:numPr>
              <w:suppressLineNumbers w:val="0"/>
              <w:spacing w:before="0" w:beforeAutospacing="0" w:afterAutospacing="0"/>
              <w:ind w:left="0" w:right="0"/>
              <w:rPr>
                <w:rFonts w:hint="default" w:eastAsiaTheme="minorEastAsia"/>
                <w:sz w:val="20"/>
                <w:szCs w:val="20"/>
                <w:lang w:val="en-US" w:eastAsia="zh-CN"/>
              </w:rPr>
            </w:pPr>
            <w:r>
              <w:rPr>
                <w:rFonts w:hint="eastAsia" w:eastAsiaTheme="minorEastAsia"/>
                <w:sz w:val="20"/>
                <w:szCs w:val="20"/>
                <w:lang w:val="en-US" w:eastAsia="zh-CN"/>
              </w:rPr>
              <w:t xml:space="preserve">For the UPT impact, do all the </w:t>
            </w:r>
            <w:r>
              <w:rPr>
                <w:rFonts w:hint="default" w:eastAsiaTheme="minorEastAsia"/>
                <w:sz w:val="20"/>
                <w:szCs w:val="20"/>
                <w:lang w:val="en-US" w:eastAsia="zh-CN"/>
              </w:rPr>
              <w:t>“</w:t>
            </w:r>
            <w:r>
              <w:rPr>
                <w:rFonts w:hint="default"/>
                <w:bCs/>
                <w:i/>
                <w:sz w:val="18"/>
                <w:szCs w:val="18"/>
              </w:rPr>
              <w:t>average UPT, target UPT (95%/50%/5%) and UPT loss per ES techniques.</w:t>
            </w:r>
            <w:r>
              <w:rPr>
                <w:rFonts w:hint="default" w:eastAsiaTheme="minorEastAsia"/>
                <w:sz w:val="20"/>
                <w:szCs w:val="20"/>
                <w:lang w:val="en-US" w:eastAsia="zh-CN"/>
              </w:rPr>
              <w:t>”</w:t>
            </w:r>
            <w:r>
              <w:rPr>
                <w:rFonts w:hint="eastAsia" w:eastAsiaTheme="minorEastAsia"/>
                <w:sz w:val="20"/>
                <w:szCs w:val="20"/>
                <w:lang w:val="en-US" w:eastAsia="zh-CN"/>
              </w:rPr>
              <w:t xml:space="preserve"> need to be reported? In addition, some scheme may have UPT gain, suggestion is as below</w:t>
            </w:r>
          </w:p>
          <w:p>
            <w:pPr>
              <w:keepNext w:val="0"/>
              <w:keepLines w:val="0"/>
              <w:widowControl w:val="0"/>
              <w:numPr>
                <w:ilvl w:val="0"/>
                <w:numId w:val="0"/>
              </w:numPr>
              <w:suppressLineNumbers w:val="0"/>
              <w:spacing w:before="0" w:beforeAutospacing="0" w:afterAutospacing="0"/>
              <w:ind w:left="0" w:right="0"/>
              <w:rPr>
                <w:rFonts w:hint="default" w:eastAsiaTheme="minorEastAsia"/>
                <w:sz w:val="20"/>
                <w:szCs w:val="20"/>
                <w:lang w:val="en-US" w:eastAsia="zh-CN"/>
              </w:rPr>
            </w:pPr>
            <w:r>
              <w:rPr>
                <w:rFonts w:hint="default" w:eastAsiaTheme="minorEastAsia"/>
                <w:sz w:val="20"/>
                <w:szCs w:val="20"/>
                <w:lang w:val="en-US" w:eastAsia="zh-CN"/>
              </w:rPr>
              <w:t>“</w:t>
            </w:r>
            <w:r>
              <w:rPr>
                <w:rFonts w:hint="default"/>
                <w:bCs/>
                <w:i/>
                <w:sz w:val="18"/>
                <w:szCs w:val="18"/>
              </w:rPr>
              <w:t>UPT loss</w:t>
            </w:r>
            <w:r>
              <w:rPr>
                <w:rFonts w:hint="eastAsia"/>
                <w:bCs/>
                <w:i/>
                <w:color w:val="FF0000"/>
                <w:sz w:val="18"/>
                <w:szCs w:val="18"/>
                <w:lang w:val="en-US" w:eastAsia="zh-CN"/>
              </w:rPr>
              <w:t>/gain</w:t>
            </w:r>
            <w:r>
              <w:rPr>
                <w:rFonts w:hint="default" w:eastAsiaTheme="minorEastAsia"/>
                <w:sz w:val="20"/>
                <w:szCs w:val="20"/>
                <w:lang w:val="en-US" w:eastAsia="zh-CN"/>
              </w:rPr>
              <w:t>”</w:t>
            </w:r>
          </w:p>
          <w:p>
            <w:pPr>
              <w:keepNext w:val="0"/>
              <w:keepLines w:val="0"/>
              <w:widowControl w:val="0"/>
              <w:numPr>
                <w:ilvl w:val="0"/>
                <w:numId w:val="35"/>
              </w:numPr>
              <w:suppressLineNumbers w:val="0"/>
              <w:spacing w:before="0" w:beforeAutospacing="0" w:afterAutospacing="0"/>
              <w:ind w:left="0" w:leftChars="0" w:right="0" w:rightChars="0"/>
              <w:rPr>
                <w:rFonts w:hint="eastAsia" w:ascii="Times New Roman" w:hAnsi="Times New Roman" w:cs="Times New Roman" w:eastAsiaTheme="minorEastAsia"/>
                <w:sz w:val="20"/>
                <w:szCs w:val="20"/>
                <w:lang w:val="en-US" w:eastAsia="zh-CN" w:bidi="ar-SA"/>
              </w:rPr>
            </w:pPr>
            <w:r>
              <w:rPr>
                <w:rFonts w:hint="eastAsia" w:eastAsiaTheme="minorEastAsia"/>
                <w:sz w:val="20"/>
                <w:szCs w:val="20"/>
                <w:lang w:val="en-US" w:eastAsia="zh-CN"/>
              </w:rPr>
              <w:t>Agree with Nokia the cat of power model also needs to be captured.</w:t>
            </w:r>
          </w:p>
        </w:tc>
      </w:tr>
    </w:tbl>
    <w:p/>
    <w:p>
      <w:pPr>
        <w:pStyle w:val="3"/>
      </w:pPr>
      <w:bookmarkStart w:id="81" w:name="_Hlk112734013"/>
      <w:r>
        <w:t>Simulation assumption</w:t>
      </w:r>
    </w:p>
    <w:p>
      <w:r>
        <w:t>Huawei/HiSilicon and Intel: add channel model for FR1.</w:t>
      </w:r>
    </w:p>
    <w:p>
      <w:r>
        <w:t xml:space="preserve">Nokia: proposes SLS assumptions for different sets of reference configurations. </w:t>
      </w:r>
    </w:p>
    <w:p>
      <w:r>
        <w:t>OPPO: clarify the channel model and percentage of high loss and low loss building type.</w:t>
      </w:r>
    </w:p>
    <w:p>
      <w:r>
        <w:t>CATT: baseline configuration and normal network operation should be defined in order to obtain the energy consumption of normal network operation and to identify the potential network energy saving technique.</w:t>
      </w:r>
    </w:p>
    <w:p>
      <w:r>
        <w:t>MediaTek: propose detailed configurations for common signals of SSB and SIB1.</w:t>
      </w:r>
    </w:p>
    <w:p>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pPr>
        <w:rPr>
          <w:bCs/>
          <w:i/>
          <w:iCs/>
          <w:color w:val="000000" w:themeColor="text1"/>
          <w14:textFill>
            <w14:solidFill>
              <w14:schemeClr w14:val="tx1"/>
            </w14:solidFill>
          </w14:textFill>
        </w:rPr>
      </w:pPr>
      <w:r>
        <w:t>Qualcomm consider that</w:t>
      </w:r>
      <w:r>
        <w:rPr>
          <w:b/>
          <w:bCs/>
          <w:i/>
          <w:iCs/>
          <w:color w:val="000000" w:themeColor="text1"/>
          <w:lang w:eastAsia="en-US"/>
          <w14:textFill>
            <w14:solidFill>
              <w14:schemeClr w14:val="tx1"/>
            </w14:solidFill>
          </w14:textFill>
        </w:rPr>
        <w:t xml:space="preserve">: </w:t>
      </w:r>
      <w:r>
        <w:rPr>
          <w:bCs/>
          <w:i/>
          <w:iCs/>
          <w:color w:val="000000" w:themeColor="text1"/>
          <w:lang w:eastAsia="en-US"/>
          <w14:textFill>
            <w14:solidFill>
              <w14:schemeClr w14:val="tx1"/>
            </w14:solidFill>
          </w14:textFill>
        </w:rPr>
        <w:t>the actual total DL transmission power is adjusted according to the actual bandwidth and the number of active TxRUs as follows</w:t>
      </w:r>
    </w:p>
    <w:p>
      <w:pPr>
        <w:pStyle w:val="48"/>
        <w:wordWrap w:val="0"/>
        <w:spacing w:after="120"/>
        <w:rPr>
          <w:bCs/>
          <w:i/>
          <w:color w:val="000000" w:themeColor="text1"/>
          <w14:textFill>
            <w14:solidFill>
              <w14:schemeClr w14:val="tx1"/>
            </w14:solidFill>
          </w14:textFill>
        </w:rPr>
      </w:pPr>
      <m:oMathPara>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t</m:t>
              </m:r>
              <m:ctrlPr>
                <w:rPr>
                  <w:rFonts w:ascii="Cambria Math" w:hAnsi="Cambria Math" w:eastAsia="Malgun Gothic"/>
                  <w:bCs/>
                  <w:i/>
                  <w:lang w:eastAsia="ko-KR"/>
                </w:rPr>
              </m:ctrlPr>
            </m:sub>
          </m:sSub>
          <m:r>
            <w:rPr>
              <w:rFonts w:ascii="Cambria Math" w:hAnsi="Cambria Math" w:eastAsia="Malgun Gothic"/>
              <w:lang w:eastAsia="ko-KR"/>
            </w:rPr>
            <m:t xml:space="preserve">= </m:t>
          </m:r>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d>
            <m:dPr>
              <m:begChr m:val="["/>
              <m:endChr m:val="]"/>
              <m:ctrlPr>
                <w:rPr>
                  <w:rFonts w:ascii="Cambria Math" w:hAnsi="Cambria Math" w:eastAsia="Malgun Gothic"/>
                  <w:bCs/>
                  <w:i/>
                  <w:lang w:eastAsia="ko-KR"/>
                </w:rPr>
              </m:ctrlPr>
            </m:dPr>
            <m:e>
              <m:r>
                <w:rPr>
                  <w:rFonts w:ascii="Cambria Math" w:hAnsi="Cambria Math" w:eastAsia="Malgun Gothic"/>
                  <w:lang w:eastAsia="ko-KR"/>
                </w:rPr>
                <m:t>dBm</m:t>
              </m:r>
              <m:ctrlPr>
                <w:rPr>
                  <w:rFonts w:ascii="Cambria Math" w:hAnsi="Cambria Math" w:eastAsia="Malgun Gothic"/>
                  <w:bCs/>
                  <w:i/>
                  <w:lang w:eastAsia="ko-KR"/>
                </w:rPr>
              </m:ctrlPr>
            </m:e>
          </m:d>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B</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w:rPr>
                      <w:rFonts w:ascii="Cambria Math" w:hAnsi="Cambria Math" w:eastAsia="Malgun Gothic"/>
                      <w:lang w:eastAsia="ko-KR"/>
                    </w:rPr>
                    <m:t>log</m:t>
                  </m:r>
                  <m:ctrlPr>
                    <w:rPr>
                      <w:rFonts w:ascii="Cambria Math" w:hAnsi="Cambria Math" w:eastAsia="Malgun Gothic"/>
                      <w:bCs/>
                      <w:i/>
                      <w:lang w:eastAsia="ko-KR"/>
                    </w:rPr>
                  </m:ctrlPr>
                </m:e>
                <m:sub>
                  <m: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w:rPr>
                      <w:rFonts w:ascii="Cambria Math" w:hAnsi="Cambria Math" w:eastAsia="Malgun Gothic"/>
                      <w:lang w:eastAsia="ko-KR"/>
                    </w:rPr>
                    <m:t>N</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oMath>
      </m:oMathPara>
    </w:p>
    <w:p>
      <w:pPr>
        <w:pStyle w:val="48"/>
        <w:numPr>
          <w:ilvl w:val="0"/>
          <w:numId w:val="36"/>
        </w:numPr>
        <w:wordWrap w:val="0"/>
        <w:spacing w:after="120" w:line="240" w:lineRule="auto"/>
        <w:rPr>
          <w:bCs/>
          <w:i/>
          <w:color w:val="000000" w:themeColor="text1"/>
          <w14:textFill>
            <w14:solidFill>
              <w14:schemeClr w14:val="tx1"/>
            </w14:solidFill>
          </w14:textFill>
        </w:rPr>
      </w:pPr>
      <m:oMath>
        <m:sSub>
          <m:sSubPr>
            <m:ctrlPr>
              <w:rPr>
                <w:rFonts w:ascii="Cambria Math" w:hAnsi="Cambria Math" w:eastAsia="Malgun Gothic"/>
                <w:bCs/>
                <w:i/>
                <w:lang w:eastAsia="ko-KR"/>
              </w:rPr>
            </m:ctrlPr>
          </m:sSubPr>
          <m:e>
            <m:r>
              <w:rPr>
                <w:rFonts w:ascii="Cambria Math" w:hAnsi="Cambria Math" w:eastAsia="Malgun Gothic"/>
                <w:lang w:eastAsia="ko-KR"/>
              </w:rPr>
              <m:t>P</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w:t>
      </w:r>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total DL power level, bandwidth, and the number of TxRUs in the reference configuration, respectively.</w:t>
      </w:r>
    </w:p>
    <w:p>
      <m:oMath>
        <m:sSub>
          <m:sSubPr>
            <m:ctrlPr>
              <w:rPr>
                <w:rFonts w:ascii="Cambria Math" w:hAnsi="Cambria Math" w:eastAsia="Malgun Gothic"/>
                <w:bCs/>
                <w:i/>
                <w:lang w:eastAsia="ko-KR"/>
              </w:rPr>
            </m:ctrlPr>
          </m:sSubPr>
          <m:e>
            <m:r>
              <w:rPr>
                <w:rFonts w:ascii="Cambria Math" w:hAnsi="Cambria Math" w:eastAsia="Malgun Gothic"/>
                <w:lang w:eastAsia="ko-KR"/>
              </w:rPr>
              <m:t>B</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w:rPr>
                <w:rFonts w:ascii="Cambria Math" w:hAnsi="Cambria Math" w:eastAsia="Malgun Gothic"/>
                <w:lang w:eastAsia="ko-KR"/>
              </w:rPr>
              <m:t>N</m:t>
            </m:r>
            <m:ctrlPr>
              <w:rPr>
                <w:rFonts w:ascii="Cambria Math" w:hAnsi="Cambria Math" w:eastAsia="Malgun Gothic"/>
                <w:bCs/>
                <w:i/>
                <w:lang w:eastAsia="ko-KR"/>
              </w:rPr>
            </m:ctrlPr>
          </m:e>
          <m:sub>
            <m: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the actual bandwidth and the number of active TxRUs, respectively</w:t>
      </w:r>
      <w:r>
        <w:t>.</w:t>
      </w:r>
    </w:p>
    <w:p>
      <w:pPr>
        <w:pStyle w:val="4"/>
      </w:pPr>
      <w:r>
        <w:t>Initial round</w:t>
      </w:r>
    </w:p>
    <w:p>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r>
        <w:t xml:space="preserve">For FR2 SLS assumptions, proposals are available based on a few contributions. FL takes Nokia’ proposal which is a complete set on the table. </w:t>
      </w:r>
    </w:p>
    <w:p>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27"/>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631" w:type="dxa"/>
            <w:gridSpan w:val="2"/>
          </w:tcPr>
          <w:p>
            <w:pPr>
              <w:widowControl w:val="0"/>
            </w:pPr>
            <w:r>
              <w:t>Companies are invited to share your view on which of the rows are needed for alignments; otherwise, the corresponding parameters could be up to company report.</w:t>
            </w:r>
          </w:p>
          <w:p>
            <w:pPr>
              <w:widowControl w:val="0"/>
              <w:spacing w:before="120" w:beforeLines="50" w:after="0"/>
              <w:rPr>
                <w:b/>
              </w:rPr>
            </w:pPr>
            <w:r>
              <w:rPr>
                <w:b/>
              </w:rPr>
              <w:t>FL1 Proposal 3.2.1:</w:t>
            </w:r>
          </w:p>
          <w:p>
            <w:pPr>
              <w:pStyle w:val="48"/>
              <w:widowControl w:val="0"/>
              <w:numPr>
                <w:ilvl w:val="0"/>
                <w:numId w:val="37"/>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20% of first transmission</w:t>
                  </w:r>
                </w:p>
              </w:tc>
              <w:tc>
                <w:tcPr>
                  <w:tcW w:w="2666" w:type="dxa"/>
                </w:tcPr>
                <w:p>
                  <w:pPr>
                    <w:widowControl w:val="0"/>
                    <w:spacing w:after="0"/>
                    <w:rPr>
                      <w:bCs/>
                    </w:rPr>
                  </w:pPr>
                  <w:r>
                    <w:rPr>
                      <w:bCs/>
                    </w:rPr>
                    <w:t>20%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Open loop, Alpha=1, P0=-106 dBm</w:t>
                  </w:r>
                </w:p>
              </w:tc>
              <w:tc>
                <w:tcPr>
                  <w:tcW w:w="2666"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8</w:t>
                  </w:r>
                </w:p>
              </w:tc>
              <w:tc>
                <w:tcPr>
                  <w:tcW w:w="2430" w:type="dxa"/>
                </w:tcPr>
                <w:p>
                  <w:pPr>
                    <w:widowControl w:val="0"/>
                    <w:spacing w:after="0"/>
                    <w:rPr>
                      <w:b/>
                      <w:bCs/>
                    </w:rPr>
                  </w:pPr>
                  <w:r>
                    <w:rPr>
                      <w:b/>
                      <w:bCs/>
                    </w:rPr>
                    <w:t>CSI acquisition</w:t>
                  </w:r>
                </w:p>
              </w:tc>
              <w:tc>
                <w:tcPr>
                  <w:tcW w:w="2614" w:type="dxa"/>
                </w:tcPr>
                <w:p>
                  <w:pPr>
                    <w:widowControl w:val="0"/>
                    <w:spacing w:after="0"/>
                    <w:rPr>
                      <w:bCs/>
                    </w:rPr>
                  </w:pPr>
                  <w:r>
                    <w:rPr>
                      <w:bCs/>
                    </w:rPr>
                    <w:t xml:space="preserve">Periodic, CQI on </w:t>
                  </w:r>
                  <w:r>
                    <w:t>2 ms period</w:t>
                  </w:r>
                </w:p>
              </w:tc>
              <w:tc>
                <w:tcPr>
                  <w:tcW w:w="2666" w:type="dxa"/>
                </w:tcPr>
                <w:p>
                  <w:pPr>
                    <w:widowControl w:val="0"/>
                    <w:spacing w:after="0"/>
                    <w:rPr>
                      <w:bCs/>
                    </w:rPr>
                  </w:pPr>
                  <w:r>
                    <w:rPr>
                      <w:bCs/>
                    </w:rPr>
                    <w:t xml:space="preserve">Periodic, CQI on </w:t>
                  </w:r>
                  <w: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rPr>
                  </w:pPr>
                  <w:r>
                    <w:rPr>
                      <w:b/>
                      <w:bCs/>
                    </w:rPr>
                    <w:t>SS blocks per SSB burst</w:t>
                  </w:r>
                </w:p>
              </w:tc>
              <w:tc>
                <w:tcPr>
                  <w:tcW w:w="2614" w:type="dxa"/>
                </w:tcPr>
                <w:p>
                  <w:pPr>
                    <w:widowControl w:val="0"/>
                    <w:spacing w:after="0"/>
                  </w:pPr>
                  <w:r>
                    <w:t>8 for 3 GHz &lt; FR1 &lt;= 6 GHz</w:t>
                  </w:r>
                </w:p>
              </w:tc>
              <w:tc>
                <w:tcPr>
                  <w:tcW w:w="2666" w:type="dxa"/>
                </w:tcPr>
                <w:p>
                  <w:pPr>
                    <w:widowControl w:val="0"/>
                    <w:spacing w:after="0"/>
                  </w:pPr>
                  <w:r>
                    <w:t>8 for 3 GHz &lt; FR1 &lt; =6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13</w:t>
                  </w:r>
                </w:p>
              </w:tc>
              <w:tc>
                <w:tcPr>
                  <w:tcW w:w="2430" w:type="dxa"/>
                </w:tcPr>
                <w:p>
                  <w:pPr>
                    <w:widowControl w:val="0"/>
                    <w:spacing w:after="0"/>
                    <w:rPr>
                      <w:b/>
                    </w:rPr>
                  </w:pPr>
                  <w:r>
                    <w:rPr>
                      <w:b/>
                    </w:rPr>
                    <w:t>Number of SIB1</w:t>
                  </w:r>
                </w:p>
              </w:tc>
              <w:tc>
                <w:tcPr>
                  <w:tcW w:w="2614" w:type="dxa"/>
                </w:tcPr>
                <w:p>
                  <w:pPr>
                    <w:widowControl w:val="0"/>
                    <w:spacing w:after="0"/>
                    <w:rPr>
                      <w:bCs/>
                    </w:rPr>
                  </w:pPr>
                  <w:r>
                    <w:rPr>
                      <w:bCs/>
                    </w:rPr>
                    <w:t>1 SIB1 per SSB</w:t>
                  </w:r>
                </w:p>
              </w:tc>
              <w:tc>
                <w:tcPr>
                  <w:tcW w:w="266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20 ms or 80 ms,</w:t>
                  </w:r>
                </w:p>
                <w:p>
                  <w:pPr>
                    <w:widowControl w:val="0"/>
                    <w:spacing w:after="0"/>
                    <w:rPr>
                      <w:bCs/>
                    </w:rPr>
                  </w:pPr>
                  <w:r>
                    <w:rPr>
                      <w:bCs/>
                    </w:rPr>
                    <w:t>multiplexing pattern 1 with SSB</w:t>
                  </w:r>
                </w:p>
              </w:tc>
              <w:tc>
                <w:tcPr>
                  <w:tcW w:w="2666" w:type="dxa"/>
                </w:tcPr>
                <w:p>
                  <w:pPr>
                    <w:widowControl w:val="0"/>
                    <w:spacing w:after="0"/>
                    <w:rPr>
                      <w:bCs/>
                    </w:rPr>
                  </w:pPr>
                  <w:r>
                    <w:rPr>
                      <w:bCs/>
                    </w:rPr>
                    <w:t>20 ms or 80 ms,</w:t>
                  </w:r>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rPr>
                  </w:pPr>
                  <w:r>
                    <w:t>48 RBs for 80 ms periodicity</w:t>
                  </w:r>
                </w:p>
              </w:tc>
              <w:tc>
                <w:tcPr>
                  <w:tcW w:w="2666" w:type="dxa"/>
                </w:tcPr>
                <w:p>
                  <w:pPr>
                    <w:widowControl w:val="0"/>
                    <w:spacing w:after="0"/>
                  </w:pPr>
                  <w:r>
                    <w:rPr>
                      <w:bCs/>
                    </w:rPr>
                    <w:t xml:space="preserve">24 </w:t>
                  </w:r>
                  <w:r>
                    <w:t>RBs for 20 ms periodicity,</w:t>
                  </w:r>
                </w:p>
                <w:p>
                  <w:pPr>
                    <w:widowControl w:val="0"/>
                    <w:spacing w:after="0"/>
                    <w:rPr>
                      <w:bCs/>
                    </w:rPr>
                  </w:pPr>
                  <w: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17</w:t>
                  </w:r>
                </w:p>
              </w:tc>
              <w:tc>
                <w:tcPr>
                  <w:tcW w:w="2430" w:type="dxa"/>
                </w:tcPr>
                <w:p>
                  <w:pPr>
                    <w:widowControl w:val="0"/>
                    <w:spacing w:after="0"/>
                    <w:rPr>
                      <w:b/>
                      <w:bCs/>
                    </w:rPr>
                  </w:pPr>
                  <w:r>
                    <w:rPr>
                      <w:b/>
                      <w:bCs/>
                    </w:rPr>
                    <w:t>RO periodicity</w:t>
                  </w:r>
                </w:p>
              </w:tc>
              <w:tc>
                <w:tcPr>
                  <w:tcW w:w="2614" w:type="dxa"/>
                </w:tcPr>
                <w:p>
                  <w:pPr>
                    <w:widowControl w:val="0"/>
                    <w:spacing w:after="0"/>
                    <w:rPr>
                      <w:bCs/>
                    </w:rPr>
                  </w:pPr>
                  <w:r>
                    <w:rPr>
                      <w:bCs/>
                    </w:rPr>
                    <w:t>20 ms</w:t>
                  </w:r>
                </w:p>
              </w:tc>
              <w:tc>
                <w:tcPr>
                  <w:tcW w:w="2666" w:type="dxa"/>
                </w:tcPr>
                <w:p>
                  <w:pPr>
                    <w:widowControl w:val="0"/>
                    <w:spacing w:after="0"/>
                    <w:rPr>
                      <w:bCs/>
                    </w:rPr>
                  </w:pPr>
                  <w:r>
                    <w:rPr>
                      <w:bCs/>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18</w:t>
                  </w:r>
                </w:p>
              </w:tc>
              <w:tc>
                <w:tcPr>
                  <w:tcW w:w="2430" w:type="dxa"/>
                </w:tcPr>
                <w:p>
                  <w:pPr>
                    <w:widowControl w:val="0"/>
                    <w:spacing w:after="0"/>
                    <w:rPr>
                      <w:b/>
                      <w:bCs/>
                    </w:rPr>
                  </w:pPr>
                  <w:r>
                    <w:rPr>
                      <w:b/>
                      <w:bCs/>
                    </w:rPr>
                    <w:t>RO time resource</w:t>
                  </w:r>
                </w:p>
              </w:tc>
              <w:tc>
                <w:tcPr>
                  <w:tcW w:w="2614" w:type="dxa"/>
                </w:tcPr>
                <w:p>
                  <w:pPr>
                    <w:widowControl w:val="0"/>
                    <w:spacing w:after="0"/>
                    <w:rPr>
                      <w:bCs/>
                    </w:rPr>
                  </w:pPr>
                  <w:r>
                    <w:rPr>
                      <w:bCs/>
                    </w:rPr>
                    <w:t>2 slots</w:t>
                  </w:r>
                </w:p>
              </w:tc>
              <w:tc>
                <w:tcPr>
                  <w:tcW w:w="2666" w:type="dxa"/>
                </w:tcPr>
                <w:p>
                  <w:pPr>
                    <w:widowControl w:val="0"/>
                    <w:spacing w:after="0"/>
                    <w:rPr>
                      <w:bCs/>
                    </w:rPr>
                  </w:pPr>
                  <w:r>
                    <w:rPr>
                      <w:bCs/>
                    </w:rPr>
                    <w:t>2 slots</w:t>
                  </w:r>
                </w:p>
              </w:tc>
            </w:tr>
          </w:tbl>
          <w:p>
            <w:pPr>
              <w:pStyle w:val="48"/>
              <w:widowControl w:val="0"/>
              <w:autoSpaceDE/>
              <w:autoSpaceDN/>
              <w:adjustRightInd/>
              <w:spacing w:after="240" w:afterLines="100" w:line="360" w:lineRule="auto"/>
              <w:ind w:left="360"/>
              <w:rPr>
                <w:b/>
              </w:rPr>
            </w:pPr>
          </w:p>
          <w:p>
            <w:pPr>
              <w:pStyle w:val="48"/>
              <w:widowControl w:val="0"/>
              <w:numPr>
                <w:ilvl w:val="0"/>
                <w:numId w:val="37"/>
              </w:numPr>
              <w:autoSpaceDE/>
              <w:autoSpaceDN/>
              <w:adjustRightInd/>
              <w:spacing w:after="240" w:afterLines="100" w:line="360" w:lineRule="auto"/>
              <w:rPr>
                <w:b/>
              </w:rPr>
            </w:pPr>
            <w:r>
              <w:rPr>
                <w:b/>
              </w:rPr>
              <w:t>For (Set 3) FR2 SLS assumptions, use Table 9 in x8518 as baseline assumptions</w:t>
            </w:r>
          </w:p>
          <w:p>
            <w:pPr>
              <w:pStyle w:val="48"/>
              <w:widowControl w:val="0"/>
              <w:numPr>
                <w:ilvl w:val="0"/>
                <w:numId w:val="37"/>
              </w:numPr>
              <w:autoSpaceDE/>
              <w:autoSpaceDN/>
              <w:adjustRightInd/>
              <w:spacing w:after="240" w:afterLines="100" w:line="360" w:lineRule="auto"/>
              <w:rPr>
                <w:b/>
              </w:rPr>
            </w:pPr>
            <w:r>
              <w:rPr>
                <w:b/>
              </w:rPr>
              <w:t>Other parameters can be optionally reported.</w:t>
            </w:r>
          </w:p>
          <w:p>
            <w:pPr>
              <w:pStyle w:val="48"/>
              <w:widowControl w:val="0"/>
              <w:numPr>
                <w:ilvl w:val="0"/>
                <w:numId w:val="37"/>
              </w:numPr>
              <w:autoSpaceDE/>
              <w:autoSpaceDN/>
              <w:adjustRightInd/>
              <w:spacing w:after="240" w:afterLines="100" w:line="360" w:lineRule="auto"/>
              <w:rPr>
                <w:b/>
              </w:rPr>
            </w:pPr>
            <w:r>
              <w:rPr>
                <w:b/>
              </w:rPr>
              <w:t>The actual total DL transmission power can be optionally adjusted according to the actual bandwidth and the number of active TxRUs as follows</w:t>
            </w:r>
          </w:p>
          <w:p>
            <w:pPr>
              <w:pStyle w:val="48"/>
              <w:widowControl w:val="0"/>
              <w:wordWrap w:val="0"/>
              <w:spacing w:after="120"/>
              <w:rPr>
                <w:bCs/>
                <w:color w:val="000000" w:themeColor="text1"/>
                <w14:textFill>
                  <w14:solidFill>
                    <w14:schemeClr w14:val="tx1"/>
                  </w14:solidFill>
                </w14:textFill>
              </w:rPr>
            </w:pPr>
            <m:oMathPara>
              <m:oMath>
                <m:sSub>
                  <m:sSubPr>
                    <m:ctrlPr>
                      <w:rPr>
                        <w:rFonts w:ascii="Cambria Math" w:hAnsi="Cambria Math" w:eastAsia="Malgun Gothic"/>
                        <w:bCs/>
                        <w:lang w:eastAsia="ko-KR"/>
                      </w:rPr>
                    </m:ctrlPr>
                  </m:sSubPr>
                  <m:e>
                    <m:r>
                      <m:rPr>
                        <m:sty m:val="p"/>
                      </m:rPr>
                      <w:rPr>
                        <w:rFonts w:ascii="Cambria Math" w:hAnsi="Cambria Math" w:eastAsia="Malgun Gothic"/>
                        <w:lang w:eastAsia="ko-KR"/>
                      </w:rPr>
                      <m:t>P</m:t>
                    </m:r>
                    <m:ctrlPr>
                      <w:rPr>
                        <w:rFonts w:ascii="Cambria Math" w:hAnsi="Cambria Math" w:eastAsia="Malgun Gothic"/>
                        <w:bCs/>
                        <w:lang w:eastAsia="ko-KR"/>
                      </w:rPr>
                    </m:ctrlPr>
                  </m:e>
                  <m:sub>
                    <m:r>
                      <m:rPr>
                        <m:sty m:val="p"/>
                      </m:rPr>
                      <w:rPr>
                        <w:rFonts w:ascii="Cambria Math" w:hAnsi="Cambria Math" w:eastAsia="Malgun Gothic"/>
                        <w:lang w:eastAsia="ko-KR"/>
                      </w:rPr>
                      <m:t>t</m:t>
                    </m:r>
                    <m:ctrlPr>
                      <w:rPr>
                        <w:rFonts w:ascii="Cambria Math" w:hAnsi="Cambria Math" w:eastAsia="Malgun Gothic"/>
                        <w:bCs/>
                        <w:lang w:eastAsia="ko-KR"/>
                      </w:rPr>
                    </m:ctrlPr>
                  </m:sub>
                </m:sSub>
                <m:r>
                  <m:rPr>
                    <m:sty m:val="p"/>
                  </m:rPr>
                  <w:rPr>
                    <w:rFonts w:ascii="Cambria Math" w:hAnsi="Cambria Math" w:eastAsia="Malgun Gothic"/>
                    <w:lang w:eastAsia="ko-KR"/>
                  </w:rPr>
                  <m:t xml:space="preserve">= </m:t>
                </m:r>
                <m:sSub>
                  <m:sSubPr>
                    <m:ctrlPr>
                      <w:rPr>
                        <w:rFonts w:ascii="Cambria Math" w:hAnsi="Cambria Math" w:eastAsia="Malgun Gothic"/>
                        <w:bCs/>
                        <w:lang w:eastAsia="ko-KR"/>
                      </w:rPr>
                    </m:ctrlPr>
                  </m:sSubPr>
                  <m:e>
                    <m:r>
                      <m:rPr>
                        <m:sty m:val="p"/>
                      </m:rPr>
                      <w:rPr>
                        <w:rFonts w:ascii="Cambria Math" w:hAnsi="Cambria Math" w:eastAsia="Malgun Gothic"/>
                        <w:lang w:eastAsia="ko-KR"/>
                      </w:rPr>
                      <m:t>P</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d>
                  <m:dPr>
                    <m:begChr m:val="["/>
                    <m:endChr m:val="]"/>
                    <m:ctrlPr>
                      <w:rPr>
                        <w:rFonts w:ascii="Cambria Math" w:hAnsi="Cambria Math" w:eastAsia="Malgun Gothic"/>
                        <w:bCs/>
                        <w:lang w:eastAsia="ko-KR"/>
                      </w:rPr>
                    </m:ctrlPr>
                  </m:dPr>
                  <m:e>
                    <m:r>
                      <m:rPr>
                        <m:sty m:val="p"/>
                      </m:rPr>
                      <w:rPr>
                        <w:rFonts w:ascii="Cambria Math" w:hAnsi="Cambria Math" w:eastAsia="Malgun Gothic"/>
                        <w:lang w:eastAsia="ko-KR"/>
                      </w:rPr>
                      <m:t>dBm</m:t>
                    </m:r>
                    <m:ctrlPr>
                      <w:rPr>
                        <w:rFonts w:ascii="Cambria Math" w:hAnsi="Cambria Math" w:eastAsia="Malgun Gothic"/>
                        <w:bCs/>
                        <w:lang w:eastAsia="ko-KR"/>
                      </w:rPr>
                    </m:ctrlPr>
                  </m:e>
                </m:d>
                <m:r>
                  <m:rPr>
                    <m:sty m:val="p"/>
                  </m:rPr>
                  <w:rPr>
                    <w:rFonts w:ascii="Cambria Math" w:hAnsi="Cambria Math" w:eastAsia="Malgun Gothic"/>
                    <w:lang w:eastAsia="ko-KR"/>
                  </w:rPr>
                  <m:t>+10</m:t>
                </m:r>
                <m:func>
                  <m:funcPr>
                    <m:ctrlPr>
                      <w:rPr>
                        <w:rFonts w:ascii="Cambria Math" w:hAnsi="Cambria Math" w:eastAsia="Malgun Gothic"/>
                        <w:bCs/>
                        <w:lang w:eastAsia="ko-KR"/>
                      </w:rPr>
                    </m:ctrlPr>
                  </m:funcPr>
                  <m:fName>
                    <m:sSub>
                      <m:sSubPr>
                        <m:ctrlPr>
                          <w:rPr>
                            <w:rFonts w:ascii="Cambria Math" w:hAnsi="Cambria Math" w:eastAsia="Malgun Gothic"/>
                            <w:bCs/>
                            <w:lang w:eastAsia="ko-KR"/>
                          </w:rPr>
                        </m:ctrlPr>
                      </m:sSubPr>
                      <m:e>
                        <m:r>
                          <m:rPr>
                            <m:sty m:val="p"/>
                          </m:rPr>
                          <w:rPr>
                            <w:rFonts w:ascii="Cambria Math" w:hAnsi="Cambria Math" w:eastAsia="Malgun Gothic"/>
                            <w:lang w:eastAsia="ko-KR"/>
                          </w:rPr>
                          <m:t>log</m:t>
                        </m:r>
                        <m:ctrlPr>
                          <w:rPr>
                            <w:rFonts w:ascii="Cambria Math" w:hAnsi="Cambria Math" w:eastAsia="Malgun Gothic"/>
                            <w:bCs/>
                            <w:lang w:eastAsia="ko-KR"/>
                          </w:rPr>
                        </m:ctrlPr>
                      </m:e>
                      <m:sub>
                        <m:r>
                          <m:rPr>
                            <m:sty m:val="p"/>
                          </m:rPr>
                          <w:rPr>
                            <w:rFonts w:ascii="Cambria Math" w:hAnsi="Cambria Math" w:eastAsia="Malgun Gothic"/>
                            <w:lang w:eastAsia="ko-KR"/>
                          </w:rPr>
                          <m:t>10</m:t>
                        </m:r>
                        <m:ctrlPr>
                          <w:rPr>
                            <w:rFonts w:ascii="Cambria Math" w:hAnsi="Cambria Math" w:eastAsia="Malgun Gothic"/>
                            <w:bCs/>
                            <w:lang w:eastAsia="ko-KR"/>
                          </w:rPr>
                        </m:ctrlPr>
                      </m:sub>
                    </m:sSub>
                    <m:ctrlPr>
                      <w:rPr>
                        <w:rFonts w:ascii="Cambria Math" w:hAnsi="Cambria Math" w:eastAsia="Malgun Gothic"/>
                        <w:bCs/>
                        <w:lang w:eastAsia="ko-KR"/>
                      </w:rPr>
                    </m:ctrlPr>
                  </m:fName>
                  <m:e>
                    <m:f>
                      <m:fPr>
                        <m:ctrlPr>
                          <w:rPr>
                            <w:rFonts w:ascii="Cambria Math" w:hAnsi="Cambria Math" w:eastAsia="Malgun Gothic"/>
                            <w:bCs/>
                            <w:lang w:eastAsia="ko-KR"/>
                          </w:rPr>
                        </m:ctrlPr>
                      </m:fPr>
                      <m:num>
                        <m:r>
                          <m:rPr>
                            <m:sty m:val="p"/>
                          </m:rPr>
                          <w:rPr>
                            <w:rFonts w:ascii="Cambria Math" w:hAnsi="Cambria Math" w:eastAsia="Malgun Gothic"/>
                            <w:lang w:eastAsia="ko-KR"/>
                          </w:rPr>
                          <m:t>B</m:t>
                        </m:r>
                        <m:ctrlPr>
                          <w:rPr>
                            <w:rFonts w:ascii="Cambria Math" w:hAnsi="Cambria Math" w:eastAsia="Malgun Gothic"/>
                            <w:bCs/>
                            <w:lang w:eastAsia="ko-KR"/>
                          </w:rPr>
                        </m:ctrlPr>
                      </m:num>
                      <m:den>
                        <m:sSub>
                          <m:sSubPr>
                            <m:ctrlPr>
                              <w:rPr>
                                <w:rFonts w:ascii="Cambria Math" w:hAnsi="Cambria Math" w:eastAsia="Malgun Gothic"/>
                                <w:bCs/>
                                <w:lang w:eastAsia="ko-KR"/>
                              </w:rPr>
                            </m:ctrlPr>
                          </m:sSubPr>
                          <m:e>
                            <m:r>
                              <m:rPr>
                                <m:sty m:val="p"/>
                              </m:rPr>
                              <w:rPr>
                                <w:rFonts w:ascii="Cambria Math" w:hAnsi="Cambria Math" w:eastAsia="Malgun Gothic"/>
                                <w:lang w:eastAsia="ko-KR"/>
                              </w:rPr>
                              <m:t>B</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ctrlPr>
                          <w:rPr>
                            <w:rFonts w:ascii="Cambria Math" w:hAnsi="Cambria Math" w:eastAsia="Malgun Gothic"/>
                            <w:bCs/>
                            <w:lang w:eastAsia="ko-KR"/>
                          </w:rPr>
                        </m:ctrlPr>
                      </m:den>
                    </m:f>
                    <m:ctrlPr>
                      <w:rPr>
                        <w:rFonts w:ascii="Cambria Math" w:hAnsi="Cambria Math" w:eastAsia="Malgun Gothic"/>
                        <w:bCs/>
                        <w:lang w:eastAsia="ko-KR"/>
                      </w:rPr>
                    </m:ctrlPr>
                  </m:e>
                </m:func>
                <m:r>
                  <m:rPr>
                    <m:sty m:val="p"/>
                  </m:rPr>
                  <w:rPr>
                    <w:rFonts w:ascii="Cambria Math" w:hAnsi="Cambria Math" w:eastAsia="Malgun Gothic"/>
                    <w:lang w:eastAsia="ko-KR"/>
                  </w:rPr>
                  <m:t>+10</m:t>
                </m:r>
                <m:func>
                  <m:funcPr>
                    <m:ctrlPr>
                      <w:rPr>
                        <w:rFonts w:ascii="Cambria Math" w:hAnsi="Cambria Math" w:eastAsia="Malgun Gothic"/>
                        <w:bCs/>
                        <w:lang w:eastAsia="ko-KR"/>
                      </w:rPr>
                    </m:ctrlPr>
                  </m:funcPr>
                  <m:fName>
                    <m:sSub>
                      <m:sSubPr>
                        <m:ctrlPr>
                          <w:rPr>
                            <w:rFonts w:ascii="Cambria Math" w:hAnsi="Cambria Math" w:eastAsia="Malgun Gothic"/>
                            <w:bCs/>
                            <w:lang w:eastAsia="ko-KR"/>
                          </w:rPr>
                        </m:ctrlPr>
                      </m:sSubPr>
                      <m:e>
                        <m:r>
                          <m:rPr>
                            <m:sty m:val="p"/>
                          </m:rPr>
                          <w:rPr>
                            <w:rFonts w:ascii="Cambria Math" w:hAnsi="Cambria Math" w:eastAsia="Malgun Gothic"/>
                            <w:lang w:eastAsia="ko-KR"/>
                          </w:rPr>
                          <m:t>log</m:t>
                        </m:r>
                        <m:ctrlPr>
                          <w:rPr>
                            <w:rFonts w:ascii="Cambria Math" w:hAnsi="Cambria Math" w:eastAsia="Malgun Gothic"/>
                            <w:bCs/>
                            <w:lang w:eastAsia="ko-KR"/>
                          </w:rPr>
                        </m:ctrlPr>
                      </m:e>
                      <m:sub>
                        <m:r>
                          <m:rPr>
                            <m:sty m:val="p"/>
                          </m:rPr>
                          <w:rPr>
                            <w:rFonts w:ascii="Cambria Math" w:hAnsi="Cambria Math" w:eastAsia="Malgun Gothic"/>
                            <w:lang w:eastAsia="ko-KR"/>
                          </w:rPr>
                          <m:t>10</m:t>
                        </m:r>
                        <m:ctrlPr>
                          <w:rPr>
                            <w:rFonts w:ascii="Cambria Math" w:hAnsi="Cambria Math" w:eastAsia="Malgun Gothic"/>
                            <w:bCs/>
                            <w:lang w:eastAsia="ko-KR"/>
                          </w:rPr>
                        </m:ctrlPr>
                      </m:sub>
                    </m:sSub>
                    <m:ctrlPr>
                      <w:rPr>
                        <w:rFonts w:ascii="Cambria Math" w:hAnsi="Cambria Math" w:eastAsia="Malgun Gothic"/>
                        <w:bCs/>
                        <w:lang w:eastAsia="ko-KR"/>
                      </w:rPr>
                    </m:ctrlPr>
                  </m:fName>
                  <m:e>
                    <m:f>
                      <m:fPr>
                        <m:ctrlPr>
                          <w:rPr>
                            <w:rFonts w:ascii="Cambria Math" w:hAnsi="Cambria Math" w:eastAsia="Malgun Gothic"/>
                            <w:bCs/>
                            <w:lang w:eastAsia="ko-KR"/>
                          </w:rPr>
                        </m:ctrlPr>
                      </m:fPr>
                      <m:num>
                        <m:r>
                          <m:rPr>
                            <m:sty m:val="p"/>
                          </m:rPr>
                          <w:rPr>
                            <w:rFonts w:ascii="Cambria Math" w:hAnsi="Cambria Math" w:eastAsia="Malgun Gothic"/>
                            <w:lang w:eastAsia="ko-KR"/>
                          </w:rPr>
                          <m:t>N</m:t>
                        </m:r>
                        <m:ctrlPr>
                          <w:rPr>
                            <w:rFonts w:ascii="Cambria Math" w:hAnsi="Cambria Math" w:eastAsia="Malgun Gothic"/>
                            <w:bCs/>
                            <w:lang w:eastAsia="ko-KR"/>
                          </w:rPr>
                        </m:ctrlPr>
                      </m:num>
                      <m:den>
                        <m:sSub>
                          <m:sSubPr>
                            <m:ctrlPr>
                              <w:rPr>
                                <w:rFonts w:ascii="Cambria Math" w:hAnsi="Cambria Math" w:eastAsia="Malgun Gothic"/>
                                <w:bCs/>
                                <w:lang w:eastAsia="ko-KR"/>
                              </w:rPr>
                            </m:ctrlPr>
                          </m:sSubPr>
                          <m:e>
                            <m:r>
                              <m:rPr>
                                <m:sty m:val="p"/>
                              </m:rPr>
                              <w:rPr>
                                <w:rFonts w:ascii="Cambria Math" w:hAnsi="Cambria Math" w:eastAsia="Malgun Gothic"/>
                                <w:lang w:eastAsia="ko-KR"/>
                              </w:rPr>
                              <m:t>N</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ctrlPr>
                          <w:rPr>
                            <w:rFonts w:ascii="Cambria Math" w:hAnsi="Cambria Math" w:eastAsia="Malgun Gothic"/>
                            <w:bCs/>
                            <w:lang w:eastAsia="ko-KR"/>
                          </w:rPr>
                        </m:ctrlPr>
                      </m:den>
                    </m:f>
                    <m:ctrlPr>
                      <w:rPr>
                        <w:rFonts w:ascii="Cambria Math" w:hAnsi="Cambria Math" w:eastAsia="Malgun Gothic"/>
                        <w:bCs/>
                        <w:lang w:eastAsia="ko-KR"/>
                      </w:rPr>
                    </m:ctrlPr>
                  </m:e>
                </m:func>
              </m:oMath>
            </m:oMathPara>
          </w:p>
          <w:p>
            <w:pPr>
              <w:pStyle w:val="48"/>
              <w:widowControl w:val="0"/>
              <w:numPr>
                <w:ilvl w:val="0"/>
                <w:numId w:val="38"/>
              </w:numPr>
              <w:wordWrap w:val="0"/>
              <w:spacing w:after="120" w:line="240" w:lineRule="auto"/>
            </w:pPr>
            <m:oMath>
              <m:sSub>
                <m:sSubPr>
                  <m:ctrlPr>
                    <w:rPr>
                      <w:rFonts w:ascii="Cambria Math" w:hAnsi="Cambria Math" w:eastAsia="Malgun Gothic"/>
                      <w:bCs/>
                      <w:lang w:eastAsia="ko-KR"/>
                    </w:rPr>
                  </m:ctrlPr>
                </m:sSubPr>
                <m:e>
                  <m:r>
                    <m:rPr>
                      <m:sty m:val="p"/>
                    </m:rPr>
                    <w:rPr>
                      <w:rFonts w:ascii="Cambria Math" w:hAnsi="Cambria Math" w:eastAsia="Malgun Gothic"/>
                      <w:lang w:eastAsia="ko-KR"/>
                    </w:rPr>
                    <m:t>P</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oMath>
            <w:r>
              <w:rPr>
                <w:bCs/>
                <w:lang w:eastAsia="ko-KR"/>
              </w:rPr>
              <w:t xml:space="preserve">, </w:t>
            </w:r>
            <m:oMath>
              <m:sSub>
                <m:sSubPr>
                  <m:ctrlPr>
                    <w:rPr>
                      <w:rFonts w:ascii="Cambria Math" w:hAnsi="Cambria Math" w:eastAsia="Malgun Gothic"/>
                      <w:bCs/>
                      <w:lang w:eastAsia="ko-KR"/>
                    </w:rPr>
                  </m:ctrlPr>
                </m:sSubPr>
                <m:e>
                  <m:r>
                    <m:rPr>
                      <m:sty m:val="p"/>
                    </m:rPr>
                    <w:rPr>
                      <w:rFonts w:ascii="Cambria Math" w:hAnsi="Cambria Math" w:eastAsia="Malgun Gothic"/>
                      <w:lang w:eastAsia="ko-KR"/>
                    </w:rPr>
                    <m:t>B</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oMath>
            <w:r>
              <w:rPr>
                <w:bCs/>
                <w:lang w:eastAsia="ko-KR"/>
              </w:rPr>
              <w:t xml:space="preserve"> and </w:t>
            </w:r>
            <m:oMath>
              <m:sSub>
                <m:sSubPr>
                  <m:ctrlPr>
                    <w:rPr>
                      <w:rFonts w:ascii="Cambria Math" w:hAnsi="Cambria Math" w:eastAsia="Malgun Gothic"/>
                      <w:bCs/>
                      <w:lang w:eastAsia="ko-KR"/>
                    </w:rPr>
                  </m:ctrlPr>
                </m:sSubPr>
                <m:e>
                  <m:r>
                    <m:rPr>
                      <m:sty m:val="p"/>
                    </m:rPr>
                    <w:rPr>
                      <w:rFonts w:ascii="Cambria Math" w:hAnsi="Cambria Math" w:eastAsia="Malgun Gothic"/>
                      <w:lang w:eastAsia="ko-KR"/>
                    </w:rPr>
                    <m:t>N</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oMath>
            <w:r>
              <w:rPr>
                <w:bCs/>
                <w:lang w:eastAsia="ko-KR"/>
              </w:rPr>
              <w:t xml:space="preserve"> are total DL power level, bandwidth, and the number of TxRUs in the reference configuration, respectively.</w:t>
            </w:r>
          </w:p>
          <w:p>
            <w:pPr>
              <w:pStyle w:val="48"/>
              <w:widowControl w:val="0"/>
              <w:numPr>
                <w:ilvl w:val="0"/>
                <w:numId w:val="38"/>
              </w:numPr>
              <w:wordWrap w:val="0"/>
              <w:spacing w:after="120" w:line="240" w:lineRule="auto"/>
            </w:pPr>
            <m:oMath>
              <m:sSub>
                <m:sSubPr>
                  <m:ctrlPr>
                    <w:rPr>
                      <w:rFonts w:ascii="Cambria Math" w:hAnsi="Cambria Math" w:eastAsia="Malgun Gothic"/>
                      <w:bCs/>
                      <w:lang w:eastAsia="ko-KR"/>
                    </w:rPr>
                  </m:ctrlPr>
                </m:sSubPr>
                <m:e>
                  <m:r>
                    <m:rPr>
                      <m:sty m:val="p"/>
                    </m:rPr>
                    <w:rPr>
                      <w:rFonts w:ascii="Cambria Math" w:hAnsi="Cambria Math" w:eastAsia="Malgun Gothic"/>
                      <w:lang w:eastAsia="ko-KR"/>
                    </w:rPr>
                    <m:t>B</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oMath>
            <w:r>
              <w:rPr>
                <w:bCs/>
                <w:lang w:eastAsia="ko-KR"/>
              </w:rPr>
              <w:t xml:space="preserve"> and </w:t>
            </w:r>
            <m:oMath>
              <m:sSub>
                <m:sSubPr>
                  <m:ctrlPr>
                    <w:rPr>
                      <w:rFonts w:ascii="Cambria Math" w:hAnsi="Cambria Math" w:eastAsia="Malgun Gothic"/>
                      <w:bCs/>
                      <w:lang w:eastAsia="ko-KR"/>
                    </w:rPr>
                  </m:ctrlPr>
                </m:sSubPr>
                <m:e>
                  <m:r>
                    <m:rPr>
                      <m:sty m:val="p"/>
                    </m:rPr>
                    <w:rPr>
                      <w:rFonts w:ascii="Cambria Math" w:hAnsi="Cambria Math" w:eastAsia="Malgun Gothic"/>
                      <w:lang w:eastAsia="ko-KR"/>
                    </w:rPr>
                    <m:t>N</m:t>
                  </m:r>
                  <m:ctrlPr>
                    <w:rPr>
                      <w:rFonts w:ascii="Cambria Math" w:hAnsi="Cambria Math" w:eastAsia="Malgun Gothic"/>
                      <w:bCs/>
                      <w:lang w:eastAsia="ko-KR"/>
                    </w:rPr>
                  </m:ctrlPr>
                </m:e>
                <m:sub>
                  <m:r>
                    <m:rPr>
                      <m:sty m:val="p"/>
                    </m:rPr>
                    <w:rPr>
                      <w:rFonts w:ascii="Cambria Math" w:hAnsi="Cambria Math" w:eastAsia="Malgun Gothic"/>
                      <w:lang w:eastAsia="ko-KR"/>
                    </w:rPr>
                    <m:t>ref</m:t>
                  </m:r>
                  <m:ctrlPr>
                    <w:rPr>
                      <w:rFonts w:ascii="Cambria Math" w:hAnsi="Cambria Math" w:eastAsia="Malgun Gothic"/>
                      <w:bCs/>
                      <w:lang w:eastAsia="ko-KR"/>
                    </w:rPr>
                  </m:ctrlPr>
                </m:sub>
              </m:sSub>
            </m:oMath>
            <w:r>
              <w:rPr>
                <w:bCs/>
                <w:lang w:eastAsia="ko-KR"/>
              </w:rPr>
              <w:t xml:space="preserve"> are</w:t>
            </w:r>
            <w:bookmarkStart w:id="119" w:name="_GoBack"/>
            <w:bookmarkEnd w:id="119"/>
            <w:r>
              <w:rPr>
                <w:bCs/>
                <w:lang w:eastAsia="ko-KR"/>
              </w:rPr>
              <w:t xml:space="preserve"> the actual bandwidth and the number of active TxRUs, respectively</w:t>
            </w:r>
            <w:r>
              <w:t>.</w:t>
            </w:r>
          </w:p>
          <w:p>
            <w:pPr>
              <w:pStyle w:val="48"/>
              <w:widowControl w:val="0"/>
              <w:wordWrap w:val="0"/>
              <w:spacing w:after="120" w:line="240" w:lineRule="auto"/>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hint="eastAsia" w:eastAsiaTheme="minorEastAsia"/>
              </w:rPr>
              <w:t>equation of Pt</w:t>
            </w:r>
            <w:r>
              <w:rPr>
                <w:rFonts w:eastAsiaTheme="minorEastAsia"/>
              </w:rPr>
              <w:t>. So, we would suggest not to agree the following bullet and ask company to report.</w:t>
            </w:r>
          </w:p>
          <w:p>
            <w:pPr>
              <w:pStyle w:val="48"/>
              <w:widowControl w:val="0"/>
              <w:numPr>
                <w:ilvl w:val="0"/>
                <w:numId w:val="37"/>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38"/>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38"/>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In general, w</w:t>
            </w:r>
            <w:r>
              <w:rPr>
                <w:rFonts w:hint="eastAsia" w:eastAsia="Malgun Gothic"/>
                <w:lang w:eastAsia="ko-KR"/>
              </w:rPr>
              <w:t>e support the proposal</w:t>
            </w:r>
            <w:r>
              <w:rPr>
                <w:rFonts w:eastAsia="Malgun Gothic"/>
                <w:lang w:eastAsia="ko-KR"/>
              </w:rPr>
              <w:t>,</w:t>
            </w:r>
            <w:r>
              <w:rPr>
                <w:rFonts w:hint="eastAsia" w:eastAsia="Malgun Gothic"/>
                <w:lang w:eastAsia="ko-KR"/>
              </w:rPr>
              <w:t xml:space="preserve"> </w:t>
            </w:r>
            <w:r>
              <w:rPr>
                <w:rFonts w:eastAsia="Malgun Gothic"/>
                <w:lang w:eastAsia="ko-KR"/>
              </w:rPr>
              <w:t>but we have two comments.</w:t>
            </w:r>
          </w:p>
          <w:p>
            <w:pPr>
              <w:widowControl w:val="0"/>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DOCOMO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We</w:t>
            </w:r>
            <w:r>
              <w:rPr>
                <w:rFonts w:eastAsiaTheme="minorEastAsia"/>
              </w:rPr>
              <w:t xml:space="preserve"> have several comments. </w:t>
            </w:r>
          </w:p>
          <w:p>
            <w:pPr>
              <w:pStyle w:val="48"/>
              <w:widowControl w:val="0"/>
              <w:numPr>
                <w:ilvl w:val="0"/>
                <w:numId w:val="38"/>
              </w:numPr>
              <w:spacing w:after="0"/>
              <w:rPr>
                <w:rFonts w:eastAsiaTheme="minorEastAsia"/>
              </w:rPr>
            </w:pPr>
            <w:r>
              <w:rPr>
                <w:rFonts w:hint="eastAsia" w:eastAsiaTheme="minorEastAsia"/>
                <w:lang w:eastAsia="zh-CN"/>
              </w:rPr>
              <w:t>F</w:t>
            </w:r>
            <w:r>
              <w:rPr>
                <w:rFonts w:eastAsiaTheme="minorEastAsia"/>
                <w:lang w:eastAsia="zh-CN"/>
              </w:rPr>
              <w:t xml:space="preserve">or “6. Target BLER 20%”, usually we use 10%. If there is no specific reason, we can set target BLER as 10%. </w:t>
            </w:r>
          </w:p>
          <w:p>
            <w:pPr>
              <w:widowControl w:val="0"/>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p>
            <w:pPr>
              <w:widowControl w:val="0"/>
              <w:spacing w:after="0"/>
              <w:jc w:val="center"/>
              <w:rPr>
                <w:rFonts w:eastAsiaTheme="minorEastAsia"/>
              </w:rPr>
            </w:pPr>
            <w:r>
              <w:rPr>
                <w:rFonts w:eastAsiaTheme="minorEastAsia"/>
              </w:rPr>
              <w:t>Nokia/Nsb</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would like to update the following parameters</w:t>
            </w:r>
          </w:p>
          <w:tbl>
            <w:tblPr>
              <w:tblStyle w:val="27"/>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highlight w:val="yellow"/>
                    </w:rPr>
                  </w:pPr>
                  <w:r>
                    <w:rPr>
                      <w:bCs/>
                      <w:highlight w:val="yellow"/>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rPr>
                  </w:pPr>
                  <w:r>
                    <w:rPr>
                      <w:b/>
                      <w:bCs/>
                    </w:rPr>
                    <w:t>SS blocks per SSB burst</w:t>
                  </w:r>
                </w:p>
              </w:tc>
              <w:tc>
                <w:tcPr>
                  <w:tcW w:w="2614" w:type="dxa"/>
                </w:tcPr>
                <w:p>
                  <w:pPr>
                    <w:widowControl w:val="0"/>
                    <w:spacing w:after="0"/>
                  </w:pPr>
                  <w:r>
                    <w:t>8 for 3 GHz &lt; FR1 &lt;= 6 GHz</w:t>
                  </w:r>
                </w:p>
              </w:tc>
              <w:tc>
                <w:tcPr>
                  <w:tcW w:w="2666" w:type="dxa"/>
                </w:tcPr>
                <w:p>
                  <w:pPr>
                    <w:widowControl w:val="0"/>
                    <w:spacing w:after="0"/>
                    <w:rPr>
                      <w:highlight w:val="yellow"/>
                    </w:rPr>
                  </w:pPr>
                  <w:r>
                    <w:rPr>
                      <w:highlight w:val="yellow"/>
                    </w:rPr>
                    <w:t>4 for FR1&lt;=3GHz</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B</w:t>
            </w:r>
            <w:r>
              <w:rPr>
                <w:rFonts w:eastAsiaTheme="minorEastAsia"/>
              </w:rPr>
              <w:t>asically support. Comment: if we define the common signal/channel which is not accounted into the load, we should also provide OSI/paging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v</w:t>
            </w:r>
            <w:r>
              <w:rPr>
                <w:rFonts w:eastAsiaTheme="minorEastAsia"/>
              </w:rPr>
              <w:t>ivo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w:t>
            </w:r>
            <w:r>
              <w:rPr>
                <w:rFonts w:eastAsiaTheme="minorEastAsia"/>
              </w:rPr>
              <w:t>e are fine with the proposal. For the transmission power, agree with Huawei that it could be reported by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cs="Times New Roman" w:eastAsiaTheme="minorEastAsia"/>
                <w:sz w:val="20"/>
                <w:szCs w:val="20"/>
                <w:lang w:val="en-US" w:eastAsia="zh-CN" w:bidi="ar-SA"/>
              </w:rPr>
            </w:pPr>
            <w:r>
              <w:rPr>
                <w:rFonts w:hint="eastAsia" w:eastAsiaTheme="minorEastAsia"/>
                <w:sz w:val="20"/>
                <w:szCs w:val="20"/>
                <w:lang w:val="en-US" w:eastAsia="zh-CN"/>
              </w:rPr>
              <w:t>ZTE, Sanechips</w:t>
            </w:r>
          </w:p>
        </w:tc>
        <w:tc>
          <w:tcPr>
            <w:tcW w:w="8360" w:type="dxa"/>
            <w:tcBorders>
              <w:top w:val="single" w:color="auto" w:sz="4" w:space="0"/>
              <w:left w:val="single" w:color="auto" w:sz="4" w:space="0"/>
              <w:bottom w:val="single" w:color="auto" w:sz="4" w:space="0"/>
              <w:right w:val="single" w:color="auto" w:sz="4" w:space="0"/>
            </w:tcBorders>
            <w:vAlign w:val="top"/>
          </w:tcPr>
          <w:p>
            <w:pPr>
              <w:keepNext w:val="0"/>
              <w:keepLines w:val="0"/>
              <w:widowControl w:val="0"/>
              <w:suppressLineNumbers w:val="0"/>
              <w:spacing w:before="0" w:beforeAutospacing="0" w:after="0" w:afterAutospacing="0"/>
              <w:ind w:left="0" w:right="0"/>
              <w:rPr>
                <w:rFonts w:hint="default" w:eastAsiaTheme="minorEastAsia"/>
                <w:sz w:val="20"/>
                <w:szCs w:val="20"/>
                <w:lang w:val="en-US" w:eastAsia="zh-CN"/>
              </w:rPr>
            </w:pPr>
            <w:r>
              <w:rPr>
                <w:rFonts w:hint="eastAsia" w:eastAsiaTheme="minorEastAsia"/>
                <w:sz w:val="20"/>
                <w:szCs w:val="20"/>
                <w:lang w:val="en-US" w:eastAsia="zh-CN"/>
              </w:rPr>
              <w:t>The following two rows are not consistent, i.e., the SIB periodicity in row 14 can be larger than SSB, but in row 13, it implies the periodicity is the same. Therefore,the row 13 can be removed.</w:t>
            </w:r>
          </w:p>
          <w:p>
            <w:pPr>
              <w:keepNext w:val="0"/>
              <w:keepLines w:val="0"/>
              <w:widowControl w:val="0"/>
              <w:suppressLineNumbers w:val="0"/>
              <w:spacing w:before="0" w:beforeAutospacing="0" w:after="0" w:afterAutospacing="0"/>
              <w:ind w:left="0" w:right="0"/>
              <w:rPr>
                <w:rFonts w:hint="default" w:eastAsiaTheme="minorEastAsia"/>
                <w:sz w:val="20"/>
                <w:szCs w:val="20"/>
                <w:lang w:val="en-US" w:eastAsia="zh-CN"/>
              </w:rPr>
            </w:pPr>
          </w:p>
          <w:tbl>
            <w:tblPr>
              <w:tblStyle w:val="27"/>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6"/>
              <w:gridCol w:w="203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vAlign w:val="top"/>
                </w:tcPr>
                <w:p>
                  <w:pPr>
                    <w:keepNext w:val="0"/>
                    <w:keepLines w:val="0"/>
                    <w:widowControl w:val="0"/>
                    <w:suppressLineNumbers w:val="0"/>
                    <w:spacing w:before="0" w:beforeAutospacing="0" w:after="0" w:afterAutospacing="0"/>
                    <w:ind w:left="0" w:right="0"/>
                    <w:rPr>
                      <w:rFonts w:hint="default" w:ascii="Times New Roman" w:hAnsi="Times New Roman" w:eastAsia="宋体" w:cs="Times New Roman"/>
                      <w:b/>
                      <w:sz w:val="20"/>
                      <w:szCs w:val="20"/>
                      <w:lang w:val="en-US" w:eastAsia="zh-CN" w:bidi="ar-SA"/>
                    </w:rPr>
                  </w:pPr>
                  <w:r>
                    <w:rPr>
                      <w:rFonts w:hint="default"/>
                      <w:b/>
                      <w:sz w:val="20"/>
                      <w:szCs w:val="20"/>
                    </w:rPr>
                    <w:t>13</w:t>
                  </w:r>
                </w:p>
              </w:tc>
              <w:tc>
                <w:tcPr>
                  <w:tcW w:w="2036" w:type="dxa"/>
                  <w:vAlign w:val="top"/>
                </w:tcPr>
                <w:p>
                  <w:pPr>
                    <w:keepNext w:val="0"/>
                    <w:keepLines w:val="0"/>
                    <w:widowControl w:val="0"/>
                    <w:suppressLineNumbers w:val="0"/>
                    <w:spacing w:before="0" w:beforeAutospacing="0" w:after="0" w:afterAutospacing="0"/>
                    <w:ind w:left="0" w:right="0"/>
                    <w:rPr>
                      <w:rFonts w:hint="default" w:ascii="Times New Roman" w:hAnsi="Times New Roman" w:eastAsia="宋体" w:cs="Times New Roman"/>
                      <w:b/>
                      <w:sz w:val="20"/>
                      <w:szCs w:val="20"/>
                      <w:lang w:val="en-US" w:eastAsia="zh-CN" w:bidi="ar-SA"/>
                    </w:rPr>
                  </w:pPr>
                  <w:r>
                    <w:rPr>
                      <w:rFonts w:hint="default"/>
                      <w:b/>
                      <w:sz w:val="20"/>
                      <w:szCs w:val="20"/>
                    </w:rPr>
                    <w:t>Number of SIB1</w:t>
                  </w:r>
                </w:p>
              </w:tc>
              <w:tc>
                <w:tcPr>
                  <w:tcW w:w="2036" w:type="dxa"/>
                  <w:vAlign w:val="top"/>
                </w:tcPr>
                <w:p>
                  <w:pPr>
                    <w:keepNext w:val="0"/>
                    <w:keepLines w:val="0"/>
                    <w:widowControl w:val="0"/>
                    <w:suppressLineNumbers w:val="0"/>
                    <w:spacing w:before="0" w:beforeAutospacing="0" w:after="0" w:afterAutospacing="0"/>
                    <w:ind w:left="0" w:right="0"/>
                    <w:rPr>
                      <w:rFonts w:hint="default" w:ascii="Times New Roman" w:hAnsi="Times New Roman" w:eastAsia="宋体" w:cs="Times New Roman"/>
                      <w:bCs/>
                      <w:sz w:val="20"/>
                      <w:szCs w:val="20"/>
                      <w:lang w:val="en-US" w:eastAsia="zh-CN" w:bidi="ar-SA"/>
                    </w:rPr>
                  </w:pPr>
                  <w:r>
                    <w:rPr>
                      <w:rFonts w:hint="default"/>
                      <w:bCs/>
                      <w:sz w:val="20"/>
                      <w:szCs w:val="20"/>
                    </w:rPr>
                    <w:t>1 SIB1 per SSB</w:t>
                  </w:r>
                </w:p>
              </w:tc>
              <w:tc>
                <w:tcPr>
                  <w:tcW w:w="2036" w:type="dxa"/>
                  <w:vAlign w:val="top"/>
                </w:tcPr>
                <w:p>
                  <w:pPr>
                    <w:keepNext w:val="0"/>
                    <w:keepLines w:val="0"/>
                    <w:widowControl w:val="0"/>
                    <w:suppressLineNumbers w:val="0"/>
                    <w:spacing w:before="0" w:beforeAutospacing="0" w:after="0" w:afterAutospacing="0"/>
                    <w:ind w:left="0" w:right="0"/>
                    <w:rPr>
                      <w:rFonts w:hint="default" w:ascii="Times New Roman" w:hAnsi="Times New Roman" w:eastAsia="宋体" w:cs="Times New Roman"/>
                      <w:bCs/>
                      <w:sz w:val="20"/>
                      <w:szCs w:val="20"/>
                      <w:lang w:val="en-US" w:eastAsia="zh-CN" w:bidi="ar-SA"/>
                    </w:rPr>
                  </w:pPr>
                  <w:r>
                    <w:rPr>
                      <w:rFonts w:hint="default"/>
                      <w:bCs/>
                      <w:sz w:val="20"/>
                      <w:szCs w:val="2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vAlign w:val="top"/>
                </w:tcPr>
                <w:p>
                  <w:pPr>
                    <w:keepNext w:val="0"/>
                    <w:keepLines w:val="0"/>
                    <w:widowControl w:val="0"/>
                    <w:suppressLineNumbers w:val="0"/>
                    <w:spacing w:before="0" w:beforeAutospacing="0" w:after="0" w:afterAutospacing="0"/>
                    <w:ind w:left="0" w:right="0"/>
                    <w:rPr>
                      <w:rFonts w:hint="default" w:ascii="Times New Roman" w:hAnsi="Times New Roman" w:eastAsia="宋体" w:cs="Times New Roman"/>
                      <w:b/>
                      <w:sz w:val="20"/>
                      <w:szCs w:val="20"/>
                      <w:lang w:val="en-US" w:eastAsia="zh-CN" w:bidi="ar-SA"/>
                    </w:rPr>
                  </w:pPr>
                  <w:r>
                    <w:rPr>
                      <w:rFonts w:hint="default"/>
                      <w:b/>
                      <w:sz w:val="20"/>
                      <w:szCs w:val="20"/>
                    </w:rPr>
                    <w:t>14</w:t>
                  </w:r>
                </w:p>
              </w:tc>
              <w:tc>
                <w:tcPr>
                  <w:tcW w:w="2036" w:type="dxa"/>
                  <w:vAlign w:val="top"/>
                </w:tcPr>
                <w:p>
                  <w:pPr>
                    <w:keepNext w:val="0"/>
                    <w:keepLines w:val="0"/>
                    <w:widowControl w:val="0"/>
                    <w:suppressLineNumbers w:val="0"/>
                    <w:spacing w:before="0" w:beforeAutospacing="0" w:after="0" w:afterAutospacing="0"/>
                    <w:ind w:left="0" w:right="0"/>
                    <w:rPr>
                      <w:rFonts w:hint="default" w:ascii="Times New Roman" w:hAnsi="Times New Roman" w:eastAsia="宋体" w:cs="Times New Roman"/>
                      <w:b/>
                      <w:bCs/>
                      <w:sz w:val="20"/>
                      <w:szCs w:val="20"/>
                      <w:lang w:val="en-US" w:eastAsia="zh-CN" w:bidi="ar-SA"/>
                    </w:rPr>
                  </w:pPr>
                  <w:r>
                    <w:rPr>
                      <w:rFonts w:hint="default"/>
                      <w:b/>
                      <w:sz w:val="20"/>
                      <w:szCs w:val="20"/>
                    </w:rPr>
                    <w:t>SIB1 transmission repetition periodicity</w:t>
                  </w:r>
                </w:p>
              </w:tc>
              <w:tc>
                <w:tcPr>
                  <w:tcW w:w="2036" w:type="dxa"/>
                  <w:vAlign w:val="top"/>
                </w:tcPr>
                <w:p>
                  <w:pPr>
                    <w:keepNext w:val="0"/>
                    <w:keepLines w:val="0"/>
                    <w:widowControl w:val="0"/>
                    <w:suppressLineNumbers w:val="0"/>
                    <w:spacing w:before="0" w:beforeAutospacing="0" w:after="0" w:afterAutospacing="0"/>
                    <w:ind w:left="0" w:right="0"/>
                    <w:rPr>
                      <w:rFonts w:hint="default"/>
                      <w:bCs/>
                      <w:sz w:val="20"/>
                      <w:szCs w:val="20"/>
                    </w:rPr>
                  </w:pPr>
                  <w:r>
                    <w:rPr>
                      <w:rFonts w:hint="default"/>
                      <w:bCs/>
                      <w:sz w:val="20"/>
                      <w:szCs w:val="20"/>
                    </w:rPr>
                    <w:t>20 ms or 80 ms,</w:t>
                  </w:r>
                </w:p>
                <w:p>
                  <w:pPr>
                    <w:keepNext w:val="0"/>
                    <w:keepLines w:val="0"/>
                    <w:widowControl w:val="0"/>
                    <w:suppressLineNumbers w:val="0"/>
                    <w:spacing w:before="0" w:beforeAutospacing="0" w:after="0" w:afterAutospacing="0"/>
                    <w:ind w:left="0" w:right="0"/>
                    <w:rPr>
                      <w:rFonts w:hint="default" w:ascii="Times New Roman" w:hAnsi="Times New Roman" w:eastAsia="宋体" w:cs="Times New Roman"/>
                      <w:bCs/>
                      <w:sz w:val="20"/>
                      <w:szCs w:val="20"/>
                      <w:lang w:val="en-US" w:eastAsia="zh-CN" w:bidi="ar-SA"/>
                    </w:rPr>
                  </w:pPr>
                  <w:r>
                    <w:rPr>
                      <w:rFonts w:hint="default"/>
                      <w:bCs/>
                      <w:sz w:val="20"/>
                      <w:szCs w:val="20"/>
                    </w:rPr>
                    <w:t>multiplexing pattern 1 with SSB</w:t>
                  </w:r>
                </w:p>
              </w:tc>
              <w:tc>
                <w:tcPr>
                  <w:tcW w:w="2036" w:type="dxa"/>
                  <w:vAlign w:val="top"/>
                </w:tcPr>
                <w:p>
                  <w:pPr>
                    <w:keepNext w:val="0"/>
                    <w:keepLines w:val="0"/>
                    <w:widowControl w:val="0"/>
                    <w:suppressLineNumbers w:val="0"/>
                    <w:spacing w:before="0" w:beforeAutospacing="0" w:after="0" w:afterAutospacing="0"/>
                    <w:ind w:left="0" w:right="0"/>
                    <w:rPr>
                      <w:rFonts w:hint="default"/>
                      <w:bCs/>
                      <w:sz w:val="20"/>
                      <w:szCs w:val="20"/>
                    </w:rPr>
                  </w:pPr>
                  <w:r>
                    <w:rPr>
                      <w:rFonts w:hint="default"/>
                      <w:bCs/>
                      <w:sz w:val="20"/>
                      <w:szCs w:val="20"/>
                    </w:rPr>
                    <w:t>20 ms or 80 ms,</w:t>
                  </w:r>
                </w:p>
                <w:p>
                  <w:pPr>
                    <w:keepNext w:val="0"/>
                    <w:keepLines w:val="0"/>
                    <w:widowControl w:val="0"/>
                    <w:suppressLineNumbers w:val="0"/>
                    <w:spacing w:before="0" w:beforeAutospacing="0" w:after="0" w:afterAutospacing="0"/>
                    <w:ind w:left="0" w:right="0"/>
                    <w:rPr>
                      <w:rFonts w:hint="default" w:ascii="Times New Roman" w:hAnsi="Times New Roman" w:eastAsia="宋体" w:cs="Times New Roman"/>
                      <w:bCs/>
                      <w:sz w:val="20"/>
                      <w:szCs w:val="20"/>
                      <w:lang w:val="en-US" w:eastAsia="zh-CN" w:bidi="ar-SA"/>
                    </w:rPr>
                  </w:pPr>
                  <w:r>
                    <w:rPr>
                      <w:rFonts w:hint="default"/>
                      <w:bCs/>
                      <w:sz w:val="20"/>
                      <w:szCs w:val="20"/>
                    </w:rPr>
                    <w:t>multiplexing pattern 1 with SSB</w:t>
                  </w:r>
                </w:p>
              </w:tc>
            </w:tr>
          </w:tbl>
          <w:p>
            <w:pPr>
              <w:keepNext w:val="0"/>
              <w:keepLines w:val="0"/>
              <w:widowControl w:val="0"/>
              <w:suppressLineNumbers w:val="0"/>
              <w:spacing w:before="0" w:beforeAutospacing="0" w:after="0" w:afterAutospacing="0"/>
              <w:ind w:left="0" w:leftChars="0" w:right="0" w:rightChars="0"/>
              <w:rPr>
                <w:rFonts w:hint="eastAsia" w:ascii="Times New Roman" w:hAnsi="Times New Roman" w:cs="Times New Roman" w:eastAsiaTheme="minorEastAsia"/>
                <w:sz w:val="20"/>
                <w:szCs w:val="20"/>
                <w:lang w:val="en-US" w:eastAsia="zh-CN" w:bidi="ar-SA"/>
              </w:rPr>
            </w:pPr>
          </w:p>
        </w:tc>
      </w:tr>
    </w:tbl>
    <w:p/>
    <w:p>
      <w:pPr>
        <w:pStyle w:val="2"/>
      </w:pPr>
      <w:r>
        <w:t>Others for performance evaluation, if any</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pPr>
      <w:r>
        <w:t>Preliminary results</w:t>
      </w:r>
    </w:p>
    <w:p>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pPr>
        <w:pStyle w:val="4"/>
      </w:pPr>
      <w:r>
        <w:t>Initial round</w:t>
      </w:r>
    </w:p>
    <w:p>
      <w:pPr>
        <w:pStyle w:val="5"/>
        <w:numPr>
          <w:ilvl w:val="0"/>
          <w:numId w:val="0"/>
        </w:numPr>
      </w:pPr>
      <w:r>
        <w:t>Source 1: Nokia/NSB</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after="0"/>
              <w:jc w:val="left"/>
              <w:rPr>
                <w:b/>
                <w:bCs/>
              </w:rPr>
            </w:pPr>
            <w:r>
              <w:rPr>
                <w:b/>
                <w:bCs/>
              </w:rPr>
              <w:t>Single carrier</w:t>
            </w:r>
          </w:p>
          <w:p>
            <w:pPr>
              <w:pStyle w:val="48"/>
              <w:widowControl w:val="0"/>
              <w:numPr>
                <w:ilvl w:val="0"/>
                <w:numId w:val="39"/>
              </w:numPr>
              <w:spacing w:line="240" w:lineRule="auto"/>
              <w:rPr>
                <w:b/>
                <w:bCs/>
                <w:lang w:val="en-US"/>
              </w:rPr>
            </w:pPr>
            <w:r>
              <w:rPr>
                <w:b/>
                <w:bCs/>
                <w:lang w:val="en-US"/>
              </w:rPr>
              <w:t>Relaxed periodicity for both SIB1/SSB/RO</w:t>
            </w:r>
          </w:p>
          <w:p>
            <w:pPr>
              <w:widowControl w:val="0"/>
              <w:spacing w:after="0"/>
              <w:jc w:val="left"/>
              <w:rPr>
                <w:rFonts w:eastAsiaTheme="minorEastAsia"/>
              </w:rPr>
            </w:pPr>
          </w:p>
          <w:p>
            <w:pPr>
              <w:widowControl w:val="0"/>
              <w:jc w:val="center"/>
            </w:pPr>
            <w: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pPr>
              <w:pStyle w:val="11"/>
              <w:widowControl w:val="0"/>
            </w:pPr>
            <w:bookmarkStart w:id="82" w:name="_Ref115429789"/>
            <w:r>
              <w:t xml:space="preserve">Figure </w:t>
            </w:r>
            <w:r>
              <w:fldChar w:fldCharType="begin"/>
            </w:r>
            <w:r>
              <w:instrText xml:space="preserve"> SEQ Figure \* ARABIC </w:instrText>
            </w:r>
            <w:r>
              <w:fldChar w:fldCharType="separate"/>
            </w:r>
            <w:r>
              <w:t>1</w:t>
            </w:r>
            <w:r>
              <w:fldChar w:fldCharType="end"/>
            </w:r>
            <w:bookmarkEnd w:id="82"/>
            <w:r>
              <w:t>: ES gain and impact on UPT from relaxing SSB/SIB/RO periodicity</w:t>
            </w:r>
          </w:p>
          <w:p>
            <w:pPr>
              <w:widowControl w:val="0"/>
              <w:spacing w:after="0"/>
              <w:jc w:val="left"/>
              <w:rPr>
                <w:rFonts w:eastAsiaTheme="minorEastAsia"/>
              </w:rPr>
            </w:pPr>
          </w:p>
          <w:p>
            <w:pPr>
              <w:pStyle w:val="48"/>
              <w:widowControl w:val="0"/>
              <w:numPr>
                <w:ilvl w:val="0"/>
                <w:numId w:val="39"/>
              </w:numPr>
              <w:spacing w:line="240" w:lineRule="auto"/>
              <w:rPr>
                <w:b/>
                <w:bCs/>
                <w:lang w:val="en-US"/>
              </w:rPr>
            </w:pPr>
            <w:r>
              <w:rPr>
                <w:b/>
                <w:bCs/>
                <w:lang w:val="en-US"/>
              </w:rPr>
              <w:t>Reduced number of SSBs per SS Blocks and per slot</w:t>
            </w:r>
          </w:p>
          <w:p>
            <w:pPr>
              <w:widowControl w:val="0"/>
              <w:jc w:val="center"/>
            </w:pPr>
            <w: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pPr>
              <w:pStyle w:val="11"/>
              <w:widowControl w:val="0"/>
            </w:pPr>
            <w:bookmarkStart w:id="83" w:name="_Ref115429844"/>
            <w:r>
              <w:t xml:space="preserve">Figure </w:t>
            </w:r>
            <w:r>
              <w:fldChar w:fldCharType="begin"/>
            </w:r>
            <w:r>
              <w:instrText xml:space="preserve"> SEQ Figure \* ARABIC </w:instrText>
            </w:r>
            <w:r>
              <w:fldChar w:fldCharType="separate"/>
            </w:r>
            <w:r>
              <w:t>2</w:t>
            </w:r>
            <w:r>
              <w:fldChar w:fldCharType="end"/>
            </w:r>
            <w:bookmarkEnd w:id="83"/>
            <w:r>
              <w:t>: ES gain from reducing the number of SSBs</w:t>
            </w:r>
          </w:p>
          <w:p>
            <w:pPr>
              <w:widowControl w:val="0"/>
              <w:spacing w:after="0"/>
              <w:jc w:val="left"/>
              <w:rPr>
                <w:rFonts w:eastAsiaTheme="minorEastAsia"/>
              </w:rPr>
            </w:pPr>
          </w:p>
          <w:p>
            <w:pPr>
              <w:widowControl w:val="0"/>
              <w:spacing w:after="0"/>
              <w:jc w:val="left"/>
              <w:rPr>
                <w:b/>
                <w:bCs/>
              </w:rPr>
            </w:pPr>
            <w:r>
              <w:rPr>
                <w:b/>
                <w:bCs/>
              </w:rPr>
              <w:t>Multi-carrier</w:t>
            </w:r>
          </w:p>
          <w:p>
            <w:pPr>
              <w:pStyle w:val="48"/>
              <w:widowControl w:val="0"/>
              <w:numPr>
                <w:ilvl w:val="0"/>
                <w:numId w:val="40"/>
              </w:numPr>
              <w:spacing w:line="240" w:lineRule="auto"/>
              <w:rPr>
                <w:b/>
                <w:bCs/>
                <w:lang w:val="en-US"/>
              </w:rPr>
            </w:pPr>
            <w:r>
              <w:rPr>
                <w:b/>
                <w:bCs/>
                <w:lang w:val="en-US"/>
              </w:rPr>
              <w:t>SSB-less operation in the ES CC (as per release 17)</w:t>
            </w:r>
          </w:p>
          <w:p>
            <w:pPr>
              <w:widowControl w:val="0"/>
              <w:rPr>
                <w:bCs/>
                <w:sz w:val="22"/>
                <w:szCs w:val="22"/>
              </w:rPr>
            </w:pPr>
          </w:p>
          <w:p>
            <w:pPr>
              <w:widowControl w:val="0"/>
              <w:jc w:val="center"/>
              <w:rPr>
                <w:bCs/>
                <w:sz w:val="22"/>
                <w:szCs w:val="22"/>
              </w:rPr>
            </w:pPr>
            <w:r>
              <w:rPr>
                <w:bCs/>
                <w:sz w:val="22"/>
                <w:szCs w:val="22"/>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sz w:val="22"/>
                <w:szCs w:val="22"/>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pPr>
              <w:widowControl w:val="0"/>
              <w:spacing w:line="240" w:lineRule="auto"/>
              <w:ind w:left="360"/>
              <w:jc w:val="center"/>
              <w:rPr>
                <w:b/>
                <w:bCs/>
              </w:rPr>
            </w:pPr>
            <w:bookmarkStart w:id="84" w:name="_Ref115432472"/>
            <w:r>
              <w:t xml:space="preserve">Figure </w:t>
            </w:r>
            <w:r>
              <w:fldChar w:fldCharType="begin"/>
            </w:r>
            <w:r>
              <w:instrText xml:space="preserve"> SEQ Figure \* ARABIC </w:instrText>
            </w:r>
            <w:r>
              <w:fldChar w:fldCharType="separate"/>
            </w:r>
            <w:r>
              <w:t>3</w:t>
            </w:r>
            <w:r>
              <w:fldChar w:fldCharType="end"/>
            </w:r>
            <w:bookmarkEnd w:id="84"/>
            <w:r>
              <w:t>: ES gain and impact on UPT from SSB-less operation in ES CC</w:t>
            </w:r>
          </w:p>
          <w:p>
            <w:pPr>
              <w:pStyle w:val="48"/>
              <w:widowControl w:val="0"/>
              <w:numPr>
                <w:ilvl w:val="0"/>
                <w:numId w:val="40"/>
              </w:numPr>
              <w:spacing w:line="240" w:lineRule="auto"/>
              <w:rPr>
                <w:b/>
                <w:bCs/>
                <w:lang w:val="en-US"/>
              </w:rPr>
            </w:pPr>
            <w:r>
              <w:rPr>
                <w:b/>
                <w:bCs/>
                <w:lang w:val="en-US"/>
              </w:rPr>
              <w:t>SIB1-less operation in the ES CC</w:t>
            </w:r>
          </w:p>
          <w:p>
            <w:pPr>
              <w:widowControl w:val="0"/>
              <w:jc w:val="center"/>
              <w:rPr>
                <w:b/>
                <w:bCs/>
              </w:rPr>
            </w:pPr>
            <w:r>
              <w:rPr>
                <w:b/>
                <w:bCs/>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pPr>
              <w:pStyle w:val="11"/>
              <w:widowControl w:val="0"/>
            </w:pPr>
            <w:bookmarkStart w:id="85" w:name="_Ref115433097"/>
            <w:r>
              <w:t xml:space="preserve">Figure </w:t>
            </w:r>
            <w:r>
              <w:fldChar w:fldCharType="begin"/>
            </w:r>
            <w:r>
              <w:instrText xml:space="preserve"> SEQ Figure \* ARABIC </w:instrText>
            </w:r>
            <w:r>
              <w:fldChar w:fldCharType="separate"/>
            </w:r>
            <w:r>
              <w:t>4</w:t>
            </w:r>
            <w:r>
              <w:fldChar w:fldCharType="end"/>
            </w:r>
            <w:bookmarkEnd w:id="85"/>
            <w:r>
              <w:t>: ES gain and impact on UPT from SIB1-less operation in ES CC</w:t>
            </w:r>
          </w:p>
          <w:p>
            <w:pPr>
              <w:widowControl w:val="0"/>
              <w:spacing w:after="0"/>
              <w:jc w:val="left"/>
              <w:rPr>
                <w:b/>
                <w:bCs/>
              </w:rPr>
            </w:pPr>
          </w:p>
          <w:p>
            <w:pPr>
              <w:pStyle w:val="48"/>
              <w:widowControl w:val="0"/>
              <w:numPr>
                <w:ilvl w:val="0"/>
                <w:numId w:val="40"/>
              </w:numPr>
              <w:spacing w:line="240" w:lineRule="auto"/>
              <w:rPr>
                <w:b/>
                <w:bCs/>
                <w:lang w:val="en-US"/>
              </w:rPr>
            </w:pPr>
            <w:r>
              <w:rPr>
                <w:b/>
                <w:bCs/>
                <w:lang w:val="en-US"/>
              </w:rPr>
              <w:t>SSB&amp;SIB1-less operation in the ES CC</w:t>
            </w:r>
          </w:p>
          <w:p>
            <w:pPr>
              <w:widowControl w:val="0"/>
              <w:ind w:left="360"/>
              <w:jc w:val="center"/>
              <w:rPr>
                <w:lang w:eastAsia="zh-CN"/>
              </w:rPr>
            </w:pPr>
            <w: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pPr>
              <w:pStyle w:val="48"/>
              <w:widowControl w:val="0"/>
              <w:numPr>
                <w:ilvl w:val="0"/>
                <w:numId w:val="41"/>
              </w:numPr>
              <w:spacing w:line="240" w:lineRule="auto"/>
              <w:jc w:val="center"/>
            </w:pPr>
            <w:r>
              <w:rPr>
                <w:i/>
                <w:iCs/>
                <w:lang w:val="en-US" w:eastAsia="zh-CN"/>
              </w:rPr>
              <w:t>RO periodicity=20 ms</w:t>
            </w:r>
          </w:p>
          <w:p>
            <w:pPr>
              <w:pStyle w:val="11"/>
              <w:widowControl w:val="0"/>
            </w:pPr>
            <w: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pPr>
              <w:pStyle w:val="48"/>
              <w:widowControl w:val="0"/>
              <w:numPr>
                <w:ilvl w:val="0"/>
                <w:numId w:val="41"/>
              </w:numPr>
              <w:spacing w:line="240" w:lineRule="auto"/>
              <w:jc w:val="center"/>
              <w:rPr>
                <w:i/>
                <w:iCs/>
                <w:lang w:val="en-US"/>
              </w:rPr>
            </w:pPr>
            <w:r>
              <w:rPr>
                <w:i/>
                <w:iCs/>
                <w:lang w:val="en-US" w:eastAsia="zh-CN"/>
              </w:rPr>
              <w:t>RO periodicity=160 ms</w:t>
            </w:r>
          </w:p>
          <w:p>
            <w:pPr>
              <w:pStyle w:val="11"/>
              <w:widowControl w:val="0"/>
            </w:pPr>
            <w:bookmarkStart w:id="86" w:name="_Ref115433874"/>
            <w:r>
              <w:t xml:space="preserve">Figure </w:t>
            </w:r>
            <w:r>
              <w:fldChar w:fldCharType="begin"/>
            </w:r>
            <w:r>
              <w:instrText xml:space="preserve"> SEQ Figure \* ARABIC </w:instrText>
            </w:r>
            <w:r>
              <w:fldChar w:fldCharType="separate"/>
            </w:r>
            <w:r>
              <w:t>5</w:t>
            </w:r>
            <w:r>
              <w:fldChar w:fldCharType="end"/>
            </w:r>
            <w:bookmarkEnd w:id="86"/>
            <w:r>
              <w:t>: ES gain and impact on UPT from SSB&amp;SIB1-less operation in ES CC</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2: vivo</w:t>
      </w:r>
    </w:p>
    <w:p>
      <w:r>
        <w:t xml:space="preserve">(Additionally, vivo has more results submitted also in </w:t>
      </w:r>
      <w:r>
        <w:fldChar w:fldCharType="begin"/>
      </w:r>
      <w:r>
        <w:instrText xml:space="preserve"> HYPERLINK "https://www.3gpp.org/ftp/TSG_RAN/WG1_RL1/TSGR1_110b-e/Docs/R1-2208655.zip" </w:instrText>
      </w:r>
      <w:r>
        <w:fldChar w:fldCharType="separate"/>
      </w:r>
      <w:r>
        <w:rPr>
          <w:rStyle w:val="30"/>
        </w:rPr>
        <w:t>R1- 2208655</w:t>
      </w:r>
      <w:r>
        <w:rPr>
          <w:rStyle w:val="30"/>
        </w:rPr>
        <w:fldChar w:fldCharType="end"/>
      </w:r>
      <w:r>
        <w:rPr>
          <w:lang w:eastAsia="zh-CN"/>
        </w:rPr>
        <w:t xml:space="preserve"> in AI 9.7.2</w:t>
      </w:r>
      <w:r>
        <w:t>)</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pStyle w:val="11"/>
              <w:widowControl w:val="0"/>
            </w:pPr>
            <w:bookmarkStart w:id="87" w:name="_Ref102060106"/>
            <w:r>
              <w:t xml:space="preserve">Table </w:t>
            </w:r>
            <w:r>
              <w:fldChar w:fldCharType="begin"/>
            </w:r>
            <w:r>
              <w:instrText xml:space="preserve"> SEQ Table \* ARABIC </w:instrText>
            </w:r>
            <w:r>
              <w:fldChar w:fldCharType="separate"/>
            </w:r>
            <w:r>
              <w:t>2</w:t>
            </w:r>
            <w:r>
              <w:fldChar w:fldCharType="end"/>
            </w:r>
            <w:bookmarkEnd w:id="87"/>
            <w:r>
              <w:rPr>
                <w:rFonts w:asciiTheme="minorEastAsia" w:hAnsiTheme="minorEastAsia" w:eastAsiaTheme="minorEastAsia"/>
              </w:rPr>
              <w:t>.</w:t>
            </w:r>
            <w:r>
              <w:t xml:space="preserve"> Network resource utilization of different traffic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44"/>
              <w:gridCol w:w="1011"/>
              <w:gridCol w:w="110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Pr>
                <w:p>
                  <w:pPr>
                    <w:spacing w:line="276" w:lineRule="auto"/>
                    <w:rPr>
                      <w:b/>
                    </w:rPr>
                  </w:pPr>
                  <w:r>
                    <w:rPr>
                      <w:b/>
                      <w:bCs/>
                    </w:rPr>
                    <w:t>Load</w:t>
                  </w:r>
                </w:p>
              </w:tc>
              <w:tc>
                <w:tcPr>
                  <w:tcW w:w="0" w:type="auto"/>
                </w:tcPr>
                <w:p>
                  <w:pPr>
                    <w:spacing w:line="276" w:lineRule="auto"/>
                    <w:rPr>
                      <w:b/>
                    </w:rPr>
                  </w:pPr>
                  <w:r>
                    <w:rPr>
                      <w:b/>
                      <w:bCs/>
                    </w:rPr>
                    <w:t>Zero load</w:t>
                  </w:r>
                </w:p>
              </w:tc>
              <w:tc>
                <w:tcPr>
                  <w:tcW w:w="0" w:type="auto"/>
                </w:tcPr>
                <w:p>
                  <w:pPr>
                    <w:spacing w:line="276" w:lineRule="auto"/>
                    <w:rPr>
                      <w:b/>
                      <w:bCs/>
                    </w:rPr>
                  </w:pPr>
                  <w:r>
                    <w:rPr>
                      <w:b/>
                      <w:bCs/>
                    </w:rPr>
                    <w:t>Low load</w:t>
                  </w:r>
                </w:p>
              </w:tc>
              <w:tc>
                <w:tcPr>
                  <w:tcW w:w="0" w:type="auto"/>
                </w:tcPr>
                <w:p>
                  <w:pPr>
                    <w:spacing w:line="276" w:lineRule="auto"/>
                    <w:rPr>
                      <w:b/>
                    </w:rPr>
                  </w:pPr>
                  <w:r>
                    <w:rPr>
                      <w:b/>
                      <w:bCs/>
                    </w:rPr>
                    <w:t>Light load</w:t>
                  </w:r>
                </w:p>
              </w:tc>
              <w:tc>
                <w:tcPr>
                  <w:tcW w:w="0" w:type="auto"/>
                </w:tcPr>
                <w:p>
                  <w:pPr>
                    <w:spacing w:line="276" w:lineRule="auto"/>
                    <w:rPr>
                      <w:b/>
                      <w:bCs/>
                    </w:rPr>
                  </w:pPr>
                  <w:r>
                    <w:rPr>
                      <w:b/>
                      <w:lang w:val="en-GB"/>
                    </w:rPr>
                    <w:t>Medium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Pr>
                <w:p>
                  <w:pPr>
                    <w:spacing w:line="276" w:lineRule="auto"/>
                    <w:rPr>
                      <w:b/>
                    </w:rPr>
                  </w:pPr>
                  <w:r>
                    <w:rPr>
                      <w:b/>
                      <w:bCs/>
                    </w:rPr>
                    <w:t>RU</w:t>
                  </w:r>
                </w:p>
              </w:tc>
              <w:tc>
                <w:tcPr>
                  <w:tcW w:w="0" w:type="auto"/>
                  <w:vAlign w:val="center"/>
                </w:tcPr>
                <w:p>
                  <w:pPr>
                    <w:spacing w:line="276" w:lineRule="auto"/>
                  </w:pPr>
                  <w:r>
                    <w:rPr>
                      <w:color w:val="000000"/>
                      <w:szCs w:val="22"/>
                    </w:rPr>
                    <w:t>0</w:t>
                  </w:r>
                  <w:r>
                    <w:rPr>
                      <w:rFonts w:hint="eastAsia"/>
                      <w:color w:val="000000"/>
                      <w:szCs w:val="22"/>
                    </w:rPr>
                    <w:t>.0%</w:t>
                  </w:r>
                </w:p>
              </w:tc>
              <w:tc>
                <w:tcPr>
                  <w:tcW w:w="0" w:type="auto"/>
                  <w:vAlign w:val="center"/>
                </w:tcPr>
                <w:p>
                  <w:pPr>
                    <w:spacing w:line="276" w:lineRule="auto"/>
                  </w:pPr>
                  <w:r>
                    <w:rPr>
                      <w:color w:val="000000"/>
                      <w:szCs w:val="22"/>
                    </w:rPr>
                    <w:t>6.2</w:t>
                  </w:r>
                  <w:r>
                    <w:rPr>
                      <w:rFonts w:hint="eastAsia"/>
                      <w:color w:val="000000"/>
                      <w:szCs w:val="22"/>
                    </w:rPr>
                    <w:t>%</w:t>
                  </w:r>
                </w:p>
              </w:tc>
              <w:tc>
                <w:tcPr>
                  <w:tcW w:w="0" w:type="auto"/>
                  <w:vAlign w:val="center"/>
                </w:tcPr>
                <w:p>
                  <w:pPr>
                    <w:spacing w:line="276" w:lineRule="auto"/>
                  </w:pPr>
                  <w:r>
                    <w:rPr>
                      <w:color w:val="000000"/>
                      <w:szCs w:val="22"/>
                    </w:rPr>
                    <w:t>20.3</w:t>
                  </w:r>
                  <w:r>
                    <w:rPr>
                      <w:rFonts w:hint="eastAsia"/>
                      <w:color w:val="000000"/>
                      <w:szCs w:val="22"/>
                    </w:rPr>
                    <w:t>%</w:t>
                  </w:r>
                </w:p>
              </w:tc>
              <w:tc>
                <w:tcPr>
                  <w:tcW w:w="0" w:type="auto"/>
                  <w:vAlign w:val="bottom"/>
                </w:tcPr>
                <w:p>
                  <w:pPr>
                    <w:spacing w:line="276" w:lineRule="auto"/>
                  </w:pPr>
                  <w:r>
                    <w:rPr>
                      <w:color w:val="000000"/>
                      <w:szCs w:val="22"/>
                    </w:rPr>
                    <w:t>36.3</w:t>
                  </w:r>
                  <w:r>
                    <w:rPr>
                      <w:rFonts w:hint="eastAsia"/>
                      <w:color w:val="000000"/>
                      <w:szCs w:val="22"/>
                    </w:rPr>
                    <w:t>%</w:t>
                  </w:r>
                </w:p>
              </w:tc>
            </w:tr>
          </w:tbl>
          <w:p>
            <w:pPr>
              <w:pStyle w:val="11"/>
              <w:widowControl w:val="0"/>
            </w:pPr>
            <w:bookmarkStart w:id="88" w:name="_Ref102060116"/>
            <w:r>
              <w:t xml:space="preserve">Table </w:t>
            </w:r>
            <w:r>
              <w:fldChar w:fldCharType="begin"/>
            </w:r>
            <w:r>
              <w:instrText xml:space="preserve"> SEQ Table \* ARABIC </w:instrText>
            </w:r>
            <w:r>
              <w:fldChar w:fldCharType="separate"/>
            </w:r>
            <w:r>
              <w:t>3</w:t>
            </w:r>
            <w:r>
              <w:fldChar w:fldCharType="end"/>
            </w:r>
            <w:bookmarkEnd w:id="88"/>
            <w:r>
              <w:t>. The UPT and transmit latency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08"/>
              <w:gridCol w:w="656"/>
              <w:gridCol w:w="531"/>
              <w:gridCol w:w="621"/>
              <w:gridCol w:w="62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276" w:lineRule="auto"/>
                    <w:jc w:val="center"/>
                    <w:rPr>
                      <w:rFonts w:eastAsiaTheme="minorEastAsia"/>
                      <w:iCs/>
                      <w:sz w:val="18"/>
                    </w:rPr>
                  </w:pPr>
                </w:p>
              </w:tc>
              <w:tc>
                <w:tcPr>
                  <w:tcW w:w="908" w:type="dxa"/>
                  <w:vMerge w:val="restart"/>
                  <w:vAlign w:val="center"/>
                </w:tcPr>
                <w:p>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pPr>
                    <w:spacing w:line="276" w:lineRule="auto"/>
                    <w:jc w:val="center"/>
                    <w:rPr>
                      <w:b/>
                      <w:iCs/>
                      <w:sz w:val="18"/>
                    </w:rPr>
                  </w:pPr>
                  <w:r>
                    <w:rPr>
                      <w:b/>
                      <w:iCs/>
                      <w:sz w:val="18"/>
                    </w:rPr>
                    <w:t>Transmit latency (ms)</w:t>
                  </w:r>
                </w:p>
              </w:tc>
              <w:tc>
                <w:tcPr>
                  <w:tcW w:w="0" w:type="auto"/>
                  <w:gridSpan w:val="4"/>
                  <w:vAlign w:val="center"/>
                </w:tcPr>
                <w:p>
                  <w:pPr>
                    <w:spacing w:line="276" w:lineRule="auto"/>
                    <w:jc w:val="center"/>
                    <w:rPr>
                      <w:b/>
                      <w:sz w:val="18"/>
                    </w:rPr>
                  </w:pPr>
                  <w:r>
                    <w:rPr>
                      <w:b/>
                      <w:sz w:val="18"/>
                    </w:rPr>
                    <w:t>UPT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276" w:lineRule="auto"/>
                    <w:jc w:val="center"/>
                    <w:rPr>
                      <w:iCs/>
                      <w:sz w:val="18"/>
                    </w:rPr>
                  </w:pPr>
                </w:p>
              </w:tc>
              <w:tc>
                <w:tcPr>
                  <w:tcW w:w="908" w:type="dxa"/>
                  <w:vMerge w:val="continue"/>
                  <w:vAlign w:val="center"/>
                </w:tcPr>
                <w:p>
                  <w:pPr>
                    <w:spacing w:line="276" w:lineRule="auto"/>
                    <w:jc w:val="center"/>
                    <w:rPr>
                      <w:b/>
                      <w:iCs/>
                      <w:sz w:val="18"/>
                    </w:rPr>
                  </w:pP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rFonts w:eastAsiaTheme="minorEastAsia"/>
                      <w:iCs/>
                      <w:sz w:val="18"/>
                    </w:rPr>
                  </w:pPr>
                  <w:r>
                    <w:rPr>
                      <w:rFonts w:hint="eastAsia" w:eastAsiaTheme="minorEastAsia"/>
                      <w:iCs/>
                      <w:sz w:val="18"/>
                    </w:rPr>
                    <w:t>L</w:t>
                  </w:r>
                  <w:r>
                    <w:rPr>
                      <w:rFonts w:eastAsiaTheme="minorEastAsia"/>
                      <w:iCs/>
                      <w:sz w:val="18"/>
                    </w:rPr>
                    <w:t>ow load</w:t>
                  </w:r>
                </w:p>
              </w:tc>
              <w:tc>
                <w:tcPr>
                  <w:tcW w:w="0" w:type="auto"/>
                  <w:vAlign w:val="center"/>
                </w:tcPr>
                <w:p>
                  <w:pPr>
                    <w:spacing w:line="276" w:lineRule="auto"/>
                    <w:jc w:val="center"/>
                    <w:rPr>
                      <w:iCs/>
                      <w:sz w:val="18"/>
                      <w:szCs w:val="18"/>
                    </w:rPr>
                  </w:pPr>
                  <w:r>
                    <w:rPr>
                      <w:rFonts w:hint="eastAsia"/>
                      <w:color w:val="000000"/>
                      <w:sz w:val="18"/>
                      <w:szCs w:val="22"/>
                    </w:rPr>
                    <w:t>8.18</w:t>
                  </w:r>
                </w:p>
              </w:tc>
              <w:tc>
                <w:tcPr>
                  <w:tcW w:w="0" w:type="auto"/>
                  <w:vAlign w:val="center"/>
                </w:tcPr>
                <w:p>
                  <w:pPr>
                    <w:spacing w:line="276" w:lineRule="auto"/>
                    <w:jc w:val="center"/>
                    <w:rPr>
                      <w:iCs/>
                      <w:sz w:val="18"/>
                      <w:szCs w:val="18"/>
                    </w:rPr>
                  </w:pPr>
                  <w:r>
                    <w:rPr>
                      <w:rFonts w:hint="eastAsia"/>
                      <w:color w:val="000000"/>
                      <w:sz w:val="18"/>
                      <w:szCs w:val="22"/>
                    </w:rPr>
                    <w:t>5.08</w:t>
                  </w:r>
                </w:p>
              </w:tc>
              <w:tc>
                <w:tcPr>
                  <w:tcW w:w="0" w:type="auto"/>
                  <w:vAlign w:val="center"/>
                </w:tcPr>
                <w:p>
                  <w:pPr>
                    <w:spacing w:line="276" w:lineRule="auto"/>
                    <w:jc w:val="center"/>
                    <w:rPr>
                      <w:iCs/>
                      <w:sz w:val="18"/>
                      <w:szCs w:val="18"/>
                    </w:rPr>
                  </w:pPr>
                  <w:r>
                    <w:rPr>
                      <w:rFonts w:hint="eastAsia"/>
                      <w:color w:val="000000"/>
                      <w:sz w:val="18"/>
                      <w:szCs w:val="22"/>
                    </w:rPr>
                    <w:t>6.19</w:t>
                  </w:r>
                </w:p>
              </w:tc>
              <w:tc>
                <w:tcPr>
                  <w:tcW w:w="0" w:type="auto"/>
                  <w:vAlign w:val="center"/>
                </w:tcPr>
                <w:p>
                  <w:pPr>
                    <w:spacing w:line="276" w:lineRule="auto"/>
                    <w:jc w:val="center"/>
                    <w:rPr>
                      <w:iCs/>
                      <w:sz w:val="18"/>
                      <w:szCs w:val="18"/>
                    </w:rPr>
                  </w:pPr>
                  <w:r>
                    <w:rPr>
                      <w:rFonts w:hint="eastAsia"/>
                      <w:color w:val="000000"/>
                      <w:sz w:val="18"/>
                      <w:szCs w:val="22"/>
                    </w:rPr>
                    <w:t>15.82</w:t>
                  </w:r>
                </w:p>
              </w:tc>
              <w:tc>
                <w:tcPr>
                  <w:tcW w:w="0" w:type="auto"/>
                  <w:vAlign w:val="center"/>
                </w:tcPr>
                <w:p>
                  <w:pPr>
                    <w:spacing w:line="276" w:lineRule="auto"/>
                    <w:jc w:val="center"/>
                    <w:rPr>
                      <w:iCs/>
                      <w:sz w:val="18"/>
                      <w:szCs w:val="18"/>
                    </w:rPr>
                  </w:pPr>
                  <w:r>
                    <w:rPr>
                      <w:rFonts w:hint="eastAsia"/>
                      <w:color w:val="000000"/>
                      <w:sz w:val="18"/>
                      <w:szCs w:val="22"/>
                    </w:rPr>
                    <w:t>616.02</w:t>
                  </w:r>
                </w:p>
              </w:tc>
              <w:tc>
                <w:tcPr>
                  <w:tcW w:w="0" w:type="auto"/>
                  <w:vAlign w:val="center"/>
                </w:tcPr>
                <w:p>
                  <w:pPr>
                    <w:spacing w:line="276" w:lineRule="auto"/>
                    <w:jc w:val="center"/>
                    <w:rPr>
                      <w:iCs/>
                      <w:sz w:val="18"/>
                      <w:szCs w:val="18"/>
                    </w:rPr>
                  </w:pPr>
                  <w:r>
                    <w:rPr>
                      <w:rFonts w:hint="eastAsia"/>
                      <w:color w:val="000000"/>
                      <w:sz w:val="18"/>
                      <w:szCs w:val="22"/>
                    </w:rPr>
                    <w:t>250.57</w:t>
                  </w:r>
                </w:p>
              </w:tc>
              <w:tc>
                <w:tcPr>
                  <w:tcW w:w="0" w:type="auto"/>
                  <w:vAlign w:val="center"/>
                </w:tcPr>
                <w:p>
                  <w:pPr>
                    <w:spacing w:line="276" w:lineRule="auto"/>
                    <w:jc w:val="center"/>
                    <w:rPr>
                      <w:iCs/>
                      <w:sz w:val="18"/>
                      <w:szCs w:val="18"/>
                    </w:rPr>
                  </w:pPr>
                  <w:r>
                    <w:rPr>
                      <w:rFonts w:hint="eastAsia"/>
                      <w:color w:val="000000"/>
                      <w:sz w:val="18"/>
                      <w:szCs w:val="22"/>
                    </w:rPr>
                    <w:t>689.30</w:t>
                  </w:r>
                </w:p>
              </w:tc>
              <w:tc>
                <w:tcPr>
                  <w:tcW w:w="0" w:type="auto"/>
                  <w:vAlign w:val="center"/>
                </w:tcPr>
                <w:p>
                  <w:pPr>
                    <w:spacing w:line="276" w:lineRule="auto"/>
                    <w:jc w:val="center"/>
                    <w:rPr>
                      <w:iCs/>
                      <w:sz w:val="18"/>
                      <w:szCs w:val="18"/>
                    </w:rPr>
                  </w:pPr>
                  <w:r>
                    <w:rPr>
                      <w:rFonts w:hint="eastAsia"/>
                      <w:color w:val="000000"/>
                      <w:sz w:val="18"/>
                      <w:szCs w:val="22"/>
                    </w:rPr>
                    <w:t>789.96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iCs/>
                      <w:color w:val="00B0F0"/>
                      <w:sz w:val="18"/>
                      <w:szCs w:val="18"/>
                    </w:rPr>
                  </w:pPr>
                  <w:r>
                    <w:rPr>
                      <w:rFonts w:hint="eastAsia"/>
                      <w:color w:val="000000"/>
                      <w:sz w:val="18"/>
                      <w:szCs w:val="22"/>
                    </w:rPr>
                    <w:t>9.23</w:t>
                  </w:r>
                </w:p>
              </w:tc>
              <w:tc>
                <w:tcPr>
                  <w:tcW w:w="0" w:type="auto"/>
                  <w:vAlign w:val="center"/>
                </w:tcPr>
                <w:p>
                  <w:pPr>
                    <w:spacing w:line="276" w:lineRule="auto"/>
                    <w:jc w:val="center"/>
                    <w:rPr>
                      <w:iCs/>
                      <w:color w:val="00B0F0"/>
                      <w:sz w:val="18"/>
                      <w:szCs w:val="18"/>
                    </w:rPr>
                  </w:pPr>
                  <w:r>
                    <w:rPr>
                      <w:rFonts w:hint="eastAsia"/>
                      <w:color w:val="000000"/>
                      <w:sz w:val="18"/>
                      <w:szCs w:val="22"/>
                    </w:rPr>
                    <w:t>5.83</w:t>
                  </w:r>
                </w:p>
              </w:tc>
              <w:tc>
                <w:tcPr>
                  <w:tcW w:w="0" w:type="auto"/>
                  <w:vAlign w:val="center"/>
                </w:tcPr>
                <w:p>
                  <w:pPr>
                    <w:spacing w:line="276" w:lineRule="auto"/>
                    <w:jc w:val="center"/>
                    <w:rPr>
                      <w:iCs/>
                      <w:color w:val="00B0F0"/>
                      <w:sz w:val="18"/>
                      <w:szCs w:val="18"/>
                    </w:rPr>
                  </w:pPr>
                  <w:r>
                    <w:rPr>
                      <w:rFonts w:hint="eastAsia"/>
                      <w:color w:val="000000"/>
                      <w:sz w:val="18"/>
                      <w:szCs w:val="22"/>
                    </w:rPr>
                    <w:t>7.43</w:t>
                  </w:r>
                </w:p>
              </w:tc>
              <w:tc>
                <w:tcPr>
                  <w:tcW w:w="0" w:type="auto"/>
                  <w:vAlign w:val="center"/>
                </w:tcPr>
                <w:p>
                  <w:pPr>
                    <w:spacing w:line="276" w:lineRule="auto"/>
                    <w:jc w:val="center"/>
                    <w:rPr>
                      <w:iCs/>
                      <w:color w:val="00B0F0"/>
                      <w:sz w:val="18"/>
                      <w:szCs w:val="18"/>
                    </w:rPr>
                  </w:pPr>
                  <w:r>
                    <w:rPr>
                      <w:rFonts w:hint="eastAsia"/>
                      <w:color w:val="000000"/>
                      <w:sz w:val="18"/>
                      <w:szCs w:val="22"/>
                    </w:rPr>
                    <w:t>16.30</w:t>
                  </w:r>
                </w:p>
              </w:tc>
              <w:tc>
                <w:tcPr>
                  <w:tcW w:w="0" w:type="auto"/>
                  <w:vAlign w:val="center"/>
                </w:tcPr>
                <w:p>
                  <w:pPr>
                    <w:spacing w:line="276" w:lineRule="auto"/>
                    <w:jc w:val="center"/>
                    <w:rPr>
                      <w:iCs/>
                      <w:color w:val="00B0F0"/>
                      <w:sz w:val="18"/>
                      <w:szCs w:val="18"/>
                    </w:rPr>
                  </w:pPr>
                  <w:r>
                    <w:rPr>
                      <w:rFonts w:hint="eastAsia"/>
                      <w:color w:val="000000"/>
                      <w:sz w:val="18"/>
                      <w:szCs w:val="22"/>
                    </w:rPr>
                    <w:t>541.83</w:t>
                  </w:r>
                </w:p>
              </w:tc>
              <w:tc>
                <w:tcPr>
                  <w:tcW w:w="0" w:type="auto"/>
                  <w:vAlign w:val="center"/>
                </w:tcPr>
                <w:p>
                  <w:pPr>
                    <w:spacing w:line="276" w:lineRule="auto"/>
                    <w:jc w:val="center"/>
                    <w:rPr>
                      <w:iCs/>
                      <w:color w:val="00B0F0"/>
                      <w:sz w:val="18"/>
                      <w:szCs w:val="18"/>
                    </w:rPr>
                  </w:pPr>
                  <w:r>
                    <w:rPr>
                      <w:rFonts w:hint="eastAsia"/>
                      <w:color w:val="000000"/>
                      <w:sz w:val="18"/>
                      <w:szCs w:val="22"/>
                    </w:rPr>
                    <w:t>251.79</w:t>
                  </w:r>
                </w:p>
              </w:tc>
              <w:tc>
                <w:tcPr>
                  <w:tcW w:w="0" w:type="auto"/>
                  <w:vAlign w:val="center"/>
                </w:tcPr>
                <w:p>
                  <w:pPr>
                    <w:spacing w:line="276" w:lineRule="auto"/>
                    <w:jc w:val="center"/>
                    <w:rPr>
                      <w:iCs/>
                      <w:color w:val="00B0F0"/>
                      <w:sz w:val="18"/>
                      <w:szCs w:val="18"/>
                    </w:rPr>
                  </w:pPr>
                  <w:r>
                    <w:rPr>
                      <w:rFonts w:hint="eastAsia"/>
                      <w:color w:val="000000"/>
                      <w:sz w:val="18"/>
                      <w:szCs w:val="22"/>
                    </w:rPr>
                    <w:t>588.92</w:t>
                  </w:r>
                </w:p>
              </w:tc>
              <w:tc>
                <w:tcPr>
                  <w:tcW w:w="0" w:type="auto"/>
                  <w:vAlign w:val="center"/>
                </w:tcPr>
                <w:p>
                  <w:pPr>
                    <w:spacing w:line="276" w:lineRule="auto"/>
                    <w:jc w:val="center"/>
                    <w:rPr>
                      <w:iCs/>
                      <w:color w:val="00B0F0"/>
                      <w:sz w:val="18"/>
                      <w:szCs w:val="18"/>
                    </w:rPr>
                  </w:pPr>
                  <w:r>
                    <w:rPr>
                      <w:rFonts w:hint="eastAsia"/>
                      <w:color w:val="000000"/>
                      <w:sz w:val="18"/>
                      <w:szCs w:val="22"/>
                    </w:rPr>
                    <w:t>719.47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Baseline</w:t>
                  </w:r>
                </w:p>
              </w:tc>
              <w:tc>
                <w:tcPr>
                  <w:tcW w:w="908" w:type="dxa"/>
                  <w:vMerge w:val="restart"/>
                  <w:vAlign w:val="center"/>
                </w:tcPr>
                <w:p>
                  <w:pPr>
                    <w:spacing w:line="276" w:lineRule="auto"/>
                    <w:jc w:val="center"/>
                    <w:rPr>
                      <w:iCs/>
                      <w:sz w:val="18"/>
                    </w:rPr>
                  </w:pPr>
                  <w:r>
                    <w:rPr>
                      <w:iCs/>
                      <w:sz w:val="18"/>
                    </w:rPr>
                    <w:t>Light load</w:t>
                  </w:r>
                </w:p>
              </w:tc>
              <w:tc>
                <w:tcPr>
                  <w:tcW w:w="0" w:type="auto"/>
                  <w:vAlign w:val="center"/>
                </w:tcPr>
                <w:p>
                  <w:pPr>
                    <w:spacing w:line="276" w:lineRule="auto"/>
                    <w:jc w:val="center"/>
                    <w:rPr>
                      <w:color w:val="00B0F0"/>
                      <w:sz w:val="18"/>
                      <w:szCs w:val="18"/>
                    </w:rPr>
                  </w:pPr>
                  <w:r>
                    <w:rPr>
                      <w:rFonts w:hint="eastAsia"/>
                      <w:color w:val="000000"/>
                      <w:sz w:val="18"/>
                      <w:szCs w:val="22"/>
                    </w:rPr>
                    <w:t>12.05</w:t>
                  </w:r>
                </w:p>
              </w:tc>
              <w:tc>
                <w:tcPr>
                  <w:tcW w:w="0" w:type="auto"/>
                  <w:vAlign w:val="center"/>
                </w:tcPr>
                <w:p>
                  <w:pPr>
                    <w:spacing w:line="276" w:lineRule="auto"/>
                    <w:jc w:val="center"/>
                    <w:rPr>
                      <w:color w:val="00B0F0"/>
                      <w:sz w:val="18"/>
                      <w:szCs w:val="18"/>
                    </w:rPr>
                  </w:pPr>
                  <w:r>
                    <w:rPr>
                      <w:rFonts w:hint="eastAsia"/>
                      <w:color w:val="000000"/>
                      <w:sz w:val="18"/>
                      <w:szCs w:val="22"/>
                    </w:rPr>
                    <w:t>5.52</w:t>
                  </w:r>
                </w:p>
              </w:tc>
              <w:tc>
                <w:tcPr>
                  <w:tcW w:w="0" w:type="auto"/>
                  <w:vAlign w:val="center"/>
                </w:tcPr>
                <w:p>
                  <w:pPr>
                    <w:spacing w:line="276" w:lineRule="auto"/>
                    <w:jc w:val="center"/>
                    <w:rPr>
                      <w:color w:val="00B0F0"/>
                      <w:sz w:val="18"/>
                      <w:szCs w:val="18"/>
                    </w:rPr>
                  </w:pPr>
                  <w:r>
                    <w:rPr>
                      <w:rFonts w:hint="eastAsia"/>
                      <w:color w:val="000000"/>
                      <w:sz w:val="18"/>
                      <w:szCs w:val="22"/>
                    </w:rPr>
                    <w:t>8.50</w:t>
                  </w:r>
                </w:p>
              </w:tc>
              <w:tc>
                <w:tcPr>
                  <w:tcW w:w="0" w:type="auto"/>
                  <w:vAlign w:val="center"/>
                </w:tcPr>
                <w:p>
                  <w:pPr>
                    <w:spacing w:line="276" w:lineRule="auto"/>
                    <w:jc w:val="center"/>
                    <w:rPr>
                      <w:color w:val="00B0F0"/>
                      <w:sz w:val="18"/>
                      <w:szCs w:val="18"/>
                    </w:rPr>
                  </w:pPr>
                  <w:r>
                    <w:rPr>
                      <w:rFonts w:hint="eastAsia"/>
                      <w:color w:val="000000"/>
                      <w:sz w:val="18"/>
                      <w:szCs w:val="22"/>
                    </w:rPr>
                    <w:t>26.58</w:t>
                  </w:r>
                </w:p>
              </w:tc>
              <w:tc>
                <w:tcPr>
                  <w:tcW w:w="0" w:type="auto"/>
                  <w:vAlign w:val="center"/>
                </w:tcPr>
                <w:p>
                  <w:pPr>
                    <w:spacing w:line="276" w:lineRule="auto"/>
                    <w:jc w:val="center"/>
                    <w:rPr>
                      <w:color w:val="00B0F0"/>
                      <w:sz w:val="18"/>
                      <w:szCs w:val="18"/>
                    </w:rPr>
                  </w:pPr>
                  <w:r>
                    <w:rPr>
                      <w:rFonts w:hint="eastAsia"/>
                      <w:color w:val="000000"/>
                      <w:sz w:val="18"/>
                      <w:szCs w:val="22"/>
                    </w:rPr>
                    <w:t>524.03</w:t>
                  </w:r>
                </w:p>
              </w:tc>
              <w:tc>
                <w:tcPr>
                  <w:tcW w:w="0" w:type="auto"/>
                  <w:vAlign w:val="center"/>
                </w:tcPr>
                <w:p>
                  <w:pPr>
                    <w:spacing w:line="276" w:lineRule="auto"/>
                    <w:jc w:val="center"/>
                    <w:rPr>
                      <w:color w:val="00B0F0"/>
                      <w:sz w:val="18"/>
                      <w:szCs w:val="18"/>
                    </w:rPr>
                  </w:pPr>
                  <w:r>
                    <w:rPr>
                      <w:rFonts w:hint="eastAsia"/>
                      <w:color w:val="000000"/>
                      <w:sz w:val="18"/>
                      <w:szCs w:val="22"/>
                    </w:rPr>
                    <w:t>216.85</w:t>
                  </w:r>
                </w:p>
              </w:tc>
              <w:tc>
                <w:tcPr>
                  <w:tcW w:w="0" w:type="auto"/>
                  <w:vAlign w:val="center"/>
                </w:tcPr>
                <w:p>
                  <w:pPr>
                    <w:spacing w:line="276" w:lineRule="auto"/>
                    <w:jc w:val="center"/>
                    <w:rPr>
                      <w:color w:val="00B0F0"/>
                      <w:sz w:val="18"/>
                      <w:szCs w:val="18"/>
                    </w:rPr>
                  </w:pPr>
                  <w:r>
                    <w:rPr>
                      <w:rFonts w:hint="eastAsia"/>
                      <w:color w:val="000000"/>
                      <w:sz w:val="18"/>
                      <w:szCs w:val="22"/>
                    </w:rPr>
                    <w:t>535.17</w:t>
                  </w:r>
                </w:p>
              </w:tc>
              <w:tc>
                <w:tcPr>
                  <w:tcW w:w="0" w:type="auto"/>
                  <w:vAlign w:val="center"/>
                </w:tcPr>
                <w:p>
                  <w:pPr>
                    <w:spacing w:line="276" w:lineRule="auto"/>
                    <w:jc w:val="center"/>
                    <w:rPr>
                      <w:color w:val="00B0F0"/>
                      <w:sz w:val="18"/>
                      <w:szCs w:val="18"/>
                    </w:rPr>
                  </w:pPr>
                  <w:r>
                    <w:rPr>
                      <w:rFonts w:hint="eastAsia"/>
                      <w:color w:val="000000"/>
                      <w:sz w:val="18"/>
                      <w:szCs w:val="22"/>
                    </w:rPr>
                    <w:t>750.73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color w:val="00B0F0"/>
                      <w:sz w:val="18"/>
                      <w:szCs w:val="18"/>
                    </w:rPr>
                  </w:pPr>
                  <w:r>
                    <w:rPr>
                      <w:rFonts w:hint="eastAsia"/>
                      <w:color w:val="000000"/>
                      <w:sz w:val="18"/>
                      <w:szCs w:val="22"/>
                    </w:rPr>
                    <w:t>13.69</w:t>
                  </w:r>
                </w:p>
              </w:tc>
              <w:tc>
                <w:tcPr>
                  <w:tcW w:w="0" w:type="auto"/>
                  <w:vAlign w:val="center"/>
                </w:tcPr>
                <w:p>
                  <w:pPr>
                    <w:spacing w:line="276" w:lineRule="auto"/>
                    <w:jc w:val="center"/>
                    <w:rPr>
                      <w:color w:val="00B0F0"/>
                      <w:sz w:val="18"/>
                      <w:szCs w:val="18"/>
                    </w:rPr>
                  </w:pPr>
                  <w:r>
                    <w:rPr>
                      <w:rFonts w:hint="eastAsia"/>
                      <w:color w:val="000000"/>
                      <w:sz w:val="18"/>
                      <w:szCs w:val="22"/>
                    </w:rPr>
                    <w:t>6.43</w:t>
                  </w:r>
                </w:p>
              </w:tc>
              <w:tc>
                <w:tcPr>
                  <w:tcW w:w="0" w:type="auto"/>
                  <w:vAlign w:val="center"/>
                </w:tcPr>
                <w:p>
                  <w:pPr>
                    <w:spacing w:line="276" w:lineRule="auto"/>
                    <w:jc w:val="center"/>
                    <w:rPr>
                      <w:color w:val="00B0F0"/>
                      <w:sz w:val="18"/>
                      <w:szCs w:val="18"/>
                    </w:rPr>
                  </w:pPr>
                  <w:r>
                    <w:rPr>
                      <w:rFonts w:hint="eastAsia"/>
                      <w:color w:val="000000"/>
                      <w:sz w:val="18"/>
                      <w:szCs w:val="22"/>
                    </w:rPr>
                    <w:t>9.49</w:t>
                  </w:r>
                </w:p>
              </w:tc>
              <w:tc>
                <w:tcPr>
                  <w:tcW w:w="0" w:type="auto"/>
                  <w:vAlign w:val="center"/>
                </w:tcPr>
                <w:p>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pPr>
                    <w:spacing w:line="276" w:lineRule="auto"/>
                    <w:jc w:val="center"/>
                    <w:rPr>
                      <w:color w:val="00B0F0"/>
                      <w:sz w:val="18"/>
                      <w:szCs w:val="18"/>
                    </w:rPr>
                  </w:pPr>
                  <w:r>
                    <w:rPr>
                      <w:rFonts w:hint="eastAsia"/>
                      <w:color w:val="000000"/>
                      <w:sz w:val="18"/>
                      <w:szCs w:val="22"/>
                    </w:rPr>
                    <w:t>469.77</w:t>
                  </w:r>
                </w:p>
              </w:tc>
              <w:tc>
                <w:tcPr>
                  <w:tcW w:w="0" w:type="auto"/>
                  <w:vAlign w:val="center"/>
                </w:tcPr>
                <w:p>
                  <w:pPr>
                    <w:spacing w:line="276" w:lineRule="auto"/>
                    <w:jc w:val="center"/>
                    <w:rPr>
                      <w:color w:val="00B0F0"/>
                      <w:sz w:val="18"/>
                      <w:szCs w:val="18"/>
                    </w:rPr>
                  </w:pPr>
                  <w:r>
                    <w:rPr>
                      <w:rFonts w:hint="eastAsia"/>
                      <w:color w:val="000000"/>
                      <w:sz w:val="18"/>
                      <w:szCs w:val="22"/>
                    </w:rPr>
                    <w:t>202.96</w:t>
                  </w:r>
                </w:p>
              </w:tc>
              <w:tc>
                <w:tcPr>
                  <w:tcW w:w="0" w:type="auto"/>
                  <w:vAlign w:val="center"/>
                </w:tcPr>
                <w:p>
                  <w:pPr>
                    <w:spacing w:line="276" w:lineRule="auto"/>
                    <w:jc w:val="center"/>
                    <w:rPr>
                      <w:color w:val="00B0F0"/>
                      <w:sz w:val="18"/>
                      <w:szCs w:val="18"/>
                    </w:rPr>
                  </w:pPr>
                  <w:r>
                    <w:rPr>
                      <w:rFonts w:hint="eastAsia"/>
                      <w:color w:val="000000"/>
                      <w:sz w:val="18"/>
                      <w:szCs w:val="22"/>
                    </w:rPr>
                    <w:t>482.78</w:t>
                  </w:r>
                </w:p>
              </w:tc>
              <w:tc>
                <w:tcPr>
                  <w:tcW w:w="0" w:type="auto"/>
                  <w:vAlign w:val="center"/>
                </w:tcPr>
                <w:p>
                  <w:pPr>
                    <w:spacing w:line="276" w:lineRule="auto"/>
                    <w:jc w:val="center"/>
                    <w:rPr>
                      <w:color w:val="00B0F0"/>
                      <w:sz w:val="18"/>
                      <w:szCs w:val="18"/>
                    </w:rPr>
                  </w:pPr>
                  <w:r>
                    <w:rPr>
                      <w:rFonts w:hint="eastAsia"/>
                      <w:color w:val="000000"/>
                      <w:sz w:val="18"/>
                      <w:szCs w:val="22"/>
                    </w:rPr>
                    <w:t>668.89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iCs/>
                      <w:sz w:val="18"/>
                    </w:rPr>
                  </w:pPr>
                  <w:r>
                    <w:rPr>
                      <w:rFonts w:eastAsiaTheme="minorEastAsia"/>
                      <w:iCs/>
                      <w:sz w:val="18"/>
                    </w:rPr>
                    <w:t>Medium load</w:t>
                  </w:r>
                </w:p>
              </w:tc>
              <w:tc>
                <w:tcPr>
                  <w:tcW w:w="0" w:type="auto"/>
                  <w:vAlign w:val="center"/>
                </w:tcPr>
                <w:p>
                  <w:pPr>
                    <w:spacing w:line="276" w:lineRule="auto"/>
                    <w:jc w:val="center"/>
                    <w:rPr>
                      <w:color w:val="000000"/>
                      <w:sz w:val="18"/>
                      <w:szCs w:val="18"/>
                    </w:rPr>
                  </w:pPr>
                  <w:r>
                    <w:rPr>
                      <w:rFonts w:hint="eastAsia"/>
                      <w:color w:val="000000"/>
                      <w:sz w:val="18"/>
                      <w:szCs w:val="22"/>
                    </w:rPr>
                    <w:t>21.56</w:t>
                  </w:r>
                </w:p>
              </w:tc>
              <w:tc>
                <w:tcPr>
                  <w:tcW w:w="0" w:type="auto"/>
                  <w:vAlign w:val="center"/>
                </w:tcPr>
                <w:p>
                  <w:pPr>
                    <w:spacing w:line="276" w:lineRule="auto"/>
                    <w:jc w:val="center"/>
                    <w:rPr>
                      <w:color w:val="000000"/>
                      <w:sz w:val="18"/>
                      <w:szCs w:val="18"/>
                    </w:rPr>
                  </w:pPr>
                  <w:r>
                    <w:rPr>
                      <w:rFonts w:hint="eastAsia"/>
                      <w:color w:val="000000"/>
                      <w:sz w:val="18"/>
                      <w:szCs w:val="22"/>
                    </w:rPr>
                    <w:t>6.22</w:t>
                  </w:r>
                </w:p>
              </w:tc>
              <w:tc>
                <w:tcPr>
                  <w:tcW w:w="0" w:type="auto"/>
                  <w:vAlign w:val="center"/>
                </w:tcPr>
                <w:p>
                  <w:pPr>
                    <w:spacing w:line="276" w:lineRule="auto"/>
                    <w:jc w:val="center"/>
                    <w:rPr>
                      <w:color w:val="000000"/>
                      <w:sz w:val="18"/>
                      <w:szCs w:val="18"/>
                    </w:rPr>
                  </w:pPr>
                  <w:r>
                    <w:rPr>
                      <w:rFonts w:hint="eastAsia"/>
                      <w:color w:val="000000"/>
                      <w:sz w:val="18"/>
                      <w:szCs w:val="22"/>
                    </w:rPr>
                    <w:t>12.72</w:t>
                  </w:r>
                </w:p>
              </w:tc>
              <w:tc>
                <w:tcPr>
                  <w:tcW w:w="0" w:type="auto"/>
                  <w:vAlign w:val="center"/>
                </w:tcPr>
                <w:p>
                  <w:pPr>
                    <w:spacing w:line="276" w:lineRule="auto"/>
                    <w:jc w:val="center"/>
                    <w:rPr>
                      <w:color w:val="000000"/>
                      <w:sz w:val="18"/>
                      <w:szCs w:val="18"/>
                    </w:rPr>
                  </w:pPr>
                  <w:r>
                    <w:rPr>
                      <w:rFonts w:hint="eastAsia"/>
                      <w:color w:val="000000"/>
                      <w:sz w:val="18"/>
                      <w:szCs w:val="22"/>
                    </w:rPr>
                    <w:t>53.88</w:t>
                  </w:r>
                </w:p>
              </w:tc>
              <w:tc>
                <w:tcPr>
                  <w:tcW w:w="0" w:type="auto"/>
                  <w:vAlign w:val="center"/>
                </w:tcPr>
                <w:p>
                  <w:pPr>
                    <w:spacing w:line="276" w:lineRule="auto"/>
                    <w:jc w:val="center"/>
                    <w:rPr>
                      <w:color w:val="000000"/>
                      <w:sz w:val="18"/>
                      <w:szCs w:val="18"/>
                    </w:rPr>
                  </w:pPr>
                  <w:r>
                    <w:rPr>
                      <w:rFonts w:hint="eastAsia"/>
                      <w:color w:val="000000"/>
                      <w:sz w:val="18"/>
                      <w:szCs w:val="22"/>
                    </w:rPr>
                    <w:t>436.73</w:t>
                  </w:r>
                </w:p>
              </w:tc>
              <w:tc>
                <w:tcPr>
                  <w:tcW w:w="0" w:type="auto"/>
                  <w:vAlign w:val="center"/>
                </w:tcPr>
                <w:p>
                  <w:pPr>
                    <w:spacing w:line="276" w:lineRule="auto"/>
                    <w:jc w:val="center"/>
                    <w:rPr>
                      <w:color w:val="000000"/>
                      <w:sz w:val="18"/>
                      <w:szCs w:val="18"/>
                    </w:rPr>
                  </w:pPr>
                  <w:r>
                    <w:rPr>
                      <w:rFonts w:hint="eastAsia"/>
                      <w:color w:val="000000"/>
                      <w:sz w:val="18"/>
                      <w:szCs w:val="22"/>
                    </w:rPr>
                    <w:t>165.77</w:t>
                  </w:r>
                </w:p>
              </w:tc>
              <w:tc>
                <w:tcPr>
                  <w:tcW w:w="0" w:type="auto"/>
                  <w:vAlign w:val="center"/>
                </w:tcPr>
                <w:p>
                  <w:pPr>
                    <w:spacing w:line="276" w:lineRule="auto"/>
                    <w:jc w:val="center"/>
                    <w:rPr>
                      <w:color w:val="000000"/>
                      <w:sz w:val="18"/>
                      <w:szCs w:val="18"/>
                    </w:rPr>
                  </w:pPr>
                  <w:r>
                    <w:rPr>
                      <w:rFonts w:hint="eastAsia"/>
                      <w:color w:val="000000"/>
                      <w:sz w:val="18"/>
                      <w:szCs w:val="22"/>
                    </w:rPr>
                    <w:t>424.40</w:t>
                  </w:r>
                </w:p>
              </w:tc>
              <w:tc>
                <w:tcPr>
                  <w:tcW w:w="0" w:type="auto"/>
                  <w:vAlign w:val="center"/>
                </w:tcPr>
                <w:p>
                  <w:pPr>
                    <w:spacing w:line="276" w:lineRule="auto"/>
                    <w:jc w:val="center"/>
                    <w:rPr>
                      <w:color w:val="000000"/>
                      <w:sz w:val="18"/>
                      <w:szCs w:val="18"/>
                    </w:rPr>
                  </w:pPr>
                  <w:r>
                    <w:rPr>
                      <w:rFonts w:hint="eastAsia"/>
                      <w:color w:val="000000"/>
                      <w:sz w:val="18"/>
                      <w:szCs w:val="22"/>
                    </w:rPr>
                    <w:t>699.71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ES scheme</w:t>
                  </w:r>
                </w:p>
              </w:tc>
              <w:tc>
                <w:tcPr>
                  <w:tcW w:w="908" w:type="dxa"/>
                  <w:vMerge w:val="continue"/>
                  <w:vAlign w:val="center"/>
                </w:tcPr>
                <w:p>
                  <w:pPr>
                    <w:spacing w:line="276" w:lineRule="auto"/>
                    <w:jc w:val="center"/>
                    <w:rPr>
                      <w:rFonts w:eastAsiaTheme="minorEastAsia"/>
                      <w:iCs/>
                      <w:sz w:val="18"/>
                    </w:rPr>
                  </w:pPr>
                </w:p>
              </w:tc>
              <w:tc>
                <w:tcPr>
                  <w:tcW w:w="0" w:type="auto"/>
                  <w:vAlign w:val="center"/>
                </w:tcPr>
                <w:p>
                  <w:pPr>
                    <w:spacing w:line="276" w:lineRule="auto"/>
                    <w:jc w:val="center"/>
                    <w:rPr>
                      <w:color w:val="00B0F0"/>
                      <w:sz w:val="18"/>
                      <w:szCs w:val="18"/>
                    </w:rPr>
                  </w:pPr>
                  <w:r>
                    <w:rPr>
                      <w:rFonts w:hint="eastAsia"/>
                      <w:color w:val="000000"/>
                      <w:sz w:val="18"/>
                      <w:szCs w:val="22"/>
                    </w:rPr>
                    <w:t>21.58</w:t>
                  </w:r>
                </w:p>
              </w:tc>
              <w:tc>
                <w:tcPr>
                  <w:tcW w:w="0" w:type="auto"/>
                  <w:vAlign w:val="center"/>
                </w:tcPr>
                <w:p>
                  <w:pPr>
                    <w:spacing w:line="276" w:lineRule="auto"/>
                    <w:jc w:val="center"/>
                    <w:rPr>
                      <w:color w:val="00B0F0"/>
                      <w:sz w:val="18"/>
                      <w:szCs w:val="18"/>
                    </w:rPr>
                  </w:pPr>
                  <w:r>
                    <w:rPr>
                      <w:rFonts w:hint="eastAsia"/>
                      <w:color w:val="000000"/>
                      <w:sz w:val="18"/>
                      <w:szCs w:val="22"/>
                    </w:rPr>
                    <w:t>7.11</w:t>
                  </w:r>
                </w:p>
              </w:tc>
              <w:tc>
                <w:tcPr>
                  <w:tcW w:w="0" w:type="auto"/>
                  <w:vAlign w:val="center"/>
                </w:tcPr>
                <w:p>
                  <w:pPr>
                    <w:spacing w:line="276" w:lineRule="auto"/>
                    <w:jc w:val="center"/>
                    <w:rPr>
                      <w:color w:val="00B0F0"/>
                      <w:sz w:val="18"/>
                      <w:szCs w:val="18"/>
                    </w:rPr>
                  </w:pPr>
                  <w:r>
                    <w:rPr>
                      <w:rFonts w:hint="eastAsia"/>
                      <w:color w:val="000000"/>
                      <w:sz w:val="18"/>
                      <w:szCs w:val="22"/>
                    </w:rPr>
                    <w:t>13.48</w:t>
                  </w:r>
                </w:p>
              </w:tc>
              <w:tc>
                <w:tcPr>
                  <w:tcW w:w="0" w:type="auto"/>
                  <w:vAlign w:val="center"/>
                </w:tcPr>
                <w:p>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pPr>
                    <w:spacing w:line="276" w:lineRule="auto"/>
                    <w:jc w:val="center"/>
                    <w:rPr>
                      <w:color w:val="00B0F0"/>
                      <w:sz w:val="18"/>
                      <w:szCs w:val="18"/>
                    </w:rPr>
                  </w:pPr>
                  <w:r>
                    <w:rPr>
                      <w:rFonts w:hint="eastAsia"/>
                      <w:color w:val="000000"/>
                      <w:sz w:val="18"/>
                      <w:szCs w:val="22"/>
                    </w:rPr>
                    <w:t>401.10</w:t>
                  </w:r>
                </w:p>
              </w:tc>
              <w:tc>
                <w:tcPr>
                  <w:tcW w:w="0" w:type="auto"/>
                  <w:vAlign w:val="center"/>
                </w:tcPr>
                <w:p>
                  <w:pPr>
                    <w:spacing w:line="276" w:lineRule="auto"/>
                    <w:jc w:val="center"/>
                    <w:rPr>
                      <w:color w:val="00B0F0"/>
                      <w:sz w:val="18"/>
                      <w:szCs w:val="18"/>
                    </w:rPr>
                  </w:pPr>
                  <w:r>
                    <w:rPr>
                      <w:rFonts w:hint="eastAsia"/>
                      <w:color w:val="000000"/>
                      <w:sz w:val="18"/>
                      <w:szCs w:val="22"/>
                    </w:rPr>
                    <w:t>162.97</w:t>
                  </w:r>
                </w:p>
              </w:tc>
              <w:tc>
                <w:tcPr>
                  <w:tcW w:w="0" w:type="auto"/>
                  <w:vAlign w:val="center"/>
                </w:tcPr>
                <w:p>
                  <w:pPr>
                    <w:spacing w:line="276" w:lineRule="auto"/>
                    <w:jc w:val="center"/>
                    <w:rPr>
                      <w:color w:val="00B0F0"/>
                      <w:sz w:val="18"/>
                      <w:szCs w:val="18"/>
                    </w:rPr>
                  </w:pPr>
                  <w:r>
                    <w:rPr>
                      <w:rFonts w:hint="eastAsia"/>
                      <w:color w:val="000000"/>
                      <w:sz w:val="18"/>
                      <w:szCs w:val="22"/>
                    </w:rPr>
                    <w:t>393.80</w:t>
                  </w:r>
                </w:p>
              </w:tc>
              <w:tc>
                <w:tcPr>
                  <w:tcW w:w="0" w:type="auto"/>
                  <w:vAlign w:val="center"/>
                </w:tcPr>
                <w:p>
                  <w:pPr>
                    <w:spacing w:line="276" w:lineRule="auto"/>
                    <w:jc w:val="center"/>
                    <w:rPr>
                      <w:color w:val="00B0F0"/>
                      <w:sz w:val="18"/>
                      <w:szCs w:val="18"/>
                    </w:rPr>
                  </w:pPr>
                  <w:r>
                    <w:rPr>
                      <w:rFonts w:hint="eastAsia"/>
                      <w:color w:val="000000"/>
                      <w:sz w:val="18"/>
                      <w:szCs w:val="22"/>
                    </w:rPr>
                    <w:t>634.67</w:t>
                  </w:r>
                </w:p>
              </w:tc>
            </w:tr>
          </w:tbl>
          <w:p>
            <w:pPr>
              <w:pStyle w:val="11"/>
              <w:widowControl w:val="0"/>
            </w:pPr>
            <w:bookmarkStart w:id="89" w:name="_Ref102060122"/>
            <w:r>
              <w:t xml:space="preserve">Table </w:t>
            </w:r>
            <w:r>
              <w:fldChar w:fldCharType="begin"/>
            </w:r>
            <w:r>
              <w:instrText xml:space="preserve"> SEQ Table \* ARABIC </w:instrText>
            </w:r>
            <w:r>
              <w:fldChar w:fldCharType="separate"/>
            </w:r>
            <w:r>
              <w:t>4</w:t>
            </w:r>
            <w:r>
              <w:fldChar w:fldCharType="end"/>
            </w:r>
            <w:bookmarkEnd w:id="89"/>
            <w:r>
              <w:t>. Power consumption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81"/>
              <w:gridCol w:w="771"/>
              <w:gridCol w:w="771"/>
              <w:gridCol w:w="771"/>
              <w:gridCol w:w="771"/>
              <w:gridCol w:w="741"/>
              <w:gridCol w:w="741"/>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76" w:lineRule="auto"/>
                    <w:jc w:val="center"/>
                    <w:rPr>
                      <w:rFonts w:eastAsiaTheme="minorEastAsia"/>
                      <w:iCs/>
                      <w:sz w:val="18"/>
                      <w:szCs w:val="18"/>
                    </w:rPr>
                  </w:pPr>
                </w:p>
              </w:tc>
              <w:tc>
                <w:tcPr>
                  <w:tcW w:w="0" w:type="auto"/>
                  <w:vMerge w:val="restart"/>
                  <w:vAlign w:val="center"/>
                </w:tcPr>
                <w:p>
                  <w:pPr>
                    <w:spacing w:line="276" w:lineRule="auto"/>
                    <w:jc w:val="center"/>
                    <w:rPr>
                      <w:b/>
                      <w:iCs/>
                      <w:sz w:val="18"/>
                      <w:szCs w:val="18"/>
                    </w:rPr>
                  </w:pPr>
                  <w:r>
                    <w:rPr>
                      <w:rFonts w:eastAsiaTheme="minorEastAsia"/>
                      <w:b/>
                      <w:iCs/>
                      <w:sz w:val="18"/>
                      <w:szCs w:val="18"/>
                    </w:rPr>
                    <w:t>Load</w:t>
                  </w:r>
                </w:p>
              </w:tc>
              <w:tc>
                <w:tcPr>
                  <w:tcW w:w="0" w:type="auto"/>
                  <w:gridSpan w:val="4"/>
                  <w:vAlign w:val="center"/>
                </w:tcPr>
                <w:p>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pPr>
                    <w:spacing w:line="276" w:lineRule="auto"/>
                    <w:jc w:val="center"/>
                    <w:rPr>
                      <w:b/>
                      <w:sz w:val="18"/>
                      <w:szCs w:val="18"/>
                    </w:rPr>
                  </w:pPr>
                  <w:r>
                    <w:rPr>
                      <w:b/>
                      <w:sz w:val="18"/>
                      <w:szCs w:val="18"/>
                    </w:rPr>
                    <w:t>UE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76" w:lineRule="auto"/>
                    <w:jc w:val="center"/>
                    <w:rPr>
                      <w:iCs/>
                      <w:sz w:val="18"/>
                      <w:szCs w:val="18"/>
                    </w:rPr>
                  </w:pPr>
                </w:p>
              </w:tc>
              <w:tc>
                <w:tcPr>
                  <w:tcW w:w="0" w:type="auto"/>
                  <w:vMerge w:val="continue"/>
                  <w:vAlign w:val="center"/>
                </w:tcPr>
                <w:p>
                  <w:pPr>
                    <w:spacing w:line="276" w:lineRule="auto"/>
                    <w:jc w:val="center"/>
                    <w:rPr>
                      <w:b/>
                      <w:iCs/>
                      <w:sz w:val="18"/>
                      <w:szCs w:val="18"/>
                    </w:rPr>
                  </w:pP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iCs/>
                      <w:sz w:val="18"/>
                      <w:szCs w:val="18"/>
                    </w:rPr>
                  </w:pPr>
                  <w:r>
                    <w:rPr>
                      <w:rFonts w:eastAsiaTheme="minorEastAsia"/>
                      <w:iCs/>
                      <w:sz w:val="18"/>
                      <w:szCs w:val="18"/>
                    </w:rPr>
                    <w:t>Zero load</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rFonts w:hint="eastAsia"/>
                      <w:color w:val="00B0F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iCs/>
                      <w:sz w:val="18"/>
                    </w:rPr>
                    <w:t>Low load</w:t>
                  </w:r>
                </w:p>
              </w:tc>
              <w:tc>
                <w:tcPr>
                  <w:tcW w:w="0" w:type="auto"/>
                  <w:vAlign w:val="center"/>
                </w:tcPr>
                <w:p>
                  <w:pPr>
                    <w:spacing w:line="276" w:lineRule="auto"/>
                    <w:jc w:val="center"/>
                    <w:rPr>
                      <w:color w:val="000000"/>
                      <w:sz w:val="18"/>
                      <w:szCs w:val="18"/>
                    </w:rPr>
                  </w:pPr>
                  <w:r>
                    <w:rPr>
                      <w:color w:val="000000"/>
                      <w:sz w:val="18"/>
                      <w:szCs w:val="18"/>
                    </w:rPr>
                    <w:t>86.27</w:t>
                  </w:r>
                </w:p>
              </w:tc>
              <w:tc>
                <w:tcPr>
                  <w:tcW w:w="0" w:type="auto"/>
                  <w:vAlign w:val="center"/>
                </w:tcPr>
                <w:p>
                  <w:pPr>
                    <w:spacing w:line="276" w:lineRule="auto"/>
                    <w:jc w:val="center"/>
                    <w:rPr>
                      <w:color w:val="000000"/>
                      <w:sz w:val="18"/>
                      <w:szCs w:val="18"/>
                    </w:rPr>
                  </w:pPr>
                  <w:r>
                    <w:rPr>
                      <w:color w:val="000000"/>
                      <w:sz w:val="18"/>
                      <w:szCs w:val="18"/>
                    </w:rPr>
                    <w:t>81.79</w:t>
                  </w:r>
                </w:p>
              </w:tc>
              <w:tc>
                <w:tcPr>
                  <w:tcW w:w="0" w:type="auto"/>
                  <w:vAlign w:val="center"/>
                </w:tcPr>
                <w:p>
                  <w:pPr>
                    <w:spacing w:line="276" w:lineRule="auto"/>
                    <w:jc w:val="center"/>
                    <w:rPr>
                      <w:color w:val="000000"/>
                      <w:sz w:val="18"/>
                      <w:szCs w:val="18"/>
                    </w:rPr>
                  </w:pPr>
                  <w:r>
                    <w:rPr>
                      <w:color w:val="000000"/>
                      <w:sz w:val="18"/>
                      <w:szCs w:val="18"/>
                    </w:rPr>
                    <w:t>84.85</w:t>
                  </w:r>
                </w:p>
              </w:tc>
              <w:tc>
                <w:tcPr>
                  <w:tcW w:w="0" w:type="auto"/>
                  <w:vAlign w:val="center"/>
                </w:tcPr>
                <w:p>
                  <w:pPr>
                    <w:spacing w:line="276" w:lineRule="auto"/>
                    <w:jc w:val="center"/>
                    <w:rPr>
                      <w:color w:val="000000"/>
                      <w:sz w:val="18"/>
                      <w:szCs w:val="18"/>
                    </w:rPr>
                  </w:pPr>
                  <w:r>
                    <w:rPr>
                      <w:color w:val="000000"/>
                      <w:sz w:val="18"/>
                      <w:szCs w:val="18"/>
                    </w:rPr>
                    <w:t>94.55</w:t>
                  </w:r>
                </w:p>
              </w:tc>
              <w:tc>
                <w:tcPr>
                  <w:tcW w:w="0" w:type="auto"/>
                  <w:vAlign w:val="center"/>
                </w:tcPr>
                <w:p>
                  <w:pPr>
                    <w:spacing w:line="276" w:lineRule="auto"/>
                    <w:jc w:val="center"/>
                    <w:rPr>
                      <w:color w:val="000000"/>
                      <w:sz w:val="18"/>
                      <w:szCs w:val="18"/>
                    </w:rPr>
                  </w:pPr>
                  <w:r>
                    <w:rPr>
                      <w:color w:val="000000"/>
                      <w:sz w:val="18"/>
                      <w:szCs w:val="18"/>
                    </w:rPr>
                    <w:t>95.06</w:t>
                  </w:r>
                </w:p>
              </w:tc>
              <w:tc>
                <w:tcPr>
                  <w:tcW w:w="0" w:type="auto"/>
                  <w:vAlign w:val="center"/>
                </w:tcPr>
                <w:p>
                  <w:pPr>
                    <w:spacing w:line="276" w:lineRule="auto"/>
                    <w:jc w:val="center"/>
                    <w:rPr>
                      <w:color w:val="000000"/>
                      <w:sz w:val="18"/>
                      <w:szCs w:val="18"/>
                    </w:rPr>
                  </w:pPr>
                  <w:r>
                    <w:rPr>
                      <w:color w:val="000000"/>
                      <w:sz w:val="18"/>
                      <w:szCs w:val="18"/>
                    </w:rPr>
                    <w:t>92.02</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0000"/>
                      <w:sz w:val="18"/>
                      <w:szCs w:val="18"/>
                    </w:rPr>
                  </w:pPr>
                  <w:r>
                    <w:rPr>
                      <w:color w:val="000000"/>
                      <w:sz w:val="18"/>
                      <w:szCs w:val="18"/>
                    </w:rPr>
                    <w:t>74.23</w:t>
                  </w:r>
                </w:p>
              </w:tc>
              <w:tc>
                <w:tcPr>
                  <w:tcW w:w="0" w:type="auto"/>
                  <w:vAlign w:val="center"/>
                </w:tcPr>
                <w:p>
                  <w:pPr>
                    <w:spacing w:line="276" w:lineRule="auto"/>
                    <w:jc w:val="center"/>
                    <w:rPr>
                      <w:color w:val="000000"/>
                      <w:sz w:val="18"/>
                      <w:szCs w:val="18"/>
                    </w:rPr>
                  </w:pPr>
                  <w:r>
                    <w:rPr>
                      <w:color w:val="000000"/>
                      <w:sz w:val="18"/>
                      <w:szCs w:val="18"/>
                    </w:rPr>
                    <w:t>69.59</w:t>
                  </w:r>
                </w:p>
              </w:tc>
              <w:tc>
                <w:tcPr>
                  <w:tcW w:w="0" w:type="auto"/>
                  <w:vAlign w:val="center"/>
                </w:tcPr>
                <w:p>
                  <w:pPr>
                    <w:spacing w:line="276" w:lineRule="auto"/>
                    <w:jc w:val="center"/>
                    <w:rPr>
                      <w:color w:val="000000"/>
                      <w:sz w:val="18"/>
                      <w:szCs w:val="18"/>
                    </w:rPr>
                  </w:pPr>
                  <w:r>
                    <w:rPr>
                      <w:color w:val="000000"/>
                      <w:sz w:val="18"/>
                      <w:szCs w:val="18"/>
                    </w:rPr>
                    <w:t>72.72</w:t>
                  </w:r>
                </w:p>
              </w:tc>
              <w:tc>
                <w:tcPr>
                  <w:tcW w:w="0" w:type="auto"/>
                  <w:vAlign w:val="center"/>
                </w:tcPr>
                <w:p>
                  <w:pPr>
                    <w:spacing w:line="276" w:lineRule="auto"/>
                    <w:jc w:val="center"/>
                    <w:rPr>
                      <w:color w:val="000000"/>
                      <w:sz w:val="18"/>
                      <w:szCs w:val="18"/>
                    </w:rPr>
                  </w:pPr>
                  <w:r>
                    <w:rPr>
                      <w:color w:val="000000"/>
                      <w:sz w:val="18"/>
                      <w:szCs w:val="18"/>
                    </w:rPr>
                    <w:t>83.28</w:t>
                  </w:r>
                </w:p>
              </w:tc>
              <w:tc>
                <w:tcPr>
                  <w:tcW w:w="0" w:type="auto"/>
                  <w:vAlign w:val="center"/>
                </w:tcPr>
                <w:p>
                  <w:pPr>
                    <w:spacing w:line="276" w:lineRule="auto"/>
                    <w:jc w:val="center"/>
                    <w:rPr>
                      <w:color w:val="000000"/>
                      <w:sz w:val="18"/>
                      <w:szCs w:val="18"/>
                    </w:rPr>
                  </w:pPr>
                  <w:r>
                    <w:rPr>
                      <w:color w:val="000000"/>
                      <w:sz w:val="18"/>
                      <w:szCs w:val="18"/>
                    </w:rPr>
                    <w:t>94.95</w:t>
                  </w:r>
                </w:p>
              </w:tc>
              <w:tc>
                <w:tcPr>
                  <w:tcW w:w="0" w:type="auto"/>
                  <w:vAlign w:val="center"/>
                </w:tcPr>
                <w:p>
                  <w:pPr>
                    <w:spacing w:line="276" w:lineRule="auto"/>
                    <w:jc w:val="center"/>
                    <w:rPr>
                      <w:color w:val="000000"/>
                      <w:sz w:val="18"/>
                      <w:szCs w:val="18"/>
                    </w:rPr>
                  </w:pPr>
                  <w:r>
                    <w:rPr>
                      <w:color w:val="000000"/>
                      <w:sz w:val="18"/>
                      <w:szCs w:val="18"/>
                    </w:rPr>
                    <w:t>92.01</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13.96%</w:t>
                  </w:r>
                </w:p>
              </w:tc>
              <w:tc>
                <w:tcPr>
                  <w:tcW w:w="0" w:type="auto"/>
                  <w:vAlign w:val="bottom"/>
                </w:tcPr>
                <w:p>
                  <w:pPr>
                    <w:spacing w:line="276" w:lineRule="auto"/>
                    <w:jc w:val="center"/>
                    <w:rPr>
                      <w:color w:val="00B0F0"/>
                      <w:sz w:val="18"/>
                      <w:szCs w:val="18"/>
                    </w:rPr>
                  </w:pPr>
                  <w:r>
                    <w:rPr>
                      <w:color w:val="00B0F0"/>
                      <w:sz w:val="18"/>
                      <w:szCs w:val="18"/>
                    </w:rPr>
                    <w:t>14.92%</w:t>
                  </w:r>
                </w:p>
              </w:tc>
              <w:tc>
                <w:tcPr>
                  <w:tcW w:w="0" w:type="auto"/>
                  <w:vAlign w:val="bottom"/>
                </w:tcPr>
                <w:p>
                  <w:pPr>
                    <w:spacing w:line="276" w:lineRule="auto"/>
                    <w:jc w:val="center"/>
                    <w:rPr>
                      <w:color w:val="00B0F0"/>
                      <w:sz w:val="18"/>
                      <w:szCs w:val="18"/>
                    </w:rPr>
                  </w:pPr>
                  <w:r>
                    <w:rPr>
                      <w:color w:val="00B0F0"/>
                      <w:sz w:val="18"/>
                      <w:szCs w:val="18"/>
                    </w:rPr>
                    <w:t>14.30%</w:t>
                  </w:r>
                </w:p>
              </w:tc>
              <w:tc>
                <w:tcPr>
                  <w:tcW w:w="0" w:type="auto"/>
                  <w:vAlign w:val="bottom"/>
                </w:tcPr>
                <w:p>
                  <w:pPr>
                    <w:spacing w:line="276" w:lineRule="auto"/>
                    <w:jc w:val="center"/>
                    <w:rPr>
                      <w:color w:val="00B0F0"/>
                      <w:sz w:val="18"/>
                      <w:szCs w:val="18"/>
                    </w:rPr>
                  </w:pPr>
                  <w:r>
                    <w:rPr>
                      <w:color w:val="00B0F0"/>
                      <w:sz w:val="18"/>
                      <w:szCs w:val="18"/>
                    </w:rPr>
                    <w:t>11.92%</w:t>
                  </w:r>
                </w:p>
              </w:tc>
              <w:tc>
                <w:tcPr>
                  <w:tcW w:w="0" w:type="auto"/>
                  <w:vAlign w:val="bottom"/>
                </w:tcPr>
                <w:p>
                  <w:pPr>
                    <w:spacing w:line="276" w:lineRule="auto"/>
                    <w:jc w:val="center"/>
                    <w:rPr>
                      <w:color w:val="00B0F0"/>
                      <w:sz w:val="18"/>
                      <w:szCs w:val="18"/>
                    </w:rPr>
                  </w:pPr>
                  <w:r>
                    <w:rPr>
                      <w:color w:val="00B0F0"/>
                      <w:sz w:val="18"/>
                      <w:szCs w:val="18"/>
                    </w:rPr>
                    <w:t>0.11%</w:t>
                  </w:r>
                </w:p>
              </w:tc>
              <w:tc>
                <w:tcPr>
                  <w:tcW w:w="0" w:type="auto"/>
                  <w:vAlign w:val="bottom"/>
                </w:tcPr>
                <w:p>
                  <w:pPr>
                    <w:spacing w:line="276" w:lineRule="auto"/>
                    <w:jc w:val="center"/>
                    <w:rPr>
                      <w:color w:val="00B0F0"/>
                      <w:sz w:val="18"/>
                      <w:szCs w:val="18"/>
                    </w:rPr>
                  </w:pPr>
                  <w:r>
                    <w:rPr>
                      <w:color w:val="00B0F0"/>
                      <w:sz w:val="18"/>
                      <w:szCs w:val="18"/>
                    </w:rPr>
                    <w:t>0.01%</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rFonts w:hint="eastAsia"/>
                      <w:color w:val="00B0F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hint="eastAsia" w:eastAsiaTheme="minorEastAsia"/>
                      <w:iCs/>
                      <w:sz w:val="18"/>
                      <w:szCs w:val="18"/>
                    </w:rPr>
                    <w:t>L</w:t>
                  </w:r>
                  <w:r>
                    <w:rPr>
                      <w:rFonts w:eastAsiaTheme="minorEastAsia"/>
                      <w:iCs/>
                      <w:sz w:val="18"/>
                      <w:szCs w:val="18"/>
                    </w:rPr>
                    <w:t>ight load</w:t>
                  </w:r>
                </w:p>
              </w:tc>
              <w:tc>
                <w:tcPr>
                  <w:tcW w:w="0" w:type="auto"/>
                  <w:vAlign w:val="center"/>
                </w:tcPr>
                <w:p>
                  <w:pPr>
                    <w:spacing w:line="276" w:lineRule="auto"/>
                    <w:jc w:val="center"/>
                    <w:rPr>
                      <w:iCs/>
                      <w:sz w:val="18"/>
                      <w:szCs w:val="18"/>
                    </w:rPr>
                  </w:pPr>
                  <w:r>
                    <w:rPr>
                      <w:color w:val="000000"/>
                      <w:sz w:val="18"/>
                      <w:szCs w:val="18"/>
                    </w:rPr>
                    <w:t>110.61</w:t>
                  </w:r>
                </w:p>
              </w:tc>
              <w:tc>
                <w:tcPr>
                  <w:tcW w:w="0" w:type="auto"/>
                  <w:vAlign w:val="center"/>
                </w:tcPr>
                <w:p>
                  <w:pPr>
                    <w:spacing w:line="276" w:lineRule="auto"/>
                    <w:jc w:val="center"/>
                    <w:rPr>
                      <w:iCs/>
                      <w:sz w:val="18"/>
                      <w:szCs w:val="18"/>
                    </w:rPr>
                  </w:pPr>
                  <w:r>
                    <w:rPr>
                      <w:color w:val="000000"/>
                      <w:sz w:val="18"/>
                      <w:szCs w:val="18"/>
                    </w:rPr>
                    <w:t>98.72</w:t>
                  </w:r>
                </w:p>
              </w:tc>
              <w:tc>
                <w:tcPr>
                  <w:tcW w:w="0" w:type="auto"/>
                  <w:vAlign w:val="center"/>
                </w:tcPr>
                <w:p>
                  <w:pPr>
                    <w:spacing w:line="276" w:lineRule="auto"/>
                    <w:jc w:val="center"/>
                    <w:rPr>
                      <w:iCs/>
                      <w:sz w:val="18"/>
                      <w:szCs w:val="18"/>
                    </w:rPr>
                  </w:pPr>
                  <w:r>
                    <w:rPr>
                      <w:color w:val="000000"/>
                      <w:sz w:val="18"/>
                      <w:szCs w:val="18"/>
                    </w:rPr>
                    <w:t>108.07</w:t>
                  </w:r>
                </w:p>
              </w:tc>
              <w:tc>
                <w:tcPr>
                  <w:tcW w:w="0" w:type="auto"/>
                  <w:vAlign w:val="center"/>
                </w:tcPr>
                <w:p>
                  <w:pPr>
                    <w:spacing w:line="276" w:lineRule="auto"/>
                    <w:jc w:val="center"/>
                    <w:rPr>
                      <w:iCs/>
                      <w:sz w:val="18"/>
                      <w:szCs w:val="18"/>
                    </w:rPr>
                  </w:pPr>
                  <w:r>
                    <w:rPr>
                      <w:color w:val="000000"/>
                      <w:sz w:val="18"/>
                      <w:szCs w:val="18"/>
                    </w:rPr>
                    <w:t>123.93</w:t>
                  </w:r>
                </w:p>
              </w:tc>
              <w:tc>
                <w:tcPr>
                  <w:tcW w:w="0" w:type="auto"/>
                  <w:vAlign w:val="center"/>
                </w:tcPr>
                <w:p>
                  <w:pPr>
                    <w:spacing w:line="276" w:lineRule="auto"/>
                    <w:jc w:val="center"/>
                    <w:rPr>
                      <w:iCs/>
                      <w:sz w:val="18"/>
                      <w:szCs w:val="18"/>
                    </w:rPr>
                  </w:pPr>
                  <w:r>
                    <w:rPr>
                      <w:color w:val="000000"/>
                      <w:sz w:val="18"/>
                      <w:szCs w:val="18"/>
                    </w:rPr>
                    <w:t>96.09</w:t>
                  </w:r>
                </w:p>
              </w:tc>
              <w:tc>
                <w:tcPr>
                  <w:tcW w:w="0" w:type="auto"/>
                  <w:vAlign w:val="center"/>
                </w:tcPr>
                <w:p>
                  <w:pPr>
                    <w:spacing w:line="276" w:lineRule="auto"/>
                    <w:jc w:val="center"/>
                    <w:rPr>
                      <w:iCs/>
                      <w:sz w:val="18"/>
                      <w:szCs w:val="18"/>
                    </w:rPr>
                  </w:pPr>
                  <w:r>
                    <w:rPr>
                      <w:color w:val="000000"/>
                      <w:sz w:val="18"/>
                      <w:szCs w:val="18"/>
                    </w:rPr>
                    <w:t>92.22</w:t>
                  </w:r>
                </w:p>
              </w:tc>
              <w:tc>
                <w:tcPr>
                  <w:tcW w:w="0" w:type="auto"/>
                  <w:vAlign w:val="center"/>
                </w:tcPr>
                <w:p>
                  <w:pPr>
                    <w:spacing w:line="276" w:lineRule="auto"/>
                    <w:jc w:val="center"/>
                    <w:rPr>
                      <w:iCs/>
                      <w:sz w:val="18"/>
                      <w:szCs w:val="18"/>
                    </w:rPr>
                  </w:pPr>
                  <w:r>
                    <w:rPr>
                      <w:color w:val="000000"/>
                      <w:sz w:val="18"/>
                      <w:szCs w:val="18"/>
                    </w:rPr>
                    <w:t>94.74</w:t>
                  </w:r>
                </w:p>
              </w:tc>
              <w:tc>
                <w:tcPr>
                  <w:tcW w:w="0" w:type="auto"/>
                  <w:vAlign w:val="center"/>
                </w:tcPr>
                <w:p>
                  <w:pPr>
                    <w:spacing w:line="276" w:lineRule="auto"/>
                    <w:jc w:val="center"/>
                    <w:rPr>
                      <w:iCs/>
                      <w:sz w:val="18"/>
                      <w:szCs w:val="18"/>
                    </w:rPr>
                  </w:pPr>
                  <w:r>
                    <w:rPr>
                      <w:rFonts w:hint="eastAsia"/>
                      <w:color w:val="000000"/>
                      <w:sz w:val="18"/>
                      <w:szCs w:val="18"/>
                    </w:rPr>
                    <w:t>103.39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99.97</w:t>
                  </w:r>
                </w:p>
              </w:tc>
              <w:tc>
                <w:tcPr>
                  <w:tcW w:w="0" w:type="auto"/>
                  <w:vAlign w:val="center"/>
                </w:tcPr>
                <w:p>
                  <w:pPr>
                    <w:spacing w:line="276" w:lineRule="auto"/>
                    <w:jc w:val="center"/>
                    <w:rPr>
                      <w:iCs/>
                      <w:sz w:val="18"/>
                      <w:szCs w:val="18"/>
                    </w:rPr>
                  </w:pPr>
                  <w:r>
                    <w:rPr>
                      <w:color w:val="000000"/>
                      <w:sz w:val="18"/>
                      <w:szCs w:val="18"/>
                    </w:rPr>
                    <w:t>86.60</w:t>
                  </w:r>
                </w:p>
              </w:tc>
              <w:tc>
                <w:tcPr>
                  <w:tcW w:w="0" w:type="auto"/>
                  <w:vAlign w:val="center"/>
                </w:tcPr>
                <w:p>
                  <w:pPr>
                    <w:spacing w:line="276" w:lineRule="auto"/>
                    <w:jc w:val="center"/>
                    <w:rPr>
                      <w:iCs/>
                      <w:sz w:val="18"/>
                      <w:szCs w:val="18"/>
                    </w:rPr>
                  </w:pPr>
                  <w:r>
                    <w:rPr>
                      <w:color w:val="000000"/>
                      <w:sz w:val="18"/>
                      <w:szCs w:val="18"/>
                    </w:rPr>
                    <w:t>97.08</w:t>
                  </w:r>
                </w:p>
              </w:tc>
              <w:tc>
                <w:tcPr>
                  <w:tcW w:w="0" w:type="auto"/>
                  <w:vAlign w:val="center"/>
                </w:tcPr>
                <w:p>
                  <w:pPr>
                    <w:spacing w:line="276" w:lineRule="auto"/>
                    <w:jc w:val="center"/>
                    <w:rPr>
                      <w:iCs/>
                      <w:sz w:val="18"/>
                      <w:szCs w:val="18"/>
                    </w:rPr>
                  </w:pPr>
                  <w:r>
                    <w:rPr>
                      <w:color w:val="000000"/>
                      <w:sz w:val="18"/>
                      <w:szCs w:val="18"/>
                    </w:rPr>
                    <w:t>114.55</w:t>
                  </w:r>
                </w:p>
              </w:tc>
              <w:tc>
                <w:tcPr>
                  <w:tcW w:w="0" w:type="auto"/>
                  <w:vAlign w:val="center"/>
                </w:tcPr>
                <w:p>
                  <w:pPr>
                    <w:spacing w:line="276" w:lineRule="auto"/>
                    <w:jc w:val="center"/>
                    <w:rPr>
                      <w:iCs/>
                      <w:sz w:val="18"/>
                      <w:szCs w:val="18"/>
                    </w:rPr>
                  </w:pPr>
                  <w:r>
                    <w:rPr>
                      <w:color w:val="000000"/>
                      <w:sz w:val="18"/>
                      <w:szCs w:val="18"/>
                    </w:rPr>
                    <w:t>96.06</w:t>
                  </w:r>
                </w:p>
              </w:tc>
              <w:tc>
                <w:tcPr>
                  <w:tcW w:w="0" w:type="auto"/>
                  <w:vAlign w:val="center"/>
                </w:tcPr>
                <w:p>
                  <w:pPr>
                    <w:spacing w:line="276" w:lineRule="auto"/>
                    <w:jc w:val="center"/>
                    <w:rPr>
                      <w:iCs/>
                      <w:sz w:val="18"/>
                      <w:szCs w:val="18"/>
                    </w:rPr>
                  </w:pPr>
                  <w:r>
                    <w:rPr>
                      <w:color w:val="000000"/>
                      <w:sz w:val="18"/>
                      <w:szCs w:val="18"/>
                    </w:rPr>
                    <w:t>92.28</w:t>
                  </w:r>
                </w:p>
              </w:tc>
              <w:tc>
                <w:tcPr>
                  <w:tcW w:w="0" w:type="auto"/>
                  <w:vAlign w:val="center"/>
                </w:tcPr>
                <w:p>
                  <w:pPr>
                    <w:spacing w:line="276" w:lineRule="auto"/>
                    <w:jc w:val="center"/>
                    <w:rPr>
                      <w:iCs/>
                      <w:sz w:val="18"/>
                      <w:szCs w:val="18"/>
                    </w:rPr>
                  </w:pPr>
                  <w:r>
                    <w:rPr>
                      <w:color w:val="000000"/>
                      <w:sz w:val="18"/>
                      <w:szCs w:val="18"/>
                    </w:rPr>
                    <w:t>94.78</w:t>
                  </w:r>
                </w:p>
              </w:tc>
              <w:tc>
                <w:tcPr>
                  <w:tcW w:w="0" w:type="auto"/>
                  <w:vAlign w:val="center"/>
                </w:tcPr>
                <w:p>
                  <w:pPr>
                    <w:spacing w:line="276" w:lineRule="auto"/>
                    <w:jc w:val="center"/>
                    <w:rPr>
                      <w:iCs/>
                      <w:sz w:val="18"/>
                      <w:szCs w:val="18"/>
                    </w:rPr>
                  </w:pPr>
                  <w:r>
                    <w:rPr>
                      <w:rFonts w:hint="eastAsia"/>
                      <w:color w:val="000000"/>
                      <w:sz w:val="18"/>
                      <w:szCs w:val="18"/>
                    </w:rPr>
                    <w:t>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9.62%</w:t>
                  </w:r>
                </w:p>
              </w:tc>
              <w:tc>
                <w:tcPr>
                  <w:tcW w:w="0" w:type="auto"/>
                  <w:vAlign w:val="bottom"/>
                </w:tcPr>
                <w:p>
                  <w:pPr>
                    <w:spacing w:line="276" w:lineRule="auto"/>
                    <w:jc w:val="center"/>
                    <w:rPr>
                      <w:color w:val="00B0F0"/>
                      <w:sz w:val="18"/>
                      <w:szCs w:val="18"/>
                    </w:rPr>
                  </w:pPr>
                  <w:r>
                    <w:rPr>
                      <w:color w:val="00B0F0"/>
                      <w:sz w:val="18"/>
                      <w:szCs w:val="18"/>
                    </w:rPr>
                    <w:t>12.28%</w:t>
                  </w:r>
                </w:p>
              </w:tc>
              <w:tc>
                <w:tcPr>
                  <w:tcW w:w="0" w:type="auto"/>
                  <w:vAlign w:val="bottom"/>
                </w:tcPr>
                <w:p>
                  <w:pPr>
                    <w:spacing w:line="276" w:lineRule="auto"/>
                    <w:jc w:val="center"/>
                    <w:rPr>
                      <w:color w:val="00B0F0"/>
                      <w:sz w:val="18"/>
                      <w:szCs w:val="18"/>
                    </w:rPr>
                  </w:pPr>
                  <w:r>
                    <w:rPr>
                      <w:color w:val="00B0F0"/>
                      <w:sz w:val="18"/>
                      <w:szCs w:val="18"/>
                    </w:rPr>
                    <w:t>10.17%</w:t>
                  </w:r>
                </w:p>
              </w:tc>
              <w:tc>
                <w:tcPr>
                  <w:tcW w:w="0" w:type="auto"/>
                  <w:vAlign w:val="bottom"/>
                </w:tcPr>
                <w:p>
                  <w:pPr>
                    <w:spacing w:line="276" w:lineRule="auto"/>
                    <w:jc w:val="center"/>
                    <w:rPr>
                      <w:color w:val="00B0F0"/>
                      <w:sz w:val="18"/>
                      <w:szCs w:val="18"/>
                    </w:rPr>
                  </w:pPr>
                  <w:r>
                    <w:rPr>
                      <w:color w:val="00B0F0"/>
                      <w:sz w:val="18"/>
                      <w:szCs w:val="18"/>
                    </w:rPr>
                    <w:t>7.57%</w:t>
                  </w:r>
                </w:p>
              </w:tc>
              <w:tc>
                <w:tcPr>
                  <w:tcW w:w="0" w:type="auto"/>
                  <w:vAlign w:val="bottom"/>
                </w:tcPr>
                <w:p>
                  <w:pPr>
                    <w:spacing w:line="276" w:lineRule="auto"/>
                    <w:jc w:val="center"/>
                    <w:rPr>
                      <w:color w:val="00B0F0"/>
                      <w:sz w:val="18"/>
                      <w:szCs w:val="18"/>
                    </w:rPr>
                  </w:pPr>
                  <w:r>
                    <w:rPr>
                      <w:color w:val="00B0F0"/>
                      <w:sz w:val="18"/>
                      <w:szCs w:val="18"/>
                    </w:rPr>
                    <w:t>0.03%</w:t>
                  </w:r>
                </w:p>
              </w:tc>
              <w:tc>
                <w:tcPr>
                  <w:tcW w:w="0" w:type="auto"/>
                  <w:vAlign w:val="bottom"/>
                </w:tcPr>
                <w:p>
                  <w:pPr>
                    <w:spacing w:line="276" w:lineRule="auto"/>
                    <w:jc w:val="center"/>
                    <w:rPr>
                      <w:color w:val="00B0F0"/>
                      <w:sz w:val="18"/>
                      <w:szCs w:val="18"/>
                    </w:rPr>
                  </w:pPr>
                  <w:r>
                    <w:rPr>
                      <w:color w:val="00B0F0"/>
                      <w:sz w:val="18"/>
                      <w:szCs w:val="18"/>
                    </w:rPr>
                    <w:t>-0.07%</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pPr>
                    <w:spacing w:line="276" w:lineRule="auto"/>
                    <w:jc w:val="center"/>
                    <w:rPr>
                      <w:color w:val="00B0F0"/>
                      <w:sz w:val="18"/>
                      <w:szCs w:val="18"/>
                    </w:rPr>
                  </w:pPr>
                  <w:r>
                    <w:rPr>
                      <w:color w:val="000000"/>
                      <w:sz w:val="18"/>
                      <w:szCs w:val="18"/>
                    </w:rPr>
                    <w:t>138.35</w:t>
                  </w:r>
                </w:p>
              </w:tc>
              <w:tc>
                <w:tcPr>
                  <w:tcW w:w="0" w:type="auto"/>
                  <w:vAlign w:val="center"/>
                </w:tcPr>
                <w:p>
                  <w:pPr>
                    <w:spacing w:line="276" w:lineRule="auto"/>
                    <w:jc w:val="center"/>
                    <w:rPr>
                      <w:color w:val="00B0F0"/>
                      <w:sz w:val="18"/>
                      <w:szCs w:val="18"/>
                    </w:rPr>
                  </w:pPr>
                  <w:r>
                    <w:rPr>
                      <w:color w:val="000000"/>
                      <w:sz w:val="18"/>
                      <w:szCs w:val="18"/>
                    </w:rPr>
                    <w:t>121.48</w:t>
                  </w:r>
                </w:p>
              </w:tc>
              <w:tc>
                <w:tcPr>
                  <w:tcW w:w="0" w:type="auto"/>
                  <w:vAlign w:val="center"/>
                </w:tcPr>
                <w:p>
                  <w:pPr>
                    <w:spacing w:line="276" w:lineRule="auto"/>
                    <w:jc w:val="center"/>
                    <w:rPr>
                      <w:color w:val="00B0F0"/>
                      <w:sz w:val="18"/>
                      <w:szCs w:val="18"/>
                    </w:rPr>
                  </w:pPr>
                  <w:r>
                    <w:rPr>
                      <w:color w:val="000000"/>
                      <w:sz w:val="18"/>
                      <w:szCs w:val="18"/>
                    </w:rPr>
                    <w:t>136.23</w:t>
                  </w:r>
                </w:p>
              </w:tc>
              <w:tc>
                <w:tcPr>
                  <w:tcW w:w="0" w:type="auto"/>
                  <w:vAlign w:val="center"/>
                </w:tcPr>
                <w:p>
                  <w:pPr>
                    <w:spacing w:line="276" w:lineRule="auto"/>
                    <w:jc w:val="center"/>
                    <w:rPr>
                      <w:color w:val="00B0F0"/>
                      <w:sz w:val="18"/>
                      <w:szCs w:val="18"/>
                    </w:rPr>
                  </w:pPr>
                  <w:r>
                    <w:rPr>
                      <w:color w:val="000000"/>
                      <w:sz w:val="18"/>
                      <w:szCs w:val="18"/>
                    </w:rPr>
                    <w:t>161.79</w:t>
                  </w:r>
                </w:p>
              </w:tc>
              <w:tc>
                <w:tcPr>
                  <w:tcW w:w="0" w:type="auto"/>
                  <w:vAlign w:val="center"/>
                </w:tcPr>
                <w:p>
                  <w:pPr>
                    <w:spacing w:line="276" w:lineRule="auto"/>
                    <w:jc w:val="center"/>
                    <w:rPr>
                      <w:color w:val="00B0F0"/>
                      <w:sz w:val="18"/>
                      <w:szCs w:val="18"/>
                    </w:rPr>
                  </w:pPr>
                  <w:r>
                    <w:rPr>
                      <w:color w:val="000000"/>
                      <w:sz w:val="18"/>
                      <w:szCs w:val="18"/>
                    </w:rPr>
                    <w:t>97.76</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96.18</w:t>
                  </w:r>
                </w:p>
              </w:tc>
              <w:tc>
                <w:tcPr>
                  <w:tcW w:w="0" w:type="auto"/>
                  <w:vAlign w:val="center"/>
                </w:tcPr>
                <w:p>
                  <w:pPr>
                    <w:spacing w:line="276" w:lineRule="auto"/>
                    <w:jc w:val="center"/>
                    <w:rPr>
                      <w:color w:val="00B0F0"/>
                      <w:sz w:val="18"/>
                      <w:szCs w:val="18"/>
                    </w:rPr>
                  </w:pPr>
                  <w:r>
                    <w:rPr>
                      <w:rFonts w:hint="eastAsia"/>
                      <w:color w:val="000000"/>
                      <w:sz w:val="18"/>
                      <w:szCs w:val="18"/>
                    </w:rPr>
                    <w:t>106.74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B0F0"/>
                      <w:sz w:val="18"/>
                      <w:szCs w:val="18"/>
                    </w:rPr>
                  </w:pPr>
                  <w:r>
                    <w:rPr>
                      <w:color w:val="000000"/>
                      <w:sz w:val="18"/>
                      <w:szCs w:val="18"/>
                    </w:rPr>
                    <w:t>129.75</w:t>
                  </w:r>
                </w:p>
              </w:tc>
              <w:tc>
                <w:tcPr>
                  <w:tcW w:w="0" w:type="auto"/>
                  <w:vAlign w:val="center"/>
                </w:tcPr>
                <w:p>
                  <w:pPr>
                    <w:spacing w:line="276" w:lineRule="auto"/>
                    <w:jc w:val="center"/>
                    <w:rPr>
                      <w:color w:val="00B0F0"/>
                      <w:sz w:val="18"/>
                      <w:szCs w:val="18"/>
                    </w:rPr>
                  </w:pPr>
                  <w:r>
                    <w:rPr>
                      <w:color w:val="000000"/>
                      <w:sz w:val="18"/>
                      <w:szCs w:val="18"/>
                    </w:rPr>
                    <w:t>111.17</w:t>
                  </w:r>
                </w:p>
              </w:tc>
              <w:tc>
                <w:tcPr>
                  <w:tcW w:w="0" w:type="auto"/>
                  <w:vAlign w:val="center"/>
                </w:tcPr>
                <w:p>
                  <w:pPr>
                    <w:spacing w:line="276" w:lineRule="auto"/>
                    <w:jc w:val="center"/>
                    <w:rPr>
                      <w:color w:val="00B0F0"/>
                      <w:sz w:val="18"/>
                      <w:szCs w:val="18"/>
                    </w:rPr>
                  </w:pPr>
                  <w:r>
                    <w:rPr>
                      <w:color w:val="000000"/>
                      <w:sz w:val="18"/>
                      <w:szCs w:val="18"/>
                    </w:rPr>
                    <w:t>126.45</w:t>
                  </w:r>
                </w:p>
              </w:tc>
              <w:tc>
                <w:tcPr>
                  <w:tcW w:w="0" w:type="auto"/>
                  <w:vAlign w:val="center"/>
                </w:tcPr>
                <w:p>
                  <w:pPr>
                    <w:spacing w:line="276" w:lineRule="auto"/>
                    <w:jc w:val="center"/>
                    <w:rPr>
                      <w:color w:val="00B0F0"/>
                      <w:sz w:val="18"/>
                      <w:szCs w:val="18"/>
                    </w:rPr>
                  </w:pPr>
                  <w:r>
                    <w:rPr>
                      <w:color w:val="000000"/>
                      <w:sz w:val="18"/>
                      <w:szCs w:val="18"/>
                    </w:rPr>
                    <w:t>156.58</w:t>
                  </w:r>
                </w:p>
              </w:tc>
              <w:tc>
                <w:tcPr>
                  <w:tcW w:w="0" w:type="auto"/>
                  <w:vAlign w:val="center"/>
                </w:tcPr>
                <w:p>
                  <w:pPr>
                    <w:spacing w:line="276" w:lineRule="auto"/>
                    <w:jc w:val="center"/>
                    <w:rPr>
                      <w:color w:val="00B0F0"/>
                      <w:sz w:val="18"/>
                      <w:szCs w:val="18"/>
                    </w:rPr>
                  </w:pPr>
                  <w:r>
                    <w:rPr>
                      <w:color w:val="000000"/>
                      <w:sz w:val="18"/>
                      <w:szCs w:val="18"/>
                    </w:rPr>
                    <w:t>97.82</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96.22</w:t>
                  </w:r>
                </w:p>
              </w:tc>
              <w:tc>
                <w:tcPr>
                  <w:tcW w:w="0" w:type="auto"/>
                  <w:vAlign w:val="center"/>
                </w:tcPr>
                <w:p>
                  <w:pPr>
                    <w:spacing w:line="276" w:lineRule="auto"/>
                    <w:jc w:val="center"/>
                    <w:rPr>
                      <w:color w:val="00B0F0"/>
                      <w:sz w:val="18"/>
                      <w:szCs w:val="18"/>
                    </w:rPr>
                  </w:pPr>
                  <w:r>
                    <w:rPr>
                      <w:rFonts w:hint="eastAsia"/>
                      <w:color w:val="000000"/>
                      <w:sz w:val="18"/>
                      <w:szCs w:val="18"/>
                    </w:rPr>
                    <w:t>107.12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6.22%</w:t>
                  </w:r>
                </w:p>
              </w:tc>
              <w:tc>
                <w:tcPr>
                  <w:tcW w:w="0" w:type="auto"/>
                  <w:vAlign w:val="bottom"/>
                </w:tcPr>
                <w:p>
                  <w:pPr>
                    <w:spacing w:line="276" w:lineRule="auto"/>
                    <w:jc w:val="center"/>
                    <w:rPr>
                      <w:color w:val="00B0F0"/>
                      <w:sz w:val="18"/>
                      <w:szCs w:val="18"/>
                    </w:rPr>
                  </w:pPr>
                  <w:r>
                    <w:rPr>
                      <w:color w:val="00B0F0"/>
                      <w:sz w:val="18"/>
                      <w:szCs w:val="18"/>
                    </w:rPr>
                    <w:t>8.49%</w:t>
                  </w:r>
                </w:p>
              </w:tc>
              <w:tc>
                <w:tcPr>
                  <w:tcW w:w="0" w:type="auto"/>
                  <w:vAlign w:val="bottom"/>
                </w:tcPr>
                <w:p>
                  <w:pPr>
                    <w:spacing w:line="276" w:lineRule="auto"/>
                    <w:jc w:val="center"/>
                    <w:rPr>
                      <w:color w:val="00B0F0"/>
                      <w:sz w:val="18"/>
                      <w:szCs w:val="18"/>
                    </w:rPr>
                  </w:pPr>
                  <w:r>
                    <w:rPr>
                      <w:color w:val="00B0F0"/>
                      <w:sz w:val="18"/>
                      <w:szCs w:val="18"/>
                    </w:rPr>
                    <w:t>7.18%</w:t>
                  </w:r>
                </w:p>
              </w:tc>
              <w:tc>
                <w:tcPr>
                  <w:tcW w:w="0" w:type="auto"/>
                  <w:vAlign w:val="bottom"/>
                </w:tcPr>
                <w:p>
                  <w:pPr>
                    <w:spacing w:line="276" w:lineRule="auto"/>
                    <w:jc w:val="center"/>
                    <w:rPr>
                      <w:color w:val="00B0F0"/>
                      <w:sz w:val="18"/>
                      <w:szCs w:val="18"/>
                    </w:rPr>
                  </w:pPr>
                  <w:r>
                    <w:rPr>
                      <w:color w:val="00B0F0"/>
                      <w:sz w:val="18"/>
                      <w:szCs w:val="18"/>
                    </w:rPr>
                    <w:t>3.22%</w:t>
                  </w:r>
                </w:p>
              </w:tc>
              <w:tc>
                <w:tcPr>
                  <w:tcW w:w="0" w:type="auto"/>
                  <w:vAlign w:val="bottom"/>
                </w:tcPr>
                <w:p>
                  <w:pPr>
                    <w:spacing w:line="276" w:lineRule="auto"/>
                    <w:jc w:val="center"/>
                    <w:rPr>
                      <w:color w:val="00B0F0"/>
                      <w:sz w:val="18"/>
                      <w:szCs w:val="18"/>
                    </w:rPr>
                  </w:pPr>
                  <w:r>
                    <w:rPr>
                      <w:color w:val="00B0F0"/>
                      <w:sz w:val="18"/>
                      <w:szCs w:val="18"/>
                    </w:rPr>
                    <w:t>-0.06%</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-0.36%</w:t>
                  </w:r>
                </w:p>
              </w:tc>
            </w:tr>
          </w:tbl>
          <w:p>
            <w:pPr>
              <w:widowControl w:val="0"/>
              <w:rPr>
                <w:lang w:val="en-GB"/>
              </w:rPr>
            </w:pPr>
          </w:p>
          <w:p>
            <w:pPr>
              <w:widowControl w:val="0"/>
              <w:jc w:val="center"/>
              <w:rPr>
                <w:lang w:val="en-GB"/>
              </w:rPr>
            </w:pPr>
            <w: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1"/>
              <w:widowControl w:val="0"/>
            </w:pPr>
            <w:bookmarkStart w:id="90" w:name="_Ref101793169"/>
            <w:r>
              <w:t xml:space="preserve">Figure </w:t>
            </w:r>
            <w:r>
              <w:fldChar w:fldCharType="begin"/>
            </w:r>
            <w:r>
              <w:instrText xml:space="preserve"> SEQ Figure \* ARABIC </w:instrText>
            </w:r>
            <w:r>
              <w:fldChar w:fldCharType="separate"/>
            </w:r>
            <w:r>
              <w:t>2</w:t>
            </w:r>
            <w:r>
              <w:fldChar w:fldCharType="end"/>
            </w:r>
            <w:bookmarkEnd w:id="90"/>
            <w:r>
              <w:t xml:space="preserve">. </w:t>
            </w:r>
            <w:bookmarkStart w:id="91" w:name="OLE_LINK20"/>
            <w:bookmarkStart w:id="92" w:name="OLE_LINK19"/>
            <w:r>
              <w:t>SLS result curves for baseline and energy saving scheme</w:t>
            </w:r>
            <w:bookmarkEnd w:id="91"/>
            <w:bookmarkEnd w:id="92"/>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3: OPPO</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line="252" w:lineRule="auto"/>
              <w:jc w:val="center"/>
              <w:rPr>
                <w:rFonts w:eastAsiaTheme="minorEastAsia"/>
              </w:rPr>
            </w:pPr>
            <w:r>
              <w:rPr>
                <w:rFonts w:eastAsiaTheme="minorEastAsia"/>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pPr>
              <w:widowControl w:val="0"/>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rPr>
                <w:b/>
                <w:bCs/>
                <w:sz w:val="18"/>
              </w:rPr>
            </w:pPr>
          </w:p>
          <w:p>
            <w:pPr>
              <w:widowControl w:val="0"/>
              <w:spacing w:line="252" w:lineRule="auto"/>
              <w:jc w:val="center"/>
              <w:rPr>
                <w:rFonts w:eastAsiaTheme="minorEastAsia"/>
              </w:rPr>
            </w:pPr>
            <w:r>
              <w:rPr>
                <w:rFonts w:eastAsiaTheme="minorEastAsia"/>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widowControl w:val="0"/>
              <w:spacing w:line="252" w:lineRule="auto"/>
              <w:jc w:val="center"/>
              <w:rPr>
                <w:rFonts w:eastAsiaTheme="minorEastAsia"/>
              </w:rPr>
            </w:pPr>
            <w:r>
              <w:rPr>
                <w:rFonts w:eastAsiaTheme="minorEastAsia"/>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pPr>
              <w:widowControl w:val="0"/>
              <w:spacing w:line="252" w:lineRule="auto"/>
              <w:jc w:val="center"/>
              <w:rPr>
                <w:rFonts w:eastAsiaTheme="minorEastAsia"/>
              </w:rPr>
            </w:pPr>
            <w:r>
              <w:rPr>
                <w:rFonts w:eastAsiaTheme="minorEastAsia"/>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w:t>
            </w:r>
            <w:r>
              <w:rPr>
                <w:rFonts w:hint="eastAsia" w:eastAsia="等线"/>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4: CATT</w:t>
      </w:r>
    </w:p>
    <w:p>
      <w:r>
        <w:t xml:space="preserve">(Additionally, CATT has more results submitted also in </w:t>
      </w:r>
      <w:r>
        <w:fldChar w:fldCharType="begin"/>
      </w:r>
      <w:r>
        <w:instrText xml:space="preserve"> HYPERLINK "https://www.3gpp.org/ftp/TSG_RAN/WG1_RL1/TSGR1_110b-e/Docs/R1-2208988.zip" </w:instrText>
      </w:r>
      <w:r>
        <w:fldChar w:fldCharType="separate"/>
      </w:r>
      <w:r>
        <w:rPr>
          <w:rStyle w:val="30"/>
          <w:lang w:eastAsia="zh-CN"/>
        </w:rPr>
        <w:t>R1-2208988</w:t>
      </w:r>
      <w:r>
        <w:rPr>
          <w:rStyle w:val="30"/>
          <w:lang w:eastAsia="zh-CN"/>
        </w:rPr>
        <w:fldChar w:fldCharType="end"/>
      </w:r>
      <w:r>
        <w:rPr>
          <w:lang w:eastAsia="zh-CN"/>
        </w:rPr>
        <w:t xml:space="preserve"> in AI 9.7.2</w:t>
      </w:r>
      <w:r>
        <w:t>)</w:t>
      </w:r>
    </w:p>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5" w:hRule="atLeast"/>
        </w:trPr>
        <w:tc>
          <w:tcPr>
            <w:tcW w:w="9634" w:type="dxa"/>
            <w:gridSpan w:val="2"/>
          </w:tcPr>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Pr>
                <w:b w:val="0"/>
                <w:u w:val="single"/>
              </w:rPr>
              <w:t>Reduction in the transmission of common control channel/signal in time domain</w:t>
            </w:r>
          </w:p>
          <w:p>
            <w:pPr>
              <w:pStyle w:val="11"/>
              <w:widowControl w:val="0"/>
            </w:pPr>
            <w:r>
              <w:t xml:space="preserve">Table </w:t>
            </w:r>
            <w:r>
              <w:fldChar w:fldCharType="begin"/>
            </w:r>
            <w:r>
              <w:instrText xml:space="preserve"> SEQ Table \* ARABIC </w:instrText>
            </w:r>
            <w:r>
              <w:fldChar w:fldCharType="separate"/>
            </w:r>
            <w:r>
              <w:t>3</w:t>
            </w:r>
            <w:r>
              <w:fldChar w:fldCharType="end"/>
            </w:r>
            <w:bookmarkEnd w:id="93"/>
            <w:r>
              <w:rPr>
                <w:rFonts w:hint="eastAsia"/>
              </w:rPr>
              <w:t xml:space="preserve">: </w:t>
            </w:r>
            <w:r>
              <w:t>Energy</w:t>
            </w:r>
            <w:r>
              <w:rPr>
                <w:rFonts w:hint="eastAsia"/>
              </w:rPr>
              <w:t xml:space="preserve"> saving gain of </w:t>
            </w:r>
            <w:r>
              <w:t>increasing</w:t>
            </w:r>
            <w:r>
              <w:rPr>
                <w:rFonts w:hint="eastAsia"/>
              </w:rPr>
              <w:t xml:space="preserve"> </w:t>
            </w:r>
            <w:r>
              <w:rPr>
                <w:rFonts w:hint="eastAsia" w:eastAsiaTheme="minorEastAsia"/>
              </w:rPr>
              <w:t>common control channel</w:t>
            </w:r>
            <w:r>
              <w:t xml:space="preserve"> </w:t>
            </w:r>
            <w:r>
              <w:rPr>
                <w:rFonts w:hint="eastAsia"/>
              </w:rPr>
              <w:t>period</w:t>
            </w:r>
            <w:r>
              <w:t>icity</w:t>
            </w:r>
            <w:r>
              <w:rPr>
                <w:rFonts w:hint="eastAsia"/>
              </w:rPr>
              <w:t xml:space="preserve"> with different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546"/>
              <w:gridCol w:w="1599"/>
              <w:gridCol w:w="1439"/>
              <w:gridCol w:w="156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p>
              </w:tc>
              <w:tc>
                <w:tcPr>
                  <w:tcW w:w="1546" w:type="dxa"/>
                  <w:vMerge w:val="restart"/>
                </w:tcPr>
                <w:p>
                  <w:pPr>
                    <w:widowControl w:val="0"/>
                  </w:pPr>
                  <w:r>
                    <w:rPr>
                      <w:rFonts w:hint="eastAsia"/>
                    </w:rPr>
                    <w:t>SSB/SIB transmission periodicity</w:t>
                  </w:r>
                </w:p>
              </w:tc>
              <w:tc>
                <w:tcPr>
                  <w:tcW w:w="6509" w:type="dxa"/>
                  <w:gridSpan w:val="4"/>
                </w:tcPr>
                <w:p>
                  <w:pPr>
                    <w:widowControl w:val="0"/>
                    <w:ind w:firstLine="2300" w:firstLineChars="1150"/>
                    <w:rPr>
                      <w:b/>
                    </w:rPr>
                  </w:pPr>
                  <w:r>
                    <w:rPr>
                      <w:rFonts w:hint="eastAsia"/>
                    </w:rPr>
                    <w:t>System loads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pPr>
                </w:p>
              </w:tc>
              <w:tc>
                <w:tcPr>
                  <w:tcW w:w="1546" w:type="dxa"/>
                  <w:vMerge w:val="continue"/>
                </w:tcPr>
                <w:p>
                  <w:pPr>
                    <w:widowControl w:val="0"/>
                    <w:rPr>
                      <w:b/>
                    </w:rPr>
                  </w:pPr>
                </w:p>
              </w:tc>
              <w:tc>
                <w:tcPr>
                  <w:tcW w:w="1599" w:type="dxa"/>
                </w:tcPr>
                <w:p>
                  <w:pPr>
                    <w:widowControl w:val="0"/>
                    <w:rPr>
                      <w:b/>
                    </w:rPr>
                  </w:pPr>
                  <w:r>
                    <w:rPr>
                      <w:rFonts w:hint="eastAsia"/>
                      <w:b/>
                    </w:rPr>
                    <w:t>Zero</w:t>
                  </w:r>
                </w:p>
              </w:tc>
              <w:tc>
                <w:tcPr>
                  <w:tcW w:w="1439" w:type="dxa"/>
                </w:tcPr>
                <w:p>
                  <w:pPr>
                    <w:widowControl w:val="0"/>
                    <w:rPr>
                      <w:b/>
                    </w:rPr>
                  </w:pPr>
                  <w:r>
                    <w:rPr>
                      <w:rFonts w:hint="eastAsia"/>
                      <w:b/>
                    </w:rPr>
                    <w:t>9%(low)</w:t>
                  </w:r>
                </w:p>
              </w:tc>
              <w:tc>
                <w:tcPr>
                  <w:tcW w:w="1569" w:type="dxa"/>
                </w:tcPr>
                <w:p>
                  <w:pPr>
                    <w:widowControl w:val="0"/>
                    <w:ind w:firstLine="100" w:firstLineChars="50"/>
                    <w:rPr>
                      <w:b/>
                    </w:rPr>
                  </w:pPr>
                  <w:r>
                    <w:rPr>
                      <w:rFonts w:hint="eastAsia"/>
                      <w:b/>
                    </w:rPr>
                    <w:t>15%(light)</w:t>
                  </w:r>
                </w:p>
              </w:tc>
              <w:tc>
                <w:tcPr>
                  <w:tcW w:w="1902" w:type="dxa"/>
                </w:tcPr>
                <w:p>
                  <w:pPr>
                    <w:widowControl w:val="0"/>
                    <w:rPr>
                      <w:b/>
                    </w:rPr>
                  </w:pPr>
                  <w:r>
                    <w:rPr>
                      <w:rFonts w:hint="eastAsia"/>
                      <w:b/>
                    </w:rPr>
                    <w:t>30%(Medium)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r>
                    <w:rPr>
                      <w:rFonts w:hint="eastAsia"/>
                    </w:rPr>
                    <w:t>Energy saving gain</w:t>
                  </w:r>
                </w:p>
              </w:tc>
              <w:tc>
                <w:tcPr>
                  <w:tcW w:w="1546" w:type="dxa"/>
                </w:tcPr>
                <w:p>
                  <w:pPr>
                    <w:widowControl w:val="0"/>
                  </w:pPr>
                  <w:r>
                    <w:rPr>
                      <w:rFonts w:hint="eastAsia"/>
                    </w:rPr>
                    <w:t>20ms</w:t>
                  </w:r>
                  <w:r>
                    <w:t>(baseline)</w:t>
                  </w:r>
                </w:p>
              </w:tc>
              <w:tc>
                <w:tcPr>
                  <w:tcW w:w="1599" w:type="dxa"/>
                </w:tcPr>
                <w:p>
                  <w:pPr>
                    <w:widowControl w:val="0"/>
                  </w:pPr>
                  <w:r>
                    <w:rPr>
                      <w:rFonts w:hint="eastAsia"/>
                    </w:rPr>
                    <w:t>-</w:t>
                  </w:r>
                </w:p>
              </w:tc>
              <w:tc>
                <w:tcPr>
                  <w:tcW w:w="1439" w:type="dxa"/>
                </w:tcPr>
                <w:p>
                  <w:pPr>
                    <w:widowControl w:val="0"/>
                  </w:pPr>
                  <w:r>
                    <w:rPr>
                      <w:rFonts w:hint="eastAsia"/>
                    </w:rPr>
                    <w:t>-</w:t>
                  </w:r>
                </w:p>
              </w:tc>
              <w:tc>
                <w:tcPr>
                  <w:tcW w:w="1569" w:type="dxa"/>
                </w:tcPr>
                <w:p>
                  <w:pPr>
                    <w:widowControl w:val="0"/>
                  </w:pPr>
                  <w:r>
                    <w:rPr>
                      <w:rFonts w:hint="eastAsia"/>
                    </w:rPr>
                    <w:t>-</w:t>
                  </w:r>
                </w:p>
              </w:tc>
              <w:tc>
                <w:tcPr>
                  <w:tcW w:w="1902" w:type="dxa"/>
                </w:tcPr>
                <w:p>
                  <w:pPr>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40ms</w:t>
                  </w:r>
                </w:p>
              </w:tc>
              <w:tc>
                <w:tcPr>
                  <w:tcW w:w="1599" w:type="dxa"/>
                </w:tcPr>
                <w:p>
                  <w:pPr>
                    <w:widowControl w:val="0"/>
                  </w:pPr>
                  <w:r>
                    <w:rPr>
                      <w:rFonts w:hint="eastAsia"/>
                    </w:rPr>
                    <w:t>18.8%</w:t>
                  </w:r>
                </w:p>
              </w:tc>
              <w:tc>
                <w:tcPr>
                  <w:tcW w:w="1439" w:type="dxa"/>
                </w:tcPr>
                <w:p>
                  <w:pPr>
                    <w:widowControl w:val="0"/>
                  </w:pPr>
                  <w:r>
                    <w:rPr>
                      <w:rFonts w:hint="eastAsia"/>
                    </w:rPr>
                    <w:t>9.0%</w:t>
                  </w:r>
                </w:p>
              </w:tc>
              <w:tc>
                <w:tcPr>
                  <w:tcW w:w="1569" w:type="dxa"/>
                </w:tcPr>
                <w:p>
                  <w:pPr>
                    <w:widowControl w:val="0"/>
                  </w:pPr>
                  <w:r>
                    <w:rPr>
                      <w:rFonts w:hint="eastAsia"/>
                    </w:rPr>
                    <w:t>6.5%</w:t>
                  </w:r>
                </w:p>
              </w:tc>
              <w:tc>
                <w:tcPr>
                  <w:tcW w:w="1902" w:type="dxa"/>
                </w:tcPr>
                <w:p>
                  <w:pPr>
                    <w:widowControl w:val="0"/>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80ms</w:t>
                  </w:r>
                </w:p>
              </w:tc>
              <w:tc>
                <w:tcPr>
                  <w:tcW w:w="1599" w:type="dxa"/>
                </w:tcPr>
                <w:p>
                  <w:pPr>
                    <w:widowControl w:val="0"/>
                  </w:pPr>
                  <w:r>
                    <w:t>67.7%</w:t>
                  </w:r>
                </w:p>
              </w:tc>
              <w:tc>
                <w:tcPr>
                  <w:tcW w:w="1439" w:type="dxa"/>
                </w:tcPr>
                <w:p>
                  <w:pPr>
                    <w:widowControl w:val="0"/>
                  </w:pPr>
                  <w:r>
                    <w:rPr>
                      <w:rFonts w:hint="eastAsia"/>
                    </w:rPr>
                    <w:t>24.9%</w:t>
                  </w:r>
                </w:p>
              </w:tc>
              <w:tc>
                <w:tcPr>
                  <w:tcW w:w="1569" w:type="dxa"/>
                </w:tcPr>
                <w:p>
                  <w:pPr>
                    <w:widowControl w:val="0"/>
                  </w:pPr>
                  <w:r>
                    <w:rPr>
                      <w:rFonts w:hint="eastAsia"/>
                    </w:rPr>
                    <w:t>12.3%</w:t>
                  </w:r>
                </w:p>
              </w:tc>
              <w:tc>
                <w:tcPr>
                  <w:tcW w:w="1902" w:type="dxa"/>
                </w:tcPr>
                <w:p>
                  <w:pPr>
                    <w:widowControl w:val="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160ms</w:t>
                  </w:r>
                </w:p>
              </w:tc>
              <w:tc>
                <w:tcPr>
                  <w:tcW w:w="1599" w:type="dxa"/>
                </w:tcPr>
                <w:p>
                  <w:pPr>
                    <w:widowControl w:val="0"/>
                  </w:pPr>
                  <w:r>
                    <w:t>82.6%</w:t>
                  </w:r>
                </w:p>
              </w:tc>
              <w:tc>
                <w:tcPr>
                  <w:tcW w:w="1439" w:type="dxa"/>
                </w:tcPr>
                <w:p>
                  <w:pPr>
                    <w:widowControl w:val="0"/>
                  </w:pPr>
                  <w:r>
                    <w:rPr>
                      <w:rFonts w:hint="eastAsia"/>
                    </w:rPr>
                    <w:t>27.1%</w:t>
                  </w:r>
                </w:p>
              </w:tc>
              <w:tc>
                <w:tcPr>
                  <w:tcW w:w="1569" w:type="dxa"/>
                </w:tcPr>
                <w:p>
                  <w:pPr>
                    <w:widowControl w:val="0"/>
                  </w:pPr>
                  <w:r>
                    <w:rPr>
                      <w:rFonts w:hint="eastAsia"/>
                    </w:rPr>
                    <w:t>14.0%</w:t>
                  </w:r>
                </w:p>
              </w:tc>
              <w:tc>
                <w:tcPr>
                  <w:tcW w:w="1902" w:type="dxa"/>
                </w:tcPr>
                <w:p>
                  <w:pPr>
                    <w:widowControl w:val="0"/>
                  </w:pPr>
                  <w:r>
                    <w:rPr>
                      <w:rFonts w:hint="eastAsi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6"/>
                </w:tcPr>
                <w:p>
                  <w:pPr>
                    <w:widowControl w:val="0"/>
                  </w:pPr>
                  <w:r>
                    <w:rPr>
                      <w:rFonts w:hint="eastAsia"/>
                    </w:rPr>
                    <w:t xml:space="preserve">Note: </w:t>
                  </w:r>
                </w:p>
                <w:p>
                  <w:pPr>
                    <w:widowControl w:val="0"/>
                  </w:pPr>
                  <w:r>
                    <w:t>a) Category 1 power model is applied.</w:t>
                  </w:r>
                </w:p>
                <w:p>
                  <w:pPr>
                    <w:widowControl w:val="0"/>
                  </w:pPr>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pPr>
                    <w:widowControl w:val="0"/>
                  </w:pPr>
                  <w:r>
                    <w:t>c) For number of beam sweeping L=4, i.e., 4 SSB within one SSB burst for FR1</w:t>
                  </w:r>
                  <w:r>
                    <w:rPr>
                      <w:rFonts w:hint="eastAsia"/>
                    </w:rPr>
                    <w:t>.</w:t>
                  </w:r>
                </w:p>
              </w:tc>
            </w:tr>
          </w:tbl>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pPr>
              <w:pStyle w:val="11"/>
              <w:widowControl w:val="0"/>
              <w:rPr>
                <w:rFonts w:eastAsiaTheme="minorEastAsia"/>
              </w:rPr>
            </w:pPr>
            <w:bookmarkStart w:id="94" w:name="_Ref115196395"/>
            <w:r>
              <w:t xml:space="preserve">Table </w:t>
            </w:r>
            <w:r>
              <w:fldChar w:fldCharType="begin"/>
            </w:r>
            <w:r>
              <w:instrText xml:space="preserve"> SEQ Table \* ARABIC </w:instrText>
            </w:r>
            <w:r>
              <w:fldChar w:fldCharType="separate"/>
            </w:r>
            <w:r>
              <w:t>4</w:t>
            </w:r>
            <w:r>
              <w:fldChar w:fldCharType="end"/>
            </w:r>
            <w:bookmarkEnd w:id="94"/>
            <w:r>
              <w:rPr>
                <w:rFonts w:hint="eastAsia" w:eastAsia="Times New Roman"/>
              </w:rPr>
              <w:t xml:space="preserve">: The energy saving </w:t>
            </w:r>
            <w:r>
              <w:rPr>
                <w:rFonts w:eastAsia="Times New Roman"/>
              </w:rPr>
              <w:t>gain (</w:t>
            </w:r>
            <w:r>
              <w:rPr>
                <w:rFonts w:hint="eastAsia" w:eastAsia="Times New Roman"/>
              </w:rPr>
              <w:t>ESG) of the gNB DTX transmission</w:t>
            </w:r>
            <w:r>
              <w:rPr>
                <w:rFonts w:hint="eastAsia" w:eastAsiaTheme="minorEastAsia"/>
              </w:rPr>
              <w:t xml:space="preserve"> under </w:t>
            </w:r>
            <w:r>
              <w:rPr>
                <w:rFonts w:eastAsiaTheme="minorEastAsia"/>
              </w:rPr>
              <w:t>different</w:t>
            </w:r>
            <w:r>
              <w:rPr>
                <w:rFonts w:hint="eastAsia" w:eastAsiaTheme="minorEastAsia"/>
              </w:rPr>
              <w:t xml:space="preserve"> system loads</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401"/>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4" w:type="pct"/>
                </w:tcPr>
                <w:p>
                  <w:pPr>
                    <w:widowControl w:val="0"/>
                    <w:spacing w:before="120" w:beforeLines="50"/>
                    <w:jc w:val="center"/>
                    <w:rPr>
                      <w:rFonts w:eastAsiaTheme="minorEastAsia"/>
                      <w:bCs/>
                      <w:iCs/>
                    </w:rPr>
                  </w:pPr>
                </w:p>
              </w:tc>
              <w:tc>
                <w:tcPr>
                  <w:tcW w:w="1276" w:type="pct"/>
                </w:tcPr>
                <w:p>
                  <w:pPr>
                    <w:widowControl w:val="0"/>
                    <w:spacing w:before="120" w:beforeLines="50"/>
                    <w:jc w:val="center"/>
                    <w:rPr>
                      <w:bCs/>
                      <w:iCs/>
                    </w:rPr>
                  </w:pPr>
                  <w:r>
                    <w:rPr>
                      <w:rFonts w:hint="eastAsia" w:eastAsiaTheme="minorEastAsia"/>
                      <w:bCs/>
                      <w:iCs/>
                    </w:rPr>
                    <w:t>System load</w:t>
                  </w:r>
                  <w:r>
                    <w:rPr>
                      <w:bCs/>
                      <w:iCs/>
                    </w:rPr>
                    <w:t xml:space="preserve"> = 9%</w:t>
                  </w:r>
                </w:p>
              </w:tc>
              <w:tc>
                <w:tcPr>
                  <w:tcW w:w="1185" w:type="pct"/>
                </w:tcPr>
                <w:p>
                  <w:pPr>
                    <w:widowControl w:val="0"/>
                    <w:spacing w:before="120" w:beforeLines="50"/>
                    <w:jc w:val="center"/>
                    <w:rPr>
                      <w:bCs/>
                      <w:iCs/>
                    </w:rPr>
                  </w:pPr>
                  <w:r>
                    <w:rPr>
                      <w:rFonts w:hint="eastAsia" w:eastAsiaTheme="minorEastAsia"/>
                      <w:bCs/>
                      <w:iCs/>
                    </w:rPr>
                    <w:t>S</w:t>
                  </w:r>
                  <w:r>
                    <w:rPr>
                      <w:rFonts w:hint="eastAsia"/>
                      <w:bCs/>
                      <w:iCs/>
                    </w:rPr>
                    <w:t>ystem load</w:t>
                  </w:r>
                  <w:r>
                    <w:rPr>
                      <w:bCs/>
                      <w:iCs/>
                    </w:rPr>
                    <w:t xml:space="preserve"> = </w:t>
                  </w:r>
                  <w:r>
                    <w:rPr>
                      <w:rFonts w:hint="eastAsia" w:eastAsiaTheme="minorEastAsia"/>
                      <w:bCs/>
                      <w:iCs/>
                    </w:rPr>
                    <w:t>15</w:t>
                  </w:r>
                  <w:r>
                    <w:rPr>
                      <w:bCs/>
                      <w:iCs/>
                    </w:rPr>
                    <w:t>%</w:t>
                  </w:r>
                </w:p>
              </w:tc>
              <w:tc>
                <w:tcPr>
                  <w:tcW w:w="1185" w:type="pct"/>
                </w:tcPr>
                <w:p>
                  <w:pPr>
                    <w:widowControl w:val="0"/>
                    <w:spacing w:before="120" w:beforeLines="50"/>
                    <w:jc w:val="center"/>
                    <w:rPr>
                      <w:bCs/>
                      <w:iCs/>
                    </w:rPr>
                  </w:pPr>
                  <w:r>
                    <w:rPr>
                      <w:rFonts w:hint="eastAsia" w:eastAsiaTheme="minorEastAsia"/>
                      <w:bCs/>
                      <w:iCs/>
                    </w:rPr>
                    <w:t>System load</w:t>
                  </w:r>
                  <w:r>
                    <w:rPr>
                      <w:bCs/>
                      <w:iCs/>
                    </w:rPr>
                    <w:t xml:space="preserve"> = </w:t>
                  </w:r>
                  <w:r>
                    <w:rPr>
                      <w:rFonts w:hint="eastAsia" w:eastAsiaTheme="minorEastAsia"/>
                      <w:bCs/>
                      <w:iCs/>
                    </w:rPr>
                    <w:t>30</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4" w:type="pct"/>
                </w:tcPr>
                <w:p>
                  <w:pPr>
                    <w:widowControl w:val="0"/>
                    <w:spacing w:before="120" w:beforeLines="50"/>
                    <w:jc w:val="center"/>
                    <w:rPr>
                      <w:bCs/>
                      <w:iCs/>
                    </w:rPr>
                  </w:pPr>
                  <w:r>
                    <w:rPr>
                      <w:bCs/>
                      <w:iCs/>
                    </w:rPr>
                    <w:t>Average ESG of</w:t>
                  </w:r>
                  <w:r>
                    <w:rPr>
                      <w:rFonts w:hint="eastAsia" w:eastAsiaTheme="minorEastAsia"/>
                      <w:bCs/>
                      <w:iCs/>
                    </w:rPr>
                    <w:t xml:space="preserve"> gNB DTX/DRX</w:t>
                  </w:r>
                </w:p>
              </w:tc>
              <w:tc>
                <w:tcPr>
                  <w:tcW w:w="1276" w:type="pct"/>
                </w:tcPr>
                <w:p>
                  <w:pPr>
                    <w:widowControl w:val="0"/>
                    <w:spacing w:before="120" w:beforeLines="50"/>
                    <w:jc w:val="center"/>
                    <w:rPr>
                      <w:bCs/>
                      <w:iCs/>
                    </w:rPr>
                  </w:pPr>
                  <w:r>
                    <w:rPr>
                      <w:rFonts w:hint="eastAsia" w:eastAsiaTheme="minorEastAsia"/>
                    </w:rPr>
                    <w:t>75.3%</w:t>
                  </w:r>
                </w:p>
              </w:tc>
              <w:tc>
                <w:tcPr>
                  <w:tcW w:w="1185" w:type="pct"/>
                </w:tcPr>
                <w:p>
                  <w:pPr>
                    <w:widowControl w:val="0"/>
                    <w:spacing w:before="120" w:beforeLines="50"/>
                    <w:jc w:val="center"/>
                    <w:rPr>
                      <w:rFonts w:eastAsiaTheme="minorEastAsia"/>
                      <w:bCs/>
                      <w:iCs/>
                    </w:rPr>
                  </w:pPr>
                  <w:r>
                    <w:rPr>
                      <w:rFonts w:hint="eastAsia" w:eastAsiaTheme="minorEastAsia"/>
                    </w:rPr>
                    <w:t>66.1%</w:t>
                  </w:r>
                </w:p>
              </w:tc>
              <w:tc>
                <w:tcPr>
                  <w:tcW w:w="1185" w:type="pct"/>
                </w:tcPr>
                <w:p>
                  <w:pPr>
                    <w:widowControl w:val="0"/>
                    <w:spacing w:before="120" w:beforeLines="50"/>
                    <w:jc w:val="center"/>
                    <w:rPr>
                      <w:bCs/>
                      <w:iCs/>
                    </w:rPr>
                  </w:pPr>
                  <w:r>
                    <w:rPr>
                      <w:rFonts w:hint="eastAsia" w:eastAsiaTheme="minorEastAsia"/>
                    </w:rPr>
                    <w:t>50.1%</w:t>
                  </w:r>
                </w:p>
              </w:tc>
            </w:tr>
          </w:tbl>
          <w:p>
            <w:pPr>
              <w:widowControl w:val="0"/>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pPr>
              <w:pStyle w:val="11"/>
              <w:widowControl w:val="0"/>
              <w:rPr>
                <w:rFonts w:eastAsiaTheme="minorEastAsia"/>
                <w:iCs/>
                <w:kern w:val="2"/>
              </w:rPr>
            </w:pPr>
            <w:bookmarkStart w:id="9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5"/>
            <w:r>
              <w:rPr>
                <w:rFonts w:hint="eastAsia" w:eastAsia="Times New Roman"/>
              </w:rPr>
              <w:t xml:space="preserve">: The energy saving </w:t>
            </w:r>
            <w:r>
              <w:rPr>
                <w:rFonts w:eastAsia="Times New Roman"/>
              </w:rPr>
              <w:t>gain (</w:t>
            </w:r>
            <w:r>
              <w:rPr>
                <w:rFonts w:hint="eastAsia" w:eastAsia="Times New Roman"/>
              </w:rPr>
              <w:t xml:space="preserve">ESG) of </w:t>
            </w:r>
            <w:r>
              <w:rPr>
                <w:rFonts w:eastAsia="Times New Roman"/>
              </w:rPr>
              <w:t>semi-static/dynamic cell ON/OFF</w:t>
            </w:r>
            <w:r>
              <w:rPr>
                <w:rFonts w:hint="eastAsia" w:eastAsia="Times New Roman"/>
              </w:rPr>
              <w:t xml:space="preserve"> </w:t>
            </w:r>
          </w:p>
          <w:tbl>
            <w:tblPr>
              <w:tblStyle w:val="27"/>
              <w:tblW w:w="6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p>
              </w:tc>
              <w:tc>
                <w:tcPr>
                  <w:tcW w:w="2321" w:type="dxa"/>
                </w:tcPr>
                <w:p>
                  <w:pPr>
                    <w:pStyle w:val="16"/>
                    <w:widowControl w:val="0"/>
                    <w:rPr>
                      <w:rFonts w:eastAsiaTheme="minorEastAsia"/>
                      <w:iCs/>
                      <w:kern w:val="2"/>
                    </w:rPr>
                  </w:pPr>
                  <w:r>
                    <w:rPr>
                      <w:rFonts w:eastAsiaTheme="minorEastAsia"/>
                      <w:iCs/>
                      <w:kern w:val="2"/>
                    </w:rPr>
                    <w:t xml:space="preserve">Percentage of </w:t>
                  </w:r>
                  <w:r>
                    <w:rPr>
                      <w:rFonts w:hint="eastAsia" w:eastAsiaTheme="minorEastAsia"/>
                      <w:iCs/>
                      <w:kern w:val="2"/>
                    </w:rPr>
                    <w:t xml:space="preserve">Cell </w:t>
                  </w:r>
                  <w:r>
                    <w:rPr>
                      <w:rFonts w:eastAsiaTheme="minorEastAsia"/>
                      <w:iCs/>
                      <w:kern w:val="2"/>
                    </w:rPr>
                    <w:t>ON</w:t>
                  </w:r>
                  <w:r>
                    <w:rPr>
                      <w:rFonts w:hint="eastAsia" w:eastAsiaTheme="minorEastAsia"/>
                      <w:iCs/>
                      <w:kern w:val="2"/>
                    </w:rPr>
                    <w:t xml:space="preserve"> </w:t>
                  </w:r>
                </w:p>
              </w:tc>
              <w:tc>
                <w:tcPr>
                  <w:tcW w:w="2321" w:type="dxa"/>
                </w:tcPr>
                <w:p>
                  <w:pPr>
                    <w:pStyle w:val="16"/>
                    <w:widowControl w:val="0"/>
                    <w:jc w:val="left"/>
                    <w:rPr>
                      <w:rFonts w:eastAsiaTheme="minorEastAsia"/>
                      <w:iCs/>
                      <w:kern w:val="2"/>
                    </w:rPr>
                  </w:pPr>
                  <w:r>
                    <w:rPr>
                      <w:rFonts w:eastAsiaTheme="minorEastAsia"/>
                      <w:iCs/>
                      <w:kern w:val="2"/>
                    </w:rPr>
                    <w:t xml:space="preserve">Network Energy Saving gain of Cell </w:t>
                  </w:r>
                  <w:r>
                    <w:rPr>
                      <w:rFonts w:hint="eastAsia" w:eastAsiaTheme="minorEastAsia"/>
                      <w:iCs/>
                      <w:kern w:val="2"/>
                    </w:rPr>
                    <w:t>ON/OFF</w:t>
                  </w:r>
                  <w:r>
                    <w:rPr>
                      <w:rFonts w:eastAsiaTheme="minorEastAsia"/>
                      <w:iCs/>
                      <w:kern w:val="2"/>
                    </w:rPr>
                    <w:t xml:space="preserve">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without DTX</w:t>
                  </w:r>
                </w:p>
              </w:tc>
              <w:tc>
                <w:tcPr>
                  <w:tcW w:w="2321" w:type="dxa"/>
                </w:tcPr>
                <w:p>
                  <w:pPr>
                    <w:pStyle w:val="16"/>
                    <w:widowControl w:val="0"/>
                    <w:rPr>
                      <w:rFonts w:eastAsiaTheme="minorEastAsia"/>
                      <w:iCs/>
                      <w:kern w:val="2"/>
                    </w:rPr>
                  </w:pPr>
                  <w:r>
                    <w:rPr>
                      <w:rFonts w:eastAsiaTheme="minorEastAsia"/>
                      <w:iCs/>
                      <w:kern w:val="2"/>
                    </w:rPr>
                    <w:t>63.1%</w:t>
                  </w:r>
                </w:p>
              </w:tc>
              <w:tc>
                <w:tcPr>
                  <w:tcW w:w="2321" w:type="dxa"/>
                </w:tcPr>
                <w:p>
                  <w:pPr>
                    <w:pStyle w:val="16"/>
                    <w:widowControl w:val="0"/>
                    <w:rPr>
                      <w:rFonts w:eastAsiaTheme="minorEastAsia"/>
                      <w:iCs/>
                      <w:kern w:val="2"/>
                    </w:rPr>
                  </w:pPr>
                  <w:r>
                    <w:rPr>
                      <w:rFonts w:eastAsiaTheme="minorEastAsia"/>
                      <w:iCs/>
                      <w:kern w:val="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6"/>
                    <w:widowControl w:val="0"/>
                    <w:rPr>
                      <w:rFonts w:eastAsiaTheme="minorEastAsia"/>
                      <w:iCs/>
                      <w:kern w:val="2"/>
                    </w:rPr>
                  </w:pPr>
                  <w:r>
                    <w:rPr>
                      <w:rFonts w:hint="eastAsia" w:eastAsiaTheme="minorEastAsia"/>
                      <w:iCs/>
                      <w:kern w:val="2"/>
                    </w:rPr>
                    <w:t>Cell with DTX</w:t>
                  </w:r>
                </w:p>
              </w:tc>
              <w:tc>
                <w:tcPr>
                  <w:tcW w:w="2321" w:type="dxa"/>
                </w:tcPr>
                <w:p>
                  <w:pPr>
                    <w:pStyle w:val="16"/>
                    <w:widowControl w:val="0"/>
                    <w:rPr>
                      <w:rFonts w:eastAsiaTheme="minorEastAsia"/>
                      <w:iCs/>
                      <w:kern w:val="2"/>
                    </w:rPr>
                  </w:pPr>
                  <w:r>
                    <w:rPr>
                      <w:rFonts w:eastAsiaTheme="minorEastAsia"/>
                      <w:iCs/>
                      <w:kern w:val="2"/>
                    </w:rPr>
                    <w:t>65.5%</w:t>
                  </w:r>
                </w:p>
              </w:tc>
              <w:tc>
                <w:tcPr>
                  <w:tcW w:w="2321" w:type="dxa"/>
                </w:tcPr>
                <w:p>
                  <w:pPr>
                    <w:pStyle w:val="16"/>
                    <w:widowControl w:val="0"/>
                    <w:rPr>
                      <w:rFonts w:eastAsiaTheme="minorEastAsia"/>
                      <w:iCs/>
                      <w:kern w:val="2"/>
                    </w:rPr>
                  </w:pPr>
                  <w:r>
                    <w:rPr>
                      <w:rFonts w:eastAsiaTheme="minorEastAsia"/>
                      <w:iCs/>
                      <w:kern w:val="2"/>
                    </w:rPr>
                    <w:t>47.3%</w:t>
                  </w:r>
                </w:p>
              </w:tc>
            </w:tr>
          </w:tbl>
          <w:p>
            <w:pPr>
              <w:pStyle w:val="16"/>
              <w:widowControl w:val="0"/>
              <w:rPr>
                <w:rFonts w:eastAsiaTheme="minorEastAsia"/>
                <w:iCs/>
                <w:kern w:val="2"/>
              </w:rPr>
            </w:pPr>
          </w:p>
          <w:p>
            <w:pPr>
              <w:widowControl w:val="0"/>
              <w:rPr>
                <w:u w:val="single"/>
              </w:rPr>
            </w:pPr>
            <w:r>
              <w:rPr>
                <w:rFonts w:hint="eastAsia"/>
                <w:u w:val="single"/>
              </w:rPr>
              <w:t>Spatial domain</w:t>
            </w:r>
          </w:p>
          <w:p>
            <w:pPr>
              <w:pStyle w:val="11"/>
              <w:widowControl w:val="0"/>
            </w:pPr>
            <w:bookmarkStart w:id="96" w:name="_Ref111119439"/>
            <w:bookmarkStart w:id="97" w:name="_Ref111119464"/>
            <w:r>
              <w:t xml:space="preserve">Table </w:t>
            </w:r>
            <w:r>
              <w:fldChar w:fldCharType="begin"/>
            </w:r>
            <w:r>
              <w:instrText xml:space="preserve"> SEQ Table \* ARABIC </w:instrText>
            </w:r>
            <w:r>
              <w:fldChar w:fldCharType="separate"/>
            </w:r>
            <w:r>
              <w:t>6</w:t>
            </w:r>
            <w:r>
              <w:fldChar w:fldCharType="end"/>
            </w:r>
            <w:bookmarkEnd w:id="9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7"/>
            <w:r>
              <w:rPr>
                <w:rFonts w:hint="eastAsia"/>
              </w:rPr>
              <w:t xml:space="preserve"> under </w:t>
            </w:r>
            <w:r>
              <w:t>different</w:t>
            </w:r>
            <w:r>
              <w:rPr>
                <w:rFonts w:hint="eastAsia"/>
              </w:rPr>
              <w:t xml:space="preserve"> system loads</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eastAsiaTheme="minorEastAsia"/>
                      <w:sz w:val="21"/>
                      <w:szCs w:val="21"/>
                    </w:rPr>
                  </w:pPr>
                  <w:r>
                    <w:rPr>
                      <w:rFonts w:hint="eastAsia" w:eastAsiaTheme="minorEastAsia"/>
                    </w:rPr>
                    <w:t>System load</w:t>
                  </w:r>
                </w:p>
              </w:tc>
              <w:tc>
                <w:tcPr>
                  <w:tcW w:w="2321" w:type="dxa"/>
                </w:tcPr>
                <w:p>
                  <w:pPr>
                    <w:widowControl w:val="0"/>
                    <w:rPr>
                      <w:rFonts w:ascii="Calibri" w:hAnsi="Calibri" w:cs="Calibri"/>
                      <w:sz w:val="21"/>
                      <w:szCs w:val="21"/>
                    </w:rPr>
                  </w:pPr>
                  <w:r>
                    <w:t>Average ESG</w:t>
                  </w:r>
                </w:p>
              </w:tc>
              <w:tc>
                <w:tcPr>
                  <w:tcW w:w="2322" w:type="dxa"/>
                </w:tcPr>
                <w:p>
                  <w:pPr>
                    <w:widowControl w:val="0"/>
                    <w:rPr>
                      <w:rFonts w:ascii="Calibri" w:hAnsi="Calibri" w:cs="Calibri"/>
                      <w:sz w:val="21"/>
                      <w:szCs w:val="21"/>
                    </w:rPr>
                  </w:pPr>
                  <w:r>
                    <w:t>Average UPT loss</w:t>
                  </w:r>
                </w:p>
              </w:tc>
              <w:tc>
                <w:tcPr>
                  <w:tcW w:w="2322" w:type="dxa"/>
                </w:tcPr>
                <w:p>
                  <w:pPr>
                    <w:widowControl w:val="0"/>
                    <w:rPr>
                      <w:rFonts w:ascii="Calibri" w:hAnsi="Calibri" w:cs="Calibri"/>
                      <w:sz w:val="21"/>
                      <w:szCs w:val="21"/>
                    </w:rPr>
                  </w:pPr>
                  <w:r>
                    <w:t>Average latency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9.0%</w:t>
                  </w:r>
                </w:p>
              </w:tc>
              <w:tc>
                <w:tcPr>
                  <w:tcW w:w="2321" w:type="dxa"/>
                </w:tcPr>
                <w:p>
                  <w:pPr>
                    <w:widowControl w:val="0"/>
                    <w:rPr>
                      <w:rFonts w:ascii="Calibri" w:hAnsi="Calibri" w:cs="Calibri"/>
                      <w:sz w:val="21"/>
                      <w:szCs w:val="21"/>
                    </w:rPr>
                  </w:pPr>
                  <w:r>
                    <w:t>6.9%</w:t>
                  </w:r>
                </w:p>
              </w:tc>
              <w:tc>
                <w:tcPr>
                  <w:tcW w:w="2322" w:type="dxa"/>
                </w:tcPr>
                <w:p>
                  <w:pPr>
                    <w:widowControl w:val="0"/>
                    <w:rPr>
                      <w:rFonts w:ascii="Calibri" w:hAnsi="Calibri" w:cs="Calibri"/>
                      <w:sz w:val="21"/>
                      <w:szCs w:val="21"/>
                    </w:rPr>
                  </w:pPr>
                  <w:r>
                    <w:t>1.2%</w:t>
                  </w:r>
                </w:p>
              </w:tc>
              <w:tc>
                <w:tcPr>
                  <w:tcW w:w="2322" w:type="dxa"/>
                </w:tcPr>
                <w:p>
                  <w:pPr>
                    <w:widowControl w:val="0"/>
                    <w:rPr>
                      <w:rFonts w:ascii="Calibri" w:hAnsi="Calibri" w:cs="Calibri"/>
                      <w:sz w:val="21"/>
                      <w:szCs w:val="21"/>
                    </w:rPr>
                  </w:pPr>
                  <w:r>
                    <w:t>1.7%</w:t>
                  </w:r>
                </w:p>
              </w:tc>
            </w:tr>
            <w:tr>
              <w:tblPrEx>
                <w:tblCellMar>
                  <w:top w:w="0" w:type="dxa"/>
                  <w:left w:w="108" w:type="dxa"/>
                  <w:bottom w:w="0" w:type="dxa"/>
                  <w:right w:w="108" w:type="dxa"/>
                </w:tblCellMar>
              </w:tblPrEx>
              <w:tc>
                <w:tcPr>
                  <w:tcW w:w="2321" w:type="dxa"/>
                </w:tcPr>
                <w:p>
                  <w:pPr>
                    <w:widowControl w:val="0"/>
                    <w:rPr>
                      <w:rFonts w:ascii="Calibri" w:hAnsi="Calibri" w:cs="Calibri"/>
                      <w:sz w:val="21"/>
                      <w:szCs w:val="21"/>
                    </w:rPr>
                  </w:pPr>
                  <w:r>
                    <w:t>15.0%</w:t>
                  </w:r>
                </w:p>
              </w:tc>
              <w:tc>
                <w:tcPr>
                  <w:tcW w:w="2321" w:type="dxa"/>
                </w:tcPr>
                <w:p>
                  <w:pPr>
                    <w:widowControl w:val="0"/>
                    <w:rPr>
                      <w:rFonts w:ascii="Calibri" w:hAnsi="Calibri" w:cs="Calibri"/>
                      <w:sz w:val="21"/>
                      <w:szCs w:val="21"/>
                    </w:rPr>
                  </w:pPr>
                  <w:r>
                    <w:t>10.9%</w:t>
                  </w:r>
                </w:p>
              </w:tc>
              <w:tc>
                <w:tcPr>
                  <w:tcW w:w="2322" w:type="dxa"/>
                </w:tcPr>
                <w:p>
                  <w:pPr>
                    <w:widowControl w:val="0"/>
                    <w:rPr>
                      <w:rFonts w:ascii="Calibri" w:hAnsi="Calibri" w:cs="Calibri"/>
                      <w:sz w:val="21"/>
                      <w:szCs w:val="21"/>
                    </w:rPr>
                  </w:pPr>
                  <w:r>
                    <w:t>1.8%</w:t>
                  </w:r>
                </w:p>
              </w:tc>
              <w:tc>
                <w:tcPr>
                  <w:tcW w:w="2322" w:type="dxa"/>
                </w:tcPr>
                <w:p>
                  <w:pPr>
                    <w:widowControl w:val="0"/>
                    <w:rPr>
                      <w:rFonts w:ascii="Calibri" w:hAnsi="Calibri" w:cs="Calibri"/>
                      <w:sz w:val="21"/>
                      <w:szCs w:val="21"/>
                    </w:rPr>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30.0%</w:t>
                  </w:r>
                </w:p>
              </w:tc>
              <w:tc>
                <w:tcPr>
                  <w:tcW w:w="2321" w:type="dxa"/>
                </w:tcPr>
                <w:p>
                  <w:pPr>
                    <w:widowControl w:val="0"/>
                    <w:rPr>
                      <w:rFonts w:ascii="Calibri" w:hAnsi="Calibri" w:cs="Calibri"/>
                      <w:sz w:val="21"/>
                      <w:szCs w:val="21"/>
                    </w:rPr>
                  </w:pPr>
                  <w:r>
                    <w:t>10.8%</w:t>
                  </w:r>
                </w:p>
              </w:tc>
              <w:tc>
                <w:tcPr>
                  <w:tcW w:w="2322" w:type="dxa"/>
                </w:tcPr>
                <w:p>
                  <w:pPr>
                    <w:widowControl w:val="0"/>
                    <w:rPr>
                      <w:rFonts w:ascii="Calibri" w:hAnsi="Calibri" w:cs="Calibri"/>
                      <w:sz w:val="21"/>
                      <w:szCs w:val="21"/>
                    </w:rPr>
                  </w:pPr>
                  <w:r>
                    <w:t>1.7%</w:t>
                  </w:r>
                </w:p>
              </w:tc>
              <w:tc>
                <w:tcPr>
                  <w:tcW w:w="2322" w:type="dxa"/>
                </w:tcPr>
                <w:p>
                  <w:pPr>
                    <w:widowControl w:val="0"/>
                    <w:tabs>
                      <w:tab w:val="left" w:pos="1340"/>
                    </w:tabs>
                    <w:rPr>
                      <w:rFonts w:ascii="Calibri" w:hAnsi="Calibri" w:cs="Calibri"/>
                      <w:sz w:val="21"/>
                      <w:szCs w:val="21"/>
                    </w:rPr>
                  </w:pPr>
                  <w:r>
                    <w:t>2.88%</w:t>
                  </w:r>
                </w:p>
              </w:tc>
            </w:tr>
          </w:tbl>
          <w:p>
            <w:pPr>
              <w:widowControl w:val="0"/>
            </w:pPr>
          </w:p>
          <w:p>
            <w:pPr>
              <w:pStyle w:val="11"/>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autoSpaceDE/>
        <w:autoSpaceDN/>
        <w:adjustRightInd/>
        <w:snapToGrid/>
        <w:spacing w:after="160"/>
        <w:jc w:val="left"/>
      </w:pPr>
      <w:r>
        <w:br w:type="page"/>
      </w:r>
    </w:p>
    <w:p/>
    <w:p>
      <w:pPr>
        <w:pStyle w:val="5"/>
        <w:numPr>
          <w:ilvl w:val="0"/>
          <w:numId w:val="0"/>
        </w:numPr>
      </w:pPr>
      <w:r>
        <w:t>Source 5: ZTE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634" w:type="dxa"/>
            <w:gridSpan w:val="2"/>
          </w:tcPr>
          <w:p>
            <w:pPr>
              <w:widowControl w:val="0"/>
              <w:spacing w:before="120"/>
              <w:rPr>
                <w:rFonts w:eastAsiaTheme="minorEastAsia"/>
                <w:u w:val="single"/>
              </w:rPr>
            </w:pPr>
            <w:r>
              <w:rPr>
                <w:rFonts w:eastAsiaTheme="minorEastAsia"/>
                <w:u w:val="single"/>
              </w:rPr>
              <w:t>Time domain</w:t>
            </w:r>
          </w:p>
          <w:p>
            <w:pPr>
              <w:widowControl w:val="0"/>
              <w:spacing w:before="120"/>
            </w:pPr>
            <w: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widowControl w:val="0"/>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Frequency domain</w:t>
            </w:r>
          </w:p>
          <w:p>
            <w:pPr>
              <w:widowControl w:val="0"/>
              <w:spacing w:before="120"/>
              <w:jc w:val="center"/>
            </w:pPr>
            <w: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widowControl w:val="0"/>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Spatial domain</w:t>
            </w:r>
          </w:p>
          <w:p>
            <w:pPr>
              <w:widowControl w:val="0"/>
              <w:spacing w:before="120"/>
              <w:jc w:val="center"/>
            </w:pPr>
            <w: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widowControl w:val="0"/>
              <w:spacing w:before="120"/>
              <w:jc w:val="center"/>
            </w:pPr>
            <w:r>
              <w:rPr>
                <w:rFonts w:hint="eastAsia"/>
              </w:rPr>
              <w:t xml:space="preserve">Figure 4 Energy saving gain </w:t>
            </w:r>
            <w:r>
              <w:t>and UPT impact of</w:t>
            </w:r>
            <w:r>
              <w:rPr>
                <w:rFonts w:hint="eastAsia"/>
              </w:rPr>
              <w:t xml:space="preserve"> antenna reduction</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 xml:space="preserve">Source 6: InterDigital </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634" w:type="dxa"/>
            <w:gridSpan w:val="2"/>
          </w:tcPr>
          <w:p>
            <w:pPr>
              <w:widowControl w:val="0"/>
              <w:rPr>
                <w:rFonts w:eastAsiaTheme="minorEastAsia"/>
              </w:rPr>
            </w:pPr>
          </w:p>
          <w:p>
            <w:pPr>
              <w:widowControl w:val="0"/>
              <w:jc w:val="center"/>
              <w:rPr>
                <w:b/>
                <w:bCs/>
                <w:i/>
                <w:iCs/>
                <w:lang w:val="en-GB"/>
              </w:rPr>
            </w:pPr>
            <w:r>
              <w:rPr>
                <w:rFonts w:eastAsiaTheme="minorEastAsia"/>
              </w:rPr>
              <w:t xml:space="preserve">  </w:t>
            </w:r>
            <w:r>
              <w:rPr>
                <w:b/>
              </w:rPr>
              <w:t>Table 2: Downlink Evaluation results</w:t>
            </w:r>
          </w:p>
          <w:tbl>
            <w:tblPr>
              <w:tblStyle w:val="84"/>
              <w:tblW w:w="10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1014"/>
              <w:gridCol w:w="1326"/>
              <w:gridCol w:w="1260"/>
              <w:gridCol w:w="1350"/>
              <w:gridCol w:w="990"/>
              <w:gridCol w:w="126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5035" w:type="dxa"/>
                  <w:gridSpan w:val="4"/>
                </w:tcPr>
                <w:p>
                  <w:pPr>
                    <w:spacing w:line="240" w:lineRule="auto"/>
                    <w:jc w:val="center"/>
                    <w:rPr>
                      <w:rFonts w:ascii="Calibri" w:hAnsi="Calibri" w:eastAsia="Calibri"/>
                      <w:sz w:val="20"/>
                      <w:szCs w:val="20"/>
                    </w:rPr>
                  </w:pPr>
                  <w:r>
                    <w:rPr>
                      <w:rFonts w:ascii="Calibri" w:hAnsi="Calibri" w:eastAsia="Calibri"/>
                      <w:sz w:val="20"/>
                      <w:szCs w:val="20"/>
                    </w:rPr>
                    <w:t>User traffic load 1: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{0.14, 0.33}</w:t>
                  </w:r>
                </w:p>
              </w:tc>
              <w:tc>
                <w:tcPr>
                  <w:tcW w:w="5014" w:type="dxa"/>
                  <w:gridSpan w:val="4"/>
                </w:tcPr>
                <w:p>
                  <w:pPr>
                    <w:spacing w:line="240" w:lineRule="auto"/>
                    <w:jc w:val="center"/>
                    <w:rPr>
                      <w:rFonts w:ascii="Calibri" w:hAnsi="Calibri" w:eastAsia="Calibri"/>
                      <w:sz w:val="20"/>
                      <w:szCs w:val="20"/>
                      <w:u w:val="single"/>
                    </w:rPr>
                  </w:pPr>
                  <w:r>
                    <w:rPr>
                      <w:rFonts w:ascii="Calibri" w:hAnsi="Calibri" w:eastAsia="Calibri"/>
                      <w:sz w:val="20"/>
                      <w:szCs w:val="20"/>
                    </w:rPr>
                    <w:t>User traffic load 2: {</w:t>
                  </w:r>
                  <m:oMath>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1</m:t>
                        </m:r>
                        <m:ctrlPr>
                          <w:rPr>
                            <w:rFonts w:ascii="Cambria Math" w:hAnsi="Cambria Math" w:eastAsia="Calibri"/>
                            <w:i/>
                            <w:color w:val="000000"/>
                            <w:sz w:val="20"/>
                            <w:szCs w:val="20"/>
                          </w:rPr>
                        </m:ctrlPr>
                      </m:sub>
                    </m:sSub>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2</m:t>
                        </m:r>
                        <m:ctrlPr>
                          <w:rPr>
                            <w:rFonts w:ascii="Cambria Math" w:hAnsi="Cambria Math" w:eastAsia="Calibri"/>
                            <w:i/>
                            <w:color w:val="000000"/>
                            <w:sz w:val="20"/>
                            <w:szCs w:val="20"/>
                          </w:rPr>
                        </m:ctrlPr>
                      </m:sub>
                    </m:sSub>
                    <m:r>
                      <w:rPr>
                        <w:rFonts w:ascii="Cambria Math" w:hAnsi="Cambria Math" w:eastAsia="Calibri"/>
                        <w:color w:val="000000"/>
                        <w:sz w:val="20"/>
                        <w:szCs w:val="20"/>
                      </w:rPr>
                      <m:t>}</m:t>
                    </m:r>
                  </m:oMath>
                  <w:r>
                    <w:rPr>
                      <w:rFonts w:ascii="Calibri" w:hAnsi="Calibri" w:eastAsia="Calibri"/>
                      <w:color w:val="000000"/>
                      <w:sz w:val="20"/>
                      <w:szCs w:val="20"/>
                    </w:rPr>
                    <w:t xml:space="preserve"> = {0.33, 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9" w:hRule="atLeast"/>
              </w:trPr>
              <w:tc>
                <w:tcPr>
                  <w:tcW w:w="1435"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UPT(Mbps)</w:t>
                  </w:r>
                </w:p>
              </w:tc>
              <w:tc>
                <w:tcPr>
                  <w:tcW w:w="1014" w:type="dxa"/>
                </w:tcPr>
                <w:p>
                  <w:pPr>
                    <w:spacing w:line="240" w:lineRule="auto"/>
                    <w:jc w:val="center"/>
                    <w:rPr>
                      <w:rFonts w:ascii="Calibri" w:hAnsi="Calibri" w:eastAsia="Calibri"/>
                      <w:sz w:val="20"/>
                      <w:szCs w:val="20"/>
                    </w:rPr>
                  </w:pPr>
                  <w:r>
                    <w:rPr>
                      <w:rFonts w:ascii="Calibri" w:hAnsi="Calibri" w:eastAsia="Calibri"/>
                      <w:sz w:val="20"/>
                      <w:szCs w:val="20"/>
                    </w:rPr>
                    <w:t xml:space="preserve">NES </w:t>
                  </w:r>
                </w:p>
                <w:p>
                  <w:pPr>
                    <w:spacing w:line="240" w:lineRule="auto"/>
                    <w:jc w:val="center"/>
                    <w:rPr>
                      <w:rFonts w:ascii="Calibri" w:hAnsi="Calibri" w:eastAsia="Calibri"/>
                      <w:sz w:val="20"/>
                      <w:szCs w:val="20"/>
                    </w:rPr>
                  </w:pPr>
                  <w:r>
                    <w:rPr>
                      <w:rFonts w:ascii="Calibri" w:hAnsi="Calibri" w:eastAsia="Calibri"/>
                      <w:sz w:val="20"/>
                      <w:szCs w:val="20"/>
                    </w:rPr>
                    <w:t xml:space="preserve">Mean UPT </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326"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350"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414"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trPr>
              <w:tc>
                <w:tcPr>
                  <w:tcW w:w="143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47.51</w:t>
                  </w:r>
                </w:p>
              </w:tc>
              <w:tc>
                <w:tcPr>
                  <w:tcW w:w="10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45.27</w:t>
                  </w:r>
                </w:p>
              </w:tc>
              <w:tc>
                <w:tcPr>
                  <w:tcW w:w="1326"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-4.93%</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54.59%</w:t>
                  </w:r>
                </w:p>
              </w:tc>
              <w:tc>
                <w:tcPr>
                  <w:tcW w:w="135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22.67</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-4.78%</w:t>
                  </w:r>
                </w:p>
              </w:tc>
              <w:tc>
                <w:tcPr>
                  <w:tcW w:w="14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25.65%</w:t>
                  </w:r>
                </w:p>
              </w:tc>
            </w:tr>
          </w:tbl>
          <w:p>
            <w:pPr>
              <w:widowControl w:val="0"/>
              <w:jc w:val="center"/>
              <w:rPr>
                <w:b/>
              </w:rPr>
            </w:pPr>
            <w:r>
              <w:rPr>
                <w:b/>
              </w:rPr>
              <w:t>Table 3: Uplink Evaluation results – 40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21.35</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23.77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+11.34%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-3.00%</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21.92</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22.92</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+4.56%</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-3.12%</w:t>
                  </w:r>
                </w:p>
              </w:tc>
            </w:tr>
          </w:tbl>
          <w:p>
            <w:pPr>
              <w:widowControl w:val="0"/>
              <w:jc w:val="center"/>
              <w:rPr>
                <w: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23.03</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24.11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+4.70%</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-1.67%</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22.20</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22.90</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+3.15%</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-1.82%</w:t>
                  </w:r>
                </w:p>
              </w:tc>
            </w:tr>
          </w:tbl>
          <w:p>
            <w:pPr>
              <w:widowControl w:val="0"/>
              <w:jc w:val="center"/>
              <w:rPr>
                <w:b/>
              </w:rPr>
            </w:pPr>
          </w:p>
          <w:p>
            <w:pPr>
              <w:widowControl w:val="0"/>
              <w:jc w:val="center"/>
              <w:rPr>
                <w:b/>
              </w:rPr>
            </w:pPr>
          </w:p>
          <w:p>
            <w:pPr>
              <w:widowControl w:val="0"/>
              <w:jc w:val="center"/>
              <w:rPr>
                <w:b/>
              </w:rPr>
            </w:pPr>
            <w:r>
              <w:rPr>
                <w:b/>
              </w:rPr>
              <w:t>Table 4: Uplink Evaluation results – 160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17.51</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23.84</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+36.14%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-5.95%</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17.37</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23.07</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+32.78%</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-6.20%</w:t>
                  </w:r>
                </w:p>
              </w:tc>
            </w:tr>
          </w:tbl>
          <w:p>
            <w:pPr>
              <w:widowControl w:val="0"/>
              <w:rPr>
                <w:b/>
                <w:bCs/>
                <w:i/>
                <w:iCs/>
                <w:lang w:val="en-G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w:rPr>
                            <w:rFonts w:ascii="Cambria Math" w:hAnsi="Cambria Math" w:eastAsia="Calibri"/>
                            <w:color w:val="000000"/>
                            <w:sz w:val="20"/>
                            <w:szCs w:val="20"/>
                          </w:rPr>
                          <m:t>λ</m:t>
                        </m:r>
                        <m:ctrlPr>
                          <w:rPr>
                            <w:rFonts w:ascii="Cambria Math" w:hAnsi="Cambria Math" w:eastAsia="Calibri"/>
                            <w:i/>
                            <w:color w:val="000000"/>
                            <w:sz w:val="20"/>
                            <w:szCs w:val="20"/>
                          </w:rPr>
                        </m:ctrlPr>
                      </m:e>
                      <m:sub>
                        <m: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w:rPr>
                              <w:rFonts w:ascii="Cambria Math" w:hAnsi="Cambria Math" w:eastAsiaTheme="minorEastAsia"/>
                              <w:sz w:val="20"/>
                              <w:szCs w:val="20"/>
                            </w:rPr>
                            <m:t>(ρ</m:t>
                          </m:r>
                          <m:ctrlPr>
                            <w:rPr>
                              <w:rFonts w:ascii="Cambria Math" w:hAnsi="Cambria Math" w:eastAsiaTheme="minorEastAsia"/>
                              <w:i/>
                              <w:sz w:val="20"/>
                              <w:szCs w:val="20"/>
                            </w:rPr>
                          </m:ctrlPr>
                        </m:e>
                        <m:sub>
                          <m:r>
                            <w:rPr>
                              <w:rFonts w:ascii="Cambria Math" w:hAnsi="Cambria Math" w:eastAsiaTheme="minorEastAsia"/>
                              <w:sz w:val="20"/>
                              <w:szCs w:val="20"/>
                            </w:rPr>
                            <m:t>l</m:t>
                          </m:r>
                          <m:ctrlPr>
                            <w:rPr>
                              <w:rFonts w:ascii="Cambria Math" w:hAnsi="Cambria Math" w:eastAsiaTheme="minorEastAsia"/>
                              <w:i/>
                              <w:sz w:val="20"/>
                              <w:szCs w:val="20"/>
                            </w:rPr>
                          </m:ctrlPr>
                        </m:sub>
                      </m:sSub>
                      <m: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19.76</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24.27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+22.83%</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-3.03%</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18.83</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23.56</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+25.14%</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-3.08%</w:t>
                  </w:r>
                </w:p>
              </w:tc>
            </w:tr>
          </w:tbl>
          <w:p>
            <w:pPr>
              <w:widowControl w:val="0"/>
              <w:rPr>
                <w:b/>
                <w:bCs/>
                <w:i/>
                <w:iCs/>
                <w:lang w:val="en-GB"/>
              </w:rPr>
            </w:pP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7: Samsung</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rPr>
                <w:bCs/>
                <w:iCs/>
                <w:u w:val="single"/>
                <w:lang w:val="en-GB"/>
              </w:rPr>
            </w:pPr>
            <w:r>
              <w:rPr>
                <w:bCs/>
                <w:iCs/>
                <w:u w:val="single"/>
                <w:lang w:val="en-GB"/>
              </w:rPr>
              <w:t>Time domain</w:t>
            </w:r>
          </w:p>
          <w:p>
            <w:pPr>
              <w:pStyle w:val="85"/>
              <w:widowControl w:val="0"/>
              <w:snapToGrid w:val="0"/>
              <w:spacing w:before="0" w:after="0"/>
            </w:pPr>
            <w:r>
              <w:t>Table 3: Preliminary evaluation results of SSB adaptation</w:t>
            </w:r>
          </w:p>
          <w:tbl>
            <w:tblPr>
              <w:tblStyle w:val="26"/>
              <w:tblW w:w="9409"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532"/>
              <w:gridCol w:w="1803"/>
              <w:gridCol w:w="1729"/>
              <w:gridCol w:w="2473"/>
              <w:gridCol w:w="18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58"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hint="eastAsia" w:eastAsiaTheme="minorEastAsia"/>
                      <w:b/>
                      <w:bCs/>
                      <w:lang w:eastAsia="ko-KR"/>
                    </w:rPr>
                    <w:t>Category 1</w:t>
                  </w:r>
                </w:p>
              </w:tc>
              <w:tc>
                <w:tcPr>
                  <w:tcW w:w="919"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eastAsiaTheme="minorEastAsia"/>
                      <w:b/>
                      <w:bCs/>
                      <w:lang w:eastAsia="ko-KR"/>
                    </w:rPr>
                    <w:t>Category 2</w:t>
                  </w: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95"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SSB adaptation</w:t>
                  </w:r>
                </w:p>
                <w:p>
                  <w:pPr>
                    <w:spacing w:line="288" w:lineRule="auto"/>
                    <w:jc w:val="left"/>
                    <w:rPr>
                      <w:rFonts w:eastAsiaTheme="minorEastAsia"/>
                      <w:bCs/>
                      <w:lang w:eastAsia="ko-KR"/>
                    </w:rPr>
                  </w:pPr>
                  <w:r>
                    <w:rPr>
                      <w:rFonts w:eastAsiaTheme="minorEastAsia"/>
                      <w:bCs/>
                      <w:lang w:eastAsia="ko-KR"/>
                    </w:rPr>
                    <w:t>From 8 SSBs to 2 SSBs</w:t>
                  </w:r>
                </w:p>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5.20 %</w:t>
                  </w:r>
                </w:p>
                <w:p>
                  <w:pPr>
                    <w:spacing w:line="288" w:lineRule="auto"/>
                    <w:jc w:val="left"/>
                    <w:rPr>
                      <w:rFonts w:eastAsiaTheme="minorEastAsia"/>
                      <w:bCs/>
                      <w:lang w:eastAsia="ko-KR"/>
                    </w:rPr>
                  </w:pPr>
                  <w:r>
                    <w:rPr>
                      <w:rFonts w:eastAsiaTheme="minorEastAsia"/>
                      <w:bCs/>
                      <w:lang w:eastAsia="ko-KR"/>
                    </w:rPr>
                    <w:t>Light_1 load: 7.25 %</w:t>
                  </w:r>
                </w:p>
                <w:p>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3.61 %</w:t>
                  </w:r>
                </w:p>
                <w:p>
                  <w:pPr>
                    <w:spacing w:line="288" w:lineRule="auto"/>
                    <w:jc w:val="left"/>
                    <w:rPr>
                      <w:rFonts w:eastAsiaTheme="minorEastAsia"/>
                      <w:bCs/>
                      <w:lang w:eastAsia="ko-KR"/>
                    </w:rPr>
                  </w:pPr>
                  <w:r>
                    <w:rPr>
                      <w:rFonts w:eastAsiaTheme="minorEastAsia"/>
                      <w:bCs/>
                      <w:lang w:eastAsia="ko-KR"/>
                    </w:rPr>
                    <w:t>Light_1 load: 4.71 %</w:t>
                  </w:r>
                </w:p>
                <w:p>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20 ms}</w:t>
                  </w:r>
                </w:p>
                <w:p>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2.82 %</w:t>
                  </w:r>
                </w:p>
                <w:p>
                  <w:pPr>
                    <w:spacing w:line="288" w:lineRule="auto"/>
                    <w:jc w:val="left"/>
                    <w:rPr>
                      <w:rFonts w:eastAsiaTheme="minorEastAsia"/>
                      <w:bCs/>
                      <w:lang w:eastAsia="ko-KR"/>
                    </w:rPr>
                  </w:pPr>
                  <w:r>
                    <w:rPr>
                      <w:rFonts w:eastAsiaTheme="minorEastAsia"/>
                      <w:bCs/>
                      <w:lang w:eastAsia="ko-KR"/>
                    </w:rPr>
                    <w:t>Light_1 load: 3.89 %</w:t>
                  </w:r>
                </w:p>
                <w:p>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1.89 %</w:t>
                  </w:r>
                </w:p>
                <w:p>
                  <w:pPr>
                    <w:spacing w:line="288" w:lineRule="auto"/>
                    <w:jc w:val="left"/>
                    <w:rPr>
                      <w:rFonts w:eastAsiaTheme="minorEastAsia"/>
                      <w:bCs/>
                      <w:lang w:eastAsia="ko-KR"/>
                    </w:rPr>
                  </w:pPr>
                  <w:r>
                    <w:rPr>
                      <w:rFonts w:eastAsiaTheme="minorEastAsia"/>
                      <w:bCs/>
                      <w:lang w:eastAsia="ko-KR"/>
                    </w:rPr>
                    <w:t>Light_1 load: 2.43 %</w:t>
                  </w:r>
                </w:p>
                <w:p>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40 ms}</w:t>
                  </w:r>
                </w:p>
                <w:p>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1.01 %</w:t>
                  </w:r>
                </w:p>
                <w:p>
                  <w:pPr>
                    <w:spacing w:line="288" w:lineRule="auto"/>
                    <w:jc w:val="left"/>
                    <w:rPr>
                      <w:rFonts w:eastAsiaTheme="minorEastAsia"/>
                      <w:bCs/>
                      <w:lang w:eastAsia="ko-KR"/>
                    </w:rPr>
                  </w:pPr>
                  <w:r>
                    <w:rPr>
                      <w:rFonts w:eastAsiaTheme="minorEastAsia"/>
                      <w:bCs/>
                      <w:lang w:eastAsia="ko-KR"/>
                    </w:rPr>
                    <w:t>Light_1 load: 1.58 %</w:t>
                  </w:r>
                </w:p>
                <w:p>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0.48 %</w:t>
                  </w:r>
                </w:p>
                <w:p>
                  <w:pPr>
                    <w:spacing w:line="288" w:lineRule="auto"/>
                    <w:jc w:val="left"/>
                    <w:rPr>
                      <w:rFonts w:eastAsiaTheme="minorEastAsia"/>
                      <w:bCs/>
                      <w:lang w:eastAsia="ko-KR"/>
                    </w:rPr>
                  </w:pPr>
                  <w:r>
                    <w:rPr>
                      <w:rFonts w:eastAsiaTheme="minorEastAsia"/>
                      <w:bCs/>
                      <w:lang w:eastAsia="ko-KR"/>
                    </w:rPr>
                    <w:t>Light_1 load: 0.62 %</w:t>
                  </w:r>
                </w:p>
                <w:p>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160 ms}</w:t>
                  </w:r>
                </w:p>
                <w:p>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bl>
          <w:p>
            <w:pPr>
              <w:widowControl w:val="0"/>
              <w:rPr>
                <w:b/>
                <w:bCs/>
                <w:iCs/>
                <w:lang w:val="en-GB"/>
              </w:rPr>
            </w:pPr>
          </w:p>
          <w:p>
            <w:pPr>
              <w:widowControl w:val="0"/>
              <w:rPr>
                <w:bCs/>
                <w:iCs/>
                <w:u w:val="single"/>
                <w:lang w:val="en-GB"/>
              </w:rPr>
            </w:pPr>
            <w:r>
              <w:rPr>
                <w:bCs/>
                <w:iCs/>
                <w:u w:val="single"/>
                <w:lang w:val="en-GB"/>
              </w:rPr>
              <w:t>Frequency domain</w:t>
            </w:r>
          </w:p>
          <w:p>
            <w:pPr>
              <w:pStyle w:val="85"/>
              <w:widowControl w:val="0"/>
              <w:snapToGrid w:val="0"/>
              <w:spacing w:before="0" w:after="0"/>
            </w:pPr>
            <w:r>
              <w:t>Table 4: Preliminary evaluation results of BWP adaptation</w:t>
            </w:r>
          </w:p>
          <w:tbl>
            <w:tblPr>
              <w:tblStyle w:val="26"/>
              <w:tblW w:w="941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269"/>
              <w:gridCol w:w="1325"/>
              <w:gridCol w:w="949"/>
              <w:gridCol w:w="1161"/>
              <w:gridCol w:w="938"/>
              <w:gridCol w:w="2061"/>
              <w:gridCol w:w="17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5" w:hRule="atLeast"/>
                <w:jc w:val="center"/>
              </w:trPr>
              <w:tc>
                <w:tcPr>
                  <w:tcW w:w="1318"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w:t>
                  </w:r>
                </w:p>
              </w:tc>
              <w:tc>
                <w:tcPr>
                  <w:tcW w:w="9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UPT loss</w:t>
                  </w:r>
                </w:p>
              </w:tc>
              <w:tc>
                <w:tcPr>
                  <w:tcW w:w="1094" w:type="dxa"/>
                  <w:tcBorders>
                    <w:top w:val="single" w:color="FFFFFF" w:sz="4" w:space="0"/>
                    <w:left w:val="nil"/>
                    <w:right w:val="nil"/>
                  </w:tcBorders>
                  <w:shd w:val="clear" w:color="auto" w:fill="5B9BD5"/>
                  <w:vAlign w:val="center"/>
                </w:tcPr>
                <w:p>
                  <w:pPr>
                    <w:pStyle w:val="69"/>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18" w:hRule="atLeast"/>
                <w:jc w:val="center"/>
              </w:trPr>
              <w:tc>
                <w:tcPr>
                  <w:tcW w:w="1318" w:type="dxa"/>
                  <w:shd w:val="clear" w:color="auto" w:fill="BDD6EE"/>
                </w:tcPr>
                <w:p>
                  <w:pPr>
                    <w:spacing w:line="288" w:lineRule="auto"/>
                    <w:jc w:val="left"/>
                    <w:rPr>
                      <w:rFonts w:eastAsiaTheme="minorEastAsia"/>
                      <w:bCs/>
                      <w:lang w:eastAsia="ko-KR"/>
                    </w:rPr>
                  </w:pPr>
                  <w:r>
                    <w:rPr>
                      <w:rFonts w:eastAsiaTheme="minorEastAsia"/>
                      <w:bCs/>
                      <w:lang w:eastAsia="ko-KR"/>
                    </w:rPr>
                    <w:t>BWP adaptation</w:t>
                  </w:r>
                </w:p>
                <w:p>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pPr>
                    <w:spacing w:line="288" w:lineRule="auto"/>
                    <w:jc w:val="left"/>
                    <w:rPr>
                      <w:rFonts w:eastAsiaTheme="minorEastAsia"/>
                      <w:bCs/>
                      <w:lang w:eastAsia="ko-KR"/>
                    </w:rPr>
                  </w:pPr>
                  <w:r>
                    <w:rPr>
                      <w:rFonts w:hint="eastAsia" w:eastAsiaTheme="minorEastAsia"/>
                      <w:bCs/>
                      <w:lang w:eastAsia="ko-KR"/>
                    </w:rPr>
                    <w:t>Cat 1</w:t>
                  </w:r>
                  <w:r>
                    <w:rPr>
                      <w:rFonts w:eastAsiaTheme="minorEastAsia"/>
                      <w:bCs/>
                      <w:lang w:eastAsia="ko-KR"/>
                    </w:rPr>
                    <w:t xml:space="preserve"> with deep sleep</w:t>
                  </w:r>
                  <w:r>
                    <w:rPr>
                      <w:rFonts w:hint="eastAsia" w:eastAsiaTheme="minorEastAsia"/>
                      <w:bCs/>
                      <w:lang w:eastAsia="ko-KR"/>
                    </w:rPr>
                    <w:t>:</w:t>
                  </w:r>
                  <w:r>
                    <w:rPr>
                      <w:rFonts w:eastAsiaTheme="minorEastAsia"/>
                      <w:bCs/>
                      <w:lang w:eastAsia="ko-KR"/>
                    </w:rPr>
                    <w:t xml:space="preserve"> 39.41 %</w:t>
                  </w:r>
                </w:p>
              </w:tc>
              <w:tc>
                <w:tcPr>
                  <w:tcW w:w="964" w:type="dxa"/>
                  <w:shd w:val="clear" w:color="auto" w:fill="BDD6EE"/>
                </w:tcPr>
                <w:p>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pPr>
                    <w:spacing w:line="288" w:lineRule="auto"/>
                    <w:jc w:val="left"/>
                    <w:rPr>
                      <w:rFonts w:eastAsiaTheme="minorEastAsia"/>
                      <w:bCs/>
                      <w:lang w:eastAsia="ko-KR"/>
                    </w:rPr>
                  </w:pPr>
                  <w:r>
                    <w:rPr>
                      <w:rFonts w:eastAsiaTheme="minorEastAsia"/>
                      <w:bCs/>
                      <w:lang w:eastAsia="ko-KR"/>
                    </w:rPr>
                    <w:t>Baseline: 100MHz with 55 dBm</w:t>
                  </w:r>
                </w:p>
                <w:p>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pPr>
                    <w:kinsoku w:val="0"/>
                    <w:overflowPunct w:val="0"/>
                    <w:jc w:val="left"/>
                    <w:rPr>
                      <w:rFonts w:eastAsiaTheme="minorEastAsia"/>
                      <w:bCs/>
                      <w:lang w:eastAsia="ko-KR"/>
                    </w:rPr>
                  </w:pPr>
                  <w:r>
                    <w:rPr>
                      <w:rFonts w:eastAsiaTheme="minorEastAsia"/>
                      <w:bCs/>
                      <w:lang w:eastAsia="ko-KR"/>
                    </w:rPr>
                    <w:t>Baseline traffic load:</w:t>
                  </w:r>
                </w:p>
                <w:p>
                  <w:pPr>
                    <w:kinsoku w:val="0"/>
                    <w:overflowPunct w:val="0"/>
                    <w:jc w:val="left"/>
                    <w:rPr>
                      <w:rFonts w:eastAsiaTheme="minorEastAsia"/>
                      <w:bCs/>
                      <w:lang w:eastAsia="ko-KR"/>
                    </w:rPr>
                  </w:pPr>
                  <w:r>
                    <w:rPr>
                      <w:rFonts w:eastAsiaTheme="minorEastAsia"/>
                      <w:bCs/>
                      <w:lang w:eastAsia="ko-KR"/>
                    </w:rPr>
                    <w:t>28.56 % RU</w:t>
                  </w:r>
                </w:p>
                <w:p>
                  <w:pPr>
                    <w:kinsoku w:val="0"/>
                    <w:overflowPunct w:val="0"/>
                    <w:jc w:val="left"/>
                    <w:rPr>
                      <w:rFonts w:eastAsiaTheme="minorEastAsia"/>
                      <w:bCs/>
                      <w:lang w:eastAsia="ko-KR"/>
                    </w:rPr>
                  </w:pPr>
                  <w:r>
                    <w:rPr>
                      <w:rFonts w:eastAsiaTheme="minorEastAsia"/>
                      <w:bCs/>
                      <w:lang w:eastAsia="ko-KR"/>
                    </w:rPr>
                    <w:t>Reduced BW traffic load: 20.42 % RU</w:t>
                  </w:r>
                </w:p>
              </w:tc>
            </w:tr>
          </w:tbl>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8</w:t>
      </w:r>
      <w:r>
        <w:rPr>
          <w:rFonts w:hint="eastAsia"/>
        </w:rPr>
        <w:t>:</w:t>
      </w:r>
      <w:r>
        <w:t xml:space="preserve"> NTT DOCOMO</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Evaluation on sleep modes</w:t>
            </w:r>
          </w:p>
          <w:p>
            <w:pPr>
              <w:widowControl w:val="0"/>
              <w:spacing w:afterLines="50"/>
            </w:pPr>
            <w: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pPr>
              <w:pStyle w:val="48"/>
              <w:widowControl w:val="0"/>
              <w:numPr>
                <w:ilvl w:val="0"/>
                <w:numId w:val="42"/>
              </w:numPr>
              <w:overflowPunct/>
              <w:autoSpaceDE/>
              <w:autoSpaceDN/>
              <w:adjustRightInd/>
              <w:spacing w:after="120" w:afterLines="50" w:line="240" w:lineRule="auto"/>
              <w:contextualSpacing w:val="0"/>
              <w:jc w:val="center"/>
              <w:textAlignment w:val="auto"/>
              <w:rPr>
                <w:lang w:val="en-US" w:eastAsia="zh-CN"/>
              </w:rPr>
            </w:pPr>
            <w:r>
              <w:rPr>
                <w:lang w:val="en-US" w:eastAsia="zh-CN"/>
              </w:rPr>
              <w:t>Relative power consumption                                              (b) Packet throughput</w:t>
            </w:r>
          </w:p>
          <w:p>
            <w:pPr>
              <w:pStyle w:val="48"/>
              <w:widowControl w:val="0"/>
              <w:spacing w:after="120" w:afterLines="5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Evaluation on power domain techniques</w:t>
            </w:r>
          </w:p>
          <w:p>
            <w:pPr>
              <w:widowControl w:val="0"/>
              <w:spacing w:afterLines="50"/>
              <w:rPr>
                <w:rFonts w:eastAsiaTheme="minorEastAsia"/>
                <w:sz w:val="22"/>
              </w:rPr>
            </w:pPr>
            <w:r>
              <w:rPr>
                <w:rFonts w:eastAsiaTheme="minorEastAsia"/>
                <w:sz w:val="22"/>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pPr>
              <w:pStyle w:val="48"/>
              <w:widowControl w:val="0"/>
              <w:spacing w:after="120" w:afterLines="50"/>
              <w:ind w:left="360" w:firstLine="800" w:firstLineChars="400"/>
              <w:rPr>
                <w:lang w:val="en-US" w:eastAsia="zh-CN"/>
              </w:rPr>
            </w:pPr>
            <w:r>
              <w:rPr>
                <w:lang w:val="en-US" w:eastAsia="zh-CN"/>
              </w:rPr>
              <w:t>(a) Relative power consumption                                                       (b) Packet throughput</w:t>
            </w:r>
          </w:p>
          <w:p>
            <w:pPr>
              <w:pStyle w:val="48"/>
              <w:widowControl w:val="0"/>
              <w:spacing w:after="120" w:afterLines="5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9: Qualcomm</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Dynamic antenna port adaptation</w:t>
            </w:r>
          </w:p>
          <w:p>
            <w:pPr>
              <w:widowControl w:val="0"/>
              <w:jc w:val="center"/>
              <w:rPr>
                <w:lang w:val="en-GB" w:eastAsia="en-US"/>
              </w:rPr>
            </w:pPr>
            <w: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11"/>
              <w:widowControl w:val="0"/>
            </w:pPr>
            <w:bookmarkStart w:id="98" w:name="_Ref110850258"/>
            <w:r>
              <w:t xml:space="preserve">Figure </w:t>
            </w:r>
            <w:r>
              <w:fldChar w:fldCharType="begin"/>
            </w:r>
            <w:r>
              <w:instrText xml:space="preserve"> SEQ Figure \* ARABIC </w:instrText>
            </w:r>
            <w:r>
              <w:fldChar w:fldCharType="separate"/>
            </w:r>
            <w:r>
              <w:t>1</w:t>
            </w:r>
            <w:r>
              <w:fldChar w:fldCharType="end"/>
            </w:r>
            <w:bookmarkEnd w:id="98"/>
            <w:r>
              <w:t xml:space="preserve">: Network energy consumption </w:t>
            </w:r>
          </w:p>
          <w:p>
            <w:pPr>
              <w:widowControl w:val="0"/>
              <w:jc w:val="center"/>
              <w:rPr>
                <w:lang w:eastAsia="en-US"/>
              </w:rPr>
            </w:pPr>
            <w:r>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pPr>
              <w:widowControl w:val="0"/>
              <w:jc w:val="center"/>
              <w:rPr>
                <w:lang w:eastAsia="en-US"/>
              </w:rPr>
            </w:pPr>
          </w:p>
          <w:p>
            <w:pPr>
              <w:pStyle w:val="11"/>
              <w:widowControl w:val="0"/>
            </w:pPr>
            <w:bookmarkStart w:id="99" w:name="_Ref110850266"/>
            <w:r>
              <w:t xml:space="preserve">Figure </w:t>
            </w:r>
            <w:r>
              <w:fldChar w:fldCharType="begin"/>
            </w:r>
            <w:r>
              <w:instrText xml:space="preserve"> SEQ Figure \* ARABIC </w:instrText>
            </w:r>
            <w:r>
              <w:fldChar w:fldCharType="separate"/>
            </w:r>
            <w:r>
              <w:t>2</w:t>
            </w:r>
            <w:r>
              <w:fldChar w:fldCharType="end"/>
            </w:r>
            <w:bookmarkEnd w:id="99"/>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TRP adaptation</w:t>
            </w:r>
          </w:p>
          <w:p>
            <w:pPr>
              <w:widowControl w:val="0"/>
              <w:jc w:val="right"/>
              <w:rPr>
                <w:b/>
                <w:lang w:eastAsia="en-US"/>
              </w:rPr>
            </w:pPr>
            <w: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11"/>
              <w:widowControl w:val="0"/>
            </w:pPr>
            <w:bookmarkStart w:id="100" w:name="_Ref110850345"/>
            <w:r>
              <w:t xml:space="preserve">Figure </w:t>
            </w:r>
            <w:r>
              <w:fldChar w:fldCharType="begin"/>
            </w:r>
            <w:r>
              <w:instrText xml:space="preserve"> SEQ Figure \* ARABIC </w:instrText>
            </w:r>
            <w:r>
              <w:fldChar w:fldCharType="separate"/>
            </w:r>
            <w:r>
              <w:t>3</w:t>
            </w:r>
            <w:r>
              <w:fldChar w:fldCharType="end"/>
            </w:r>
            <w:bookmarkEnd w:id="100"/>
            <w:r>
              <w:t>: Network energy consumption &amp; UPT</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DL Tx power adaptation</w:t>
            </w:r>
          </w:p>
          <w:p>
            <w:pPr>
              <w:pStyle w:val="48"/>
              <w:widowControl w:val="0"/>
              <w:spacing w:after="120"/>
              <w:rPr>
                <w:color w:val="FF0000"/>
              </w:rPr>
            </w:pPr>
            <w:r>
              <w:rPr>
                <w:lang w:val="en-US" w:eastAsia="zh-CN"/>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val="0"/>
              <w:ind w:left="360"/>
              <w:jc w:val="center"/>
              <w:rPr>
                <w:lang w:val="en-GB"/>
              </w:rPr>
            </w:pPr>
          </w:p>
          <w:p>
            <w:pPr>
              <w:pStyle w:val="11"/>
              <w:widowControl w:val="0"/>
            </w:pPr>
            <w:bookmarkStart w:id="101" w:name="_Ref110850392"/>
            <w:r>
              <w:t xml:space="preserve">Figure </w:t>
            </w:r>
            <w:r>
              <w:fldChar w:fldCharType="begin"/>
            </w:r>
            <w:r>
              <w:instrText xml:space="preserve"> SEQ Figure \* ARABIC </w:instrText>
            </w:r>
            <w:r>
              <w:fldChar w:fldCharType="separate"/>
            </w:r>
            <w:r>
              <w:t>4</w:t>
            </w:r>
            <w:r>
              <w:fldChar w:fldCharType="end"/>
            </w:r>
            <w:bookmarkEnd w:id="101"/>
            <w:r>
              <w:t>: NW energy consumption</w:t>
            </w:r>
          </w:p>
          <w:p>
            <w:pPr>
              <w:widowControl w:val="0"/>
              <w:rPr>
                <w:lang w:eastAsia="en-US"/>
              </w:rPr>
            </w:pPr>
            <w:r>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lang w:eastAsia="en-US"/>
              </w:rPr>
              <w:t xml:space="preserve"> </w:t>
            </w:r>
            <w: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pPr>
              <w:widowControl w:val="0"/>
              <w:jc w:val="center"/>
              <w:rPr>
                <w:lang w:val="en-GB" w:eastAsia="en-US"/>
              </w:rPr>
            </w:pPr>
            <w:r>
              <w:rPr>
                <w:lang w:eastAsia="en-US"/>
              </w:rPr>
              <w:t xml:space="preserve">    </w:t>
            </w:r>
          </w:p>
          <w:p>
            <w:pPr>
              <w:pStyle w:val="11"/>
              <w:widowControl w:val="0"/>
            </w:pPr>
            <w:bookmarkStart w:id="102" w:name="_Ref110850407"/>
            <w:r>
              <w:t xml:space="preserve">Figure </w:t>
            </w:r>
            <w:r>
              <w:fldChar w:fldCharType="begin"/>
            </w:r>
            <w:r>
              <w:instrText xml:space="preserve"> SEQ Figure \* ARABIC </w:instrText>
            </w:r>
            <w:r>
              <w:fldChar w:fldCharType="separate"/>
            </w:r>
            <w:r>
              <w:t>5</w:t>
            </w:r>
            <w:r>
              <w:fldChar w:fldCharType="end"/>
            </w:r>
            <w:bookmarkEnd w:id="102"/>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UE-group PCell switching</w:t>
            </w:r>
          </w:p>
          <w:p>
            <w:pPr>
              <w:widowControl w:val="0"/>
              <w:jc w:val="center"/>
              <w:rPr>
                <w:b/>
                <w:i/>
                <w:lang w:eastAsia="en-US"/>
              </w:rPr>
            </w:pPr>
            <w: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pPr>
              <w:widowControl w:val="0"/>
              <w:jc w:val="center"/>
              <w:rPr>
                <w:b/>
                <w:i/>
                <w:lang w:eastAsia="en-US"/>
              </w:rPr>
            </w:pPr>
            <w:r>
              <mc:AlternateContent>
                <mc:Choice Requires="wps">
                  <w:drawing>
                    <wp:anchor distT="0" distB="0" distL="114300" distR="114300" simplePos="0" relativeHeight="251661312"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24.25pt;margin-top:90.4pt;height:24.2pt;width:38pt;z-index:251661312;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AWoXCaEAIAABgEAAAOAAAAZHJzL2Uyb0RvYy54bWyt&#10;U02P2jAQvVfqf7B8Lwkfy1JEWNFdUVVC3ZXYqmfj2MSS7XFtQ0J/fccOsKjtqerFGc9M3njevFk8&#10;dEaTo/BBga3ocFBSIiyHWtl9Rb+9rj/MKAmR2ZppsKKiJxHow/L9u0Xr5mIEDehaeIIgNsxbV9Em&#10;RjcvisAbYVgYgBMWgxK8YRGvfl/UnrWIbnQxKstp0YKvnQcuQkDvUx+ky4wvpeDxWcogItEVxbfF&#10;fPp87tJZLBdsvvfMNYqfn8H+4RWGKYtFr1BPLDJy8OoPKKO4hwAyDjiYAqRUXOQesJth+Vs324Y5&#10;kXtBcoK70hT+Hyz/enzxRNUVvR9TYpnBGb2KLpJP0JHhLPHTujDHtK3DxNihH+d88Qd0prY76U36&#10;YkME48j06cpuQuPonMxGsxKLcAyNy/tyNk0oxdvPzof4WYAhyaiox+FlTtlxE2KfeklJtSysldZ5&#10;gNqStqLT8V2Zf7hGEFxbrJFa6J+arNjtunNfO6hP2JaHXhjB8bXC4hsW4gvzqATsBNUdn/GQGrAI&#10;nC1KGvA//+ZP+TggjFLSorIqGn4cmBeU6C8WR/dxOJkkKebL5O5+hBd/G9ndRuzBPAKKd4h75Hg2&#10;U37UF1N6MN9xCVapKoaY5Vi7ovFiPsZe77hEXKxWOQnF51jc2K3jCbqnc3WIIFVmOtHUc3NmD+WX&#10;Z3VelaTv23vOelv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5LQr2gAAAAsBAAAPAAAAAAAA&#10;AAEAIAAAACIAAABkcnMvZG93bnJldi54bWxQSwECFAAUAAAACACHTuJAFqFwmhACAAAYBAAADgAA&#10;AAAAAAABACAAAAApAQAAZHJzL2Uyb0RvYy54bWxQSwUGAAAAAAYABgBZAQAAqwU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o:spt="32" type="#_x0000_t32" style="position:absolute;left:0pt;margin-left:162.4pt;margin-top:76.15pt;height:35.7pt;width:0pt;z-index:251660288;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pPr>
              <w:pStyle w:val="11"/>
              <w:widowControl w:val="0"/>
              <w:rPr>
                <w:sz w:val="16"/>
                <w:szCs w:val="16"/>
              </w:rPr>
            </w:pPr>
            <w:bookmarkStart w:id="103" w:name="_Ref110850141"/>
            <w:r>
              <w:t xml:space="preserve">Figure </w:t>
            </w:r>
            <w:r>
              <w:fldChar w:fldCharType="begin"/>
            </w:r>
            <w:r>
              <w:instrText xml:space="preserve"> SEQ Figure \* ARABIC </w:instrText>
            </w:r>
            <w:r>
              <w:fldChar w:fldCharType="separate"/>
            </w:r>
            <w:r>
              <w:t>6</w:t>
            </w:r>
            <w:r>
              <w:fldChar w:fldCharType="end"/>
            </w:r>
            <w:bookmarkEnd w:id="103"/>
            <w:r>
              <w:t>: Comparison between 1-CC case and 2-CC case depending on cell loading</w:t>
            </w:r>
          </w:p>
          <w:p>
            <w:pPr>
              <w:pStyle w:val="48"/>
              <w:widowControl w:val="0"/>
              <w:spacing w:after="120" w:afterLines="50"/>
              <w:ind w:left="360"/>
              <w:jc w:val="center"/>
              <w:rPr>
                <w:rFonts w:eastAsiaTheme="minorEastAsia"/>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10: Huawei/HiSilicon </w:t>
      </w:r>
    </w:p>
    <w:p>
      <w:pPr>
        <w:spacing w:after="240"/>
      </w:pPr>
      <w:r>
        <w:t>(</w:t>
      </w:r>
      <w:r>
        <w:fldChar w:fldCharType="begin"/>
      </w:r>
      <w:r>
        <w:instrText xml:space="preserve"> HYPERLINK "https://www.3gpp.org/ftp/TSG_RAN/WG1_RL1/TSGR1_110b-e/Docs/R1-2208425.zip" </w:instrText>
      </w:r>
      <w:r>
        <w:fldChar w:fldCharType="separate"/>
      </w:r>
      <w:r>
        <w:rPr>
          <w:rStyle w:val="30"/>
        </w:rPr>
        <w:t>R1-2208425</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keepNext/>
              <w:widowControl w:val="0"/>
            </w:pPr>
            <w: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3"/>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54"/>
                          <a:stretch>
                            <a:fillRect/>
                          </a:stretch>
                        </pic:blipFill>
                        <pic:spPr>
                          <a:xfrm>
                            <a:off x="0" y="0"/>
                            <a:ext cx="2857500" cy="1797431"/>
                          </a:xfrm>
                          <a:prstGeom prst="rect">
                            <a:avLst/>
                          </a:prstGeom>
                        </pic:spPr>
                      </pic:pic>
                    </a:graphicData>
                  </a:graphic>
                </wp:inline>
              </w:drawing>
            </w:r>
          </w:p>
          <w:p>
            <w:pPr>
              <w:pStyle w:val="11"/>
              <w:widowControl w:val="0"/>
            </w:pPr>
            <w:r>
              <w:t>Figure 4</w:t>
            </w:r>
            <w:r>
              <w:rPr>
                <w:b w:val="0"/>
              </w:rPr>
              <w:t xml:space="preserve"> Initial system-level simulation results for SSB/SIB1-less operation</w:t>
            </w:r>
          </w:p>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11: Fujitsu </w:t>
      </w:r>
    </w:p>
    <w:p>
      <w:pPr>
        <w:spacing w:after="240"/>
      </w:pPr>
      <w:r>
        <w:t>(</w:t>
      </w:r>
      <w:r>
        <w:fldChar w:fldCharType="begin"/>
      </w:r>
      <w:r>
        <w:instrText xml:space="preserve"> HYPERLINK "https://www.3gpp.org/ftp/TSG_RAN/WG1_RL1/TSGR1_110b-e/Docs/R1-2209023.zip" </w:instrText>
      </w:r>
      <w:r>
        <w:fldChar w:fldCharType="separate"/>
      </w:r>
      <w:r>
        <w:rPr>
          <w:rStyle w:val="30"/>
        </w:rPr>
        <w:t>R1-2209023</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lang w:eastAsia="ja-JP"/>
              </w:rPr>
            </w:pPr>
            <w:r>
              <w:rPr>
                <w:rFonts w:eastAsia="MS Mincho"/>
                <w:sz w:val="22"/>
                <w:szCs w:val="22"/>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sz w:val="22"/>
                <w:szCs w:val="22"/>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pPr>
              <w:widowControl w:val="0"/>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igure 5. Simulation results in terms of energy consumption and energy efficiency with and without TxRU adaptation</w:t>
            </w:r>
          </w:p>
          <w:p>
            <w:pPr>
              <w:widowControl w:val="0"/>
              <w:jc w:val="center"/>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able I. UPT performance with and without TxRU adaptation</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660"/>
              <w:gridCol w:w="1937"/>
              <w:gridCol w:w="179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restart"/>
                </w:tcPr>
                <w:p>
                  <w:pPr>
                    <w:widowControl w:val="0"/>
                    <w:jc w:val="center"/>
                    <w:rPr>
                      <w:rFonts w:eastAsia="MS Mincho"/>
                      <w:sz w:val="22"/>
                      <w:szCs w:val="22"/>
                      <w:lang w:eastAsia="ja-JP"/>
                    </w:rPr>
                  </w:pPr>
                </w:p>
              </w:tc>
              <w:tc>
                <w:tcPr>
                  <w:tcW w:w="3686" w:type="dxa"/>
                  <w:gridSpan w:val="2"/>
                </w:tcPr>
                <w:p>
                  <w:pPr>
                    <w:widowControl w:val="0"/>
                    <w:jc w:val="center"/>
                    <w:rPr>
                      <w:rFonts w:eastAsia="MS Mincho"/>
                      <w:sz w:val="22"/>
                      <w:szCs w:val="22"/>
                      <w:lang w:eastAsia="ja-JP"/>
                    </w:rPr>
                  </w:pPr>
                  <w:r>
                    <w:rPr>
                      <w:rFonts w:eastAsia="MS Mincho"/>
                      <w:sz w:val="22"/>
                      <w:szCs w:val="22"/>
                      <w:lang w:eastAsia="ja-JP"/>
                    </w:rPr>
                    <w:t>30% RUR</w:t>
                  </w:r>
                </w:p>
              </w:tc>
              <w:tc>
                <w:tcPr>
                  <w:tcW w:w="3680" w:type="dxa"/>
                  <w:gridSpan w:val="2"/>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RUR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continue"/>
                </w:tcPr>
                <w:p>
                  <w:pPr>
                    <w:widowControl w:val="0"/>
                    <w:jc w:val="center"/>
                    <w:rPr>
                      <w:rFonts w:eastAsia="MS Mincho"/>
                      <w:sz w:val="22"/>
                      <w:szCs w:val="22"/>
                      <w:lang w:eastAsia="ja-JP"/>
                    </w:rPr>
                  </w:pPr>
                </w:p>
              </w:tc>
              <w:tc>
                <w:tcPr>
                  <w:tcW w:w="1701"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985"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c>
                <w:tcPr>
                  <w:tcW w:w="1843"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837"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7.1</w:t>
                  </w:r>
                </w:p>
              </w:tc>
              <w:tc>
                <w:tcPr>
                  <w:tcW w:w="1985"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5.2</w:t>
                  </w:r>
                </w:p>
              </w:tc>
              <w:tc>
                <w:tcPr>
                  <w:tcW w:w="1985"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3.5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2.3</w:t>
                  </w:r>
                </w:p>
              </w:tc>
              <w:tc>
                <w:tcPr>
                  <w:tcW w:w="1837"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A</w:t>
                  </w:r>
                  <w:r>
                    <w:rPr>
                      <w:rFonts w:eastAsia="MS Mincho"/>
                      <w:sz w:val="22"/>
                      <w:szCs w:val="22"/>
                      <w:lang w:eastAsia="ja-JP"/>
                    </w:rPr>
                    <w:t>verage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4.6</w:t>
                  </w:r>
                </w:p>
              </w:tc>
              <w:tc>
                <w:tcPr>
                  <w:tcW w:w="1985"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3.1</w:t>
                  </w:r>
                </w:p>
              </w:tc>
              <w:tc>
                <w:tcPr>
                  <w:tcW w:w="184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1.6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0.7</w:t>
                  </w:r>
                </w:p>
              </w:tc>
            </w:tr>
          </w:tbl>
          <w:p>
            <w:pPr>
              <w:pStyle w:val="11"/>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
      <w:pPr>
        <w:pStyle w:val="5"/>
        <w:numPr>
          <w:ilvl w:val="0"/>
          <w:numId w:val="0"/>
        </w:numPr>
      </w:pPr>
      <w:r>
        <w:t xml:space="preserve">Source 12: Intel </w:t>
      </w:r>
    </w:p>
    <w:p>
      <w:pPr>
        <w:spacing w:after="240"/>
      </w:pPr>
      <w:r>
        <w:t>(</w:t>
      </w:r>
      <w:r>
        <w:fldChar w:fldCharType="begin"/>
      </w:r>
      <w:r>
        <w:instrText xml:space="preserve"> HYPERLINK "https://www.3gpp.org/ftp/TSG_RAN/WG1_RL1/TSGR1_110b-e/Docs/R1-2209064.zip" </w:instrText>
      </w:r>
      <w:r>
        <w:fldChar w:fldCharType="separate"/>
      </w:r>
      <w:r>
        <w:rPr>
          <w:rStyle w:val="30"/>
        </w:rPr>
        <w:t>R1-2209064</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u w:val="single"/>
                <w:lang w:eastAsia="ja-JP"/>
              </w:rPr>
            </w:pPr>
            <w:r>
              <w:rPr>
                <w:rFonts w:eastAsia="MS Mincho"/>
                <w:sz w:val="22"/>
                <w:szCs w:val="22"/>
                <w:u w:val="single"/>
                <w:lang w:eastAsia="ja-JP"/>
              </w:rPr>
              <w:t>Time domain</w:t>
            </w:r>
          </w:p>
          <w:p>
            <w:pPr>
              <w:keepNext/>
              <w:widowControl w:val="0"/>
              <w:jc w:val="center"/>
            </w:pPr>
            <w: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pStyle w:val="11"/>
              <w:widowControl w:val="0"/>
            </w:pPr>
            <w:bookmarkStart w:id="104" w:name="_Ref115291906"/>
            <w:r>
              <w:t xml:space="preserve">Figure </w:t>
            </w:r>
            <w:r>
              <w:fldChar w:fldCharType="begin"/>
            </w:r>
            <w:r>
              <w:instrText xml:space="preserve"> SEQ Figure \* ARABIC </w:instrText>
            </w:r>
            <w:r>
              <w:fldChar w:fldCharType="separate"/>
            </w:r>
            <w:r>
              <w:t>17</w:t>
            </w:r>
            <w:r>
              <w:fldChar w:fldCharType="end"/>
            </w:r>
            <w:bookmarkEnd w:id="104"/>
            <w:r>
              <w:t>. Comparison of cell throughput and power consumption in load, light, and medium load scenarios with 20 or 160 msec SSB periodicity (Cat 1 BS Power Model)</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Frequency domain</w:t>
            </w:r>
          </w:p>
          <w:p>
            <w:pPr>
              <w:keepNext/>
              <w:widowControl w:val="0"/>
              <w:jc w:val="center"/>
            </w:pPr>
            <w: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63"/>
                          <a:srcRect l="8838" r="9047"/>
                          <a:stretch>
                            <a:fillRect/>
                          </a:stretch>
                        </pic:blipFill>
                        <pic:spPr>
                          <a:xfrm>
                            <a:off x="0" y="0"/>
                            <a:ext cx="5749186" cy="2141401"/>
                          </a:xfrm>
                          <a:prstGeom prst="rect">
                            <a:avLst/>
                          </a:prstGeom>
                          <a:ln>
                            <a:noFill/>
                          </a:ln>
                        </pic:spPr>
                      </pic:pic>
                    </a:graphicData>
                  </a:graphic>
                </wp:inline>
              </w:drawing>
            </w:r>
          </w:p>
          <w:p>
            <w:pPr>
              <w:pStyle w:val="11"/>
              <w:widowControl w:val="0"/>
            </w:pPr>
            <w:bookmarkStart w:id="105" w:name="_Ref115296413"/>
            <w:r>
              <w:t xml:space="preserve">Figure </w:t>
            </w:r>
            <w:r>
              <w:fldChar w:fldCharType="begin"/>
            </w:r>
            <w:r>
              <w:instrText xml:space="preserve"> SEQ Figure \* ARABIC </w:instrText>
            </w:r>
            <w:r>
              <w:fldChar w:fldCharType="separate"/>
            </w:r>
            <w:r>
              <w:t>27</w:t>
            </w:r>
            <w:r>
              <w:fldChar w:fldCharType="end"/>
            </w:r>
            <w:bookmarkEnd w:id="105"/>
            <w:r>
              <w:t>. Comparison of slot utilization with average of 0.57 user per cell (corresponding to very low load of RU of 1.1%</w:t>
            </w:r>
            <w:r>
              <w:tab/>
            </w:r>
            <w:r>
              <w:t xml:space="preserve"> in case of full BW usage) and using 100%, 50%, and 25% of the system bandwidth</w:t>
            </w:r>
          </w:p>
          <w:p>
            <w:pPr>
              <w:widowControl w:val="0"/>
            </w:pPr>
            <w: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64"/>
                          <a:srcRect l="9376" r="8724"/>
                          <a:stretch>
                            <a:fillRect/>
                          </a:stretch>
                        </pic:blipFill>
                        <pic:spPr>
                          <a:xfrm>
                            <a:off x="0" y="0"/>
                            <a:ext cx="5796452" cy="2164669"/>
                          </a:xfrm>
                          <a:prstGeom prst="rect">
                            <a:avLst/>
                          </a:prstGeom>
                          <a:ln>
                            <a:noFill/>
                          </a:ln>
                        </pic:spPr>
                      </pic:pic>
                    </a:graphicData>
                  </a:graphic>
                </wp:inline>
              </w:drawing>
            </w:r>
          </w:p>
          <w:p>
            <w:pPr>
              <w:pStyle w:val="11"/>
              <w:widowControl w:val="0"/>
            </w:pPr>
            <w:bookmarkStart w:id="106" w:name="_Ref115296415"/>
            <w:r>
              <w:t xml:space="preserve">Figure </w:t>
            </w:r>
            <w:r>
              <w:fldChar w:fldCharType="begin"/>
            </w:r>
            <w:r>
              <w:instrText xml:space="preserve"> SEQ Figure \* ARABIC </w:instrText>
            </w:r>
            <w:r>
              <w:fldChar w:fldCharType="separate"/>
            </w:r>
            <w:r>
              <w:t>28</w:t>
            </w:r>
            <w:r>
              <w:fldChar w:fldCharType="end"/>
            </w:r>
            <w:bookmarkEnd w:id="106"/>
            <w:r>
              <w:t>. Comparison of slot utilization with average of 3.29 user per cell (corresponding to low load of RU of 7.9% in case of full BW usage) and using 100%, 50%, and 25% of the system bandwidth</w:t>
            </w:r>
          </w:p>
          <w:p>
            <w:pPr>
              <w:widowControl w:val="0"/>
              <w:jc w:val="center"/>
            </w:pPr>
            <w:r>
              <w:t xml:space="preserve"> </w:t>
            </w:r>
          </w:p>
          <w:p>
            <w:pPr>
              <w:keepNext/>
              <w:widowControl w:val="0"/>
            </w:pPr>
            <w: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65">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pPr>
              <w:pStyle w:val="11"/>
              <w:widowControl w:val="0"/>
            </w:pPr>
            <w:bookmarkStart w:id="107" w:name="_Ref115296417"/>
            <w:r>
              <w:t xml:space="preserve">Figure </w:t>
            </w:r>
            <w:r>
              <w:fldChar w:fldCharType="begin"/>
            </w:r>
            <w:r>
              <w:instrText xml:space="preserve"> SEQ Figure \* ARABIC </w:instrText>
            </w:r>
            <w:r>
              <w:fldChar w:fldCharType="separate"/>
            </w:r>
            <w:r>
              <w:t>29</w:t>
            </w:r>
            <w:r>
              <w:fldChar w:fldCharType="end"/>
            </w:r>
            <w:bookmarkEnd w:id="107"/>
            <w:r>
              <w:t>. Comparison of slot utilization with average of 7 user per cell (corresponding to light load of RU of 20.9% in case of full BW usage) and using 100%, 50%, and 25% of the system bandwidth</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Spatial domain</w:t>
            </w:r>
          </w:p>
          <w:p>
            <w:pPr>
              <w:keepNext/>
              <w:widowControl w:val="0"/>
            </w:pPr>
            <w: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6"/>
                          <a:srcRect l="9283" r="8670"/>
                          <a:stretch>
                            <a:fillRect/>
                          </a:stretch>
                        </pic:blipFill>
                        <pic:spPr>
                          <a:xfrm>
                            <a:off x="0" y="0"/>
                            <a:ext cx="5760580" cy="2261492"/>
                          </a:xfrm>
                          <a:prstGeom prst="rect">
                            <a:avLst/>
                          </a:prstGeom>
                          <a:ln>
                            <a:noFill/>
                          </a:ln>
                        </pic:spPr>
                      </pic:pic>
                    </a:graphicData>
                  </a:graphic>
                </wp:inline>
              </w:drawing>
            </w:r>
          </w:p>
          <w:p>
            <w:pPr>
              <w:pStyle w:val="11"/>
              <w:widowControl w:val="0"/>
            </w:pPr>
            <w:bookmarkStart w:id="108" w:name="_Ref115296476"/>
            <w:r>
              <w:t xml:space="preserve">Figure </w:t>
            </w:r>
            <w:r>
              <w:fldChar w:fldCharType="begin"/>
            </w:r>
            <w:r>
              <w:instrText xml:space="preserve"> SEQ Figure \* ARABIC </w:instrText>
            </w:r>
            <w:r>
              <w:fldChar w:fldCharType="separate"/>
            </w:r>
            <w:r>
              <w:t>30</w:t>
            </w:r>
            <w:r>
              <w:fldChar w:fldCharType="end"/>
            </w:r>
            <w:bookmarkEnd w:id="108"/>
            <w:r>
              <w:t>. Comparison of slot utilization with average of 3.28 user per cell (corresponding to low load of RU of 7.9% in case of full BW and full TxRx usage) and using 100%, 50%, and 25% of the number of antenna elements.</w:t>
            </w:r>
          </w:p>
          <w:p>
            <w:pPr>
              <w:keepNext/>
              <w:widowControl w:val="0"/>
            </w:pPr>
            <w: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67">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pPr>
              <w:pStyle w:val="11"/>
              <w:widowControl w:val="0"/>
            </w:pPr>
            <w:bookmarkStart w:id="109" w:name="_Ref115296478"/>
            <w:r>
              <w:t xml:space="preserve">Figure </w:t>
            </w:r>
            <w:r>
              <w:fldChar w:fldCharType="begin"/>
            </w:r>
            <w:r>
              <w:instrText xml:space="preserve"> SEQ Figure \* ARABIC </w:instrText>
            </w:r>
            <w:r>
              <w:fldChar w:fldCharType="separate"/>
            </w:r>
            <w:r>
              <w:t>31</w:t>
            </w:r>
            <w:r>
              <w:fldChar w:fldCharType="end"/>
            </w:r>
            <w:bookmarkEnd w:id="109"/>
            <w:r>
              <w:t>. Comparison of slot utilization with average of 7 user per cell (corresponding to light load of RU of 20.9% in case of full BW and full TxRx usage) and using 100%, 50%, and 25% of the number of antenna elements.</w:t>
            </w:r>
          </w:p>
          <w:p>
            <w:pPr>
              <w:widowControl w:val="0"/>
            </w:pPr>
          </w:p>
          <w:p>
            <w:pPr>
              <w:keepNext/>
              <w:widowControl w:val="0"/>
            </w:pPr>
            <w: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68"/>
                          <a:srcRect l="9470" r="8762"/>
                          <a:stretch>
                            <a:fillRect/>
                          </a:stretch>
                        </pic:blipFill>
                        <pic:spPr>
                          <a:xfrm>
                            <a:off x="0" y="0"/>
                            <a:ext cx="5676836" cy="2236272"/>
                          </a:xfrm>
                          <a:prstGeom prst="rect">
                            <a:avLst/>
                          </a:prstGeom>
                          <a:ln>
                            <a:noFill/>
                          </a:ln>
                        </pic:spPr>
                      </pic:pic>
                    </a:graphicData>
                  </a:graphic>
                </wp:inline>
              </w:drawing>
            </w:r>
          </w:p>
          <w:p>
            <w:pPr>
              <w:pStyle w:val="11"/>
              <w:widowControl w:val="0"/>
            </w:pPr>
            <w:bookmarkStart w:id="110" w:name="_Ref115296480"/>
            <w:r>
              <w:t xml:space="preserve">Figure </w:t>
            </w:r>
            <w:r>
              <w:fldChar w:fldCharType="begin"/>
            </w:r>
            <w:r>
              <w:instrText xml:space="preserve"> SEQ Figure \* ARABIC </w:instrText>
            </w:r>
            <w:r>
              <w:fldChar w:fldCharType="separate"/>
            </w:r>
            <w:r>
              <w:t>32</w:t>
            </w:r>
            <w:r>
              <w:fldChar w:fldCharType="end"/>
            </w:r>
            <w:bookmarkEnd w:id="110"/>
            <w:r>
              <w:t>. Comparison of slot utilization with average of 11 user per cell (corresponding to medium load RU of 38.3% in case of full BW and full TxRx usage) and using 100%, 50%, and 25% of the number of antenna elements.</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Power domain</w:t>
            </w:r>
          </w:p>
          <w:p>
            <w:pPr>
              <w:widowControl w:val="0"/>
              <w:spacing w:afterLines="50"/>
              <w:jc w:val="center"/>
              <w:rPr>
                <w:rFonts w:eastAsia="MS Mincho"/>
                <w:sz w:val="22"/>
                <w:szCs w:val="22"/>
                <w:lang w:eastAsia="ja-JP"/>
              </w:rPr>
            </w:pPr>
          </w:p>
          <w:p>
            <w:pPr>
              <w:keepNext/>
              <w:widowControl w:val="0"/>
              <w:jc w:val="center"/>
            </w:pPr>
            <w:r>
              <w:rPr>
                <w:rFonts w:eastAsia="Times New Roman"/>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69"/>
                          <a:srcRect l="8729" r="8292"/>
                          <a:stretch>
                            <a:fillRect/>
                          </a:stretch>
                        </pic:blipFill>
                        <pic:spPr>
                          <a:xfrm>
                            <a:off x="0" y="0"/>
                            <a:ext cx="5770666" cy="2127050"/>
                          </a:xfrm>
                          <a:prstGeom prst="rect">
                            <a:avLst/>
                          </a:prstGeom>
                          <a:ln>
                            <a:noFill/>
                          </a:ln>
                        </pic:spPr>
                      </pic:pic>
                    </a:graphicData>
                  </a:graphic>
                </wp:inline>
              </w:drawing>
            </w:r>
          </w:p>
          <w:p>
            <w:pPr>
              <w:pStyle w:val="11"/>
              <w:widowControl w:val="0"/>
            </w:pPr>
            <w:bookmarkStart w:id="111" w:name="_Ref115296604"/>
            <w:r>
              <w:t xml:space="preserve">Figure </w:t>
            </w:r>
            <w:r>
              <w:fldChar w:fldCharType="begin"/>
            </w:r>
            <w:r>
              <w:instrText xml:space="preserve"> SEQ Figure \* ARABIC </w:instrText>
            </w:r>
            <w:r>
              <w:fldChar w:fldCharType="separate"/>
            </w:r>
            <w:r>
              <w:t>33</w:t>
            </w:r>
            <w:r>
              <w:fldChar w:fldCharType="end"/>
            </w:r>
            <w:bookmarkEnd w:id="111"/>
            <w:r>
              <w:t>. Comparison of slot utilization with average of 3.28 user per cell (corresponding to low load of RU of 7.9% in case of full BW and full TxRx usage) and using 100%, 25%, and 6.25% of maximum transmit power.</w:t>
            </w:r>
          </w:p>
          <w:p>
            <w:pPr>
              <w:pStyle w:val="11"/>
              <w:widowControl w:val="0"/>
              <w:jc w:val="both"/>
              <w:rPr>
                <w:rFonts w:eastAsia="Times New Roman"/>
              </w:rPr>
            </w:pPr>
          </w:p>
          <w:p>
            <w:pPr>
              <w:widowControl w:val="0"/>
              <w:rPr>
                <w:rFonts w:eastAsia="Times New Roman"/>
              </w:rPr>
            </w:pPr>
          </w:p>
          <w:p>
            <w:pPr>
              <w:keepNext/>
              <w:widowControl w:val="0"/>
              <w:jc w:val="center"/>
            </w:pPr>
            <w:r>
              <w:rPr>
                <w:rFonts w:eastAsia="Times New Roman"/>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0">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pPr>
              <w:pStyle w:val="11"/>
              <w:widowControl w:val="0"/>
              <w:rPr>
                <w:rFonts w:eastAsia="Times New Roman"/>
              </w:rPr>
            </w:pPr>
            <w:bookmarkStart w:id="112" w:name="_Ref115296605"/>
            <w:r>
              <w:t xml:space="preserve">Figure </w:t>
            </w:r>
            <w:r>
              <w:fldChar w:fldCharType="begin"/>
            </w:r>
            <w:r>
              <w:instrText xml:space="preserve"> SEQ Figure \* ARABIC </w:instrText>
            </w:r>
            <w:r>
              <w:fldChar w:fldCharType="separate"/>
            </w:r>
            <w:r>
              <w:t>34</w:t>
            </w:r>
            <w:r>
              <w:fldChar w:fldCharType="end"/>
            </w:r>
            <w:bookmarkEnd w:id="112"/>
            <w:r>
              <w:t>. Comparison of slot utilization with average of 7 user per cell (corresponding to light load of RU of 20.9% in case of full BW and full TxRx usage) and using 100%, 25%, and 6.25% of maximum transmit power.</w:t>
            </w:r>
          </w:p>
          <w:p>
            <w:pPr>
              <w:keepNext/>
              <w:widowControl w:val="0"/>
              <w:jc w:val="center"/>
            </w:pPr>
            <w:r>
              <w:rPr>
                <w:rFonts w:eastAsia="Times New Roman"/>
              </w:rPr>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1"/>
                          <a:srcRect l="9160" r="7861"/>
                          <a:stretch>
                            <a:fillRect/>
                          </a:stretch>
                        </pic:blipFill>
                        <pic:spPr>
                          <a:xfrm>
                            <a:off x="0" y="0"/>
                            <a:ext cx="5822755" cy="2146250"/>
                          </a:xfrm>
                          <a:prstGeom prst="rect">
                            <a:avLst/>
                          </a:prstGeom>
                          <a:ln>
                            <a:noFill/>
                          </a:ln>
                        </pic:spPr>
                      </pic:pic>
                    </a:graphicData>
                  </a:graphic>
                </wp:inline>
              </w:drawing>
            </w:r>
          </w:p>
          <w:p>
            <w:pPr>
              <w:pStyle w:val="11"/>
              <w:widowControl w:val="0"/>
            </w:pPr>
            <w:bookmarkStart w:id="113" w:name="_Ref115296606"/>
            <w:r>
              <w:t xml:space="preserve">Figure </w:t>
            </w:r>
            <w:r>
              <w:fldChar w:fldCharType="begin"/>
            </w:r>
            <w:r>
              <w:instrText xml:space="preserve"> SEQ Figure \* ARABIC </w:instrText>
            </w:r>
            <w:r>
              <w:fldChar w:fldCharType="separate"/>
            </w:r>
            <w:r>
              <w:t>35</w:t>
            </w:r>
            <w:r>
              <w:fldChar w:fldCharType="end"/>
            </w:r>
            <w:bookmarkEnd w:id="113"/>
            <w:r>
              <w:t>. Comparison of slot utilization with average of 11 user per cell (corresponding to medium load RU of 38.3% in case of full BW and full TxRx usage) and using 100%, 25%, and 6.25% of maximum transmit power.</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13: MediaTek </w:t>
      </w:r>
    </w:p>
    <w:p>
      <w:pPr>
        <w:spacing w:after="240"/>
      </w:pPr>
      <w:r>
        <w:t>(</w:t>
      </w:r>
      <w:r>
        <w:fldChar w:fldCharType="begin"/>
      </w:r>
      <w:r>
        <w:instrText xml:space="preserve"> HYPERLINK "https://www.3gpp.org/ftp/TSG_RAN/WG1_RL1/TSGR1_110b-e/Docs/R1-2209501.zip" </w:instrText>
      </w:r>
      <w:r>
        <w:fldChar w:fldCharType="separate"/>
      </w:r>
      <w:r>
        <w:rPr>
          <w:rStyle w:val="30"/>
        </w:rPr>
        <w:t>R1-2209501</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603" w:type="dxa"/>
            <w:gridSpan w:val="2"/>
          </w:tcPr>
          <w:p>
            <w:pPr>
              <w:pStyle w:val="87"/>
              <w:keepNext/>
              <w:widowControl w:val="0"/>
              <w:numPr>
                <w:ilvl w:val="0"/>
                <w:numId w:val="0"/>
              </w:numPr>
              <w:rPr>
                <w:rFonts w:cstheme="minorHAnsi"/>
                <w:sz w:val="22"/>
                <w:szCs w:val="22"/>
              </w:rPr>
            </w:pPr>
            <w:r>
              <w:rPr>
                <w:rFonts w:cstheme="minorHAnsi"/>
                <w:sz w:val="22"/>
                <w:szCs w:val="22"/>
                <w:lang w:eastAsia="zh-CN"/>
              </w:rPr>
              <mc:AlternateContent>
                <mc:Choice Requires="wps">
                  <w:drawing>
                    <wp:anchor distT="45720" distB="45720" distL="114300" distR="114300" simplePos="0" relativeHeight="251662336"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0pt;margin-top:0pt;height:24.5pt;width:46.3pt;mso-position-horizontal-relative:page;mso-position-vertical-relative:page;z-index:251662336;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xT9jfkBAADbAwAADgAAAGRycy9lMm9Eb2MueG1srVPL&#10;btswELwX6D8QvNd61E4dwXKQJkhRIH0AST9gTVEWUZHLkrQl9+u7pBTXaG9FdSC43OVwZ3a0uRl1&#10;z47SeYWm5sUi50wagY0y+5p/e354s+bMBzAN9GhkzU/S85vt61ebwVayxA77RjpGIMZXg615F4Kt&#10;ssyLTmrwC7TSULJFpyFQ6PZZ42AgdN1nZZ5fZQO6xjoU0ns6vZ+SfJvw21aK8KVtvQysrzn1FtLq&#10;0rqLa7bdQLV3YDsl5jbgH7rQoAw9eoa6hwDs4NRfUFoJhx7bsBCoM2xbJWTiQGyK/A82Tx1YmbiQ&#10;ON6eZfL/D1Z8Pn51TDU0u/yKMwOahvQsx8De48jKqM9gfUVlT5YKw0jHVJu4evuI4rtnBu86MHt5&#10;6xwOnYSG+ivizezi6oTjI8hu+IQNPQOHgAlobJ2O4pEcjNBpTqfzbGIrgg5X63W5LDgTlHpbFMUq&#10;zS6D6uWydT58kKhZ3NTc0egTOBwffYjNQPVSEt8y+KD6Po2/N2yo+fWqXKULFxmtArmzV7rm6zx+&#10;iRVUvZnJRT4TszDuxlmsHTYnoulwchv9HbTp0P3kbCCn1dz/OICTnPUfDUl1XSyX0ZopWK7elRS4&#10;y8zuMgNGEFTNA2fT9i4kO0+cbknSViW6Ufupk7lXclBSYXZ7tOhlnKp+/5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HOPaDYAAAACwEAAA8AAAAAAAAAAQAgAAAAIgAAAGRycy9kb3ducmV2Lnht&#10;bFBLAQIUABQAAAAIAIdO4kADFP2N+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zh-CN"/>
              </w:rPr>
              <mc:AlternateContent>
                <mc:Choice Requires="wps">
                  <w:drawing>
                    <wp:anchor distT="45720" distB="45720" distL="114300" distR="114300" simplePos="0" relativeHeight="251665408"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2.2pt;margin-top:94.1pt;height:18.5pt;width:50.75pt;z-index:251665408;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ARW4Ic+gEAANsDAAAOAAAAZHJzL2Uyb0RvYy54bWytU8tu&#10;2zAQvBfoPxC815IVOYkFy0GaIEWB9AEk/YA1RVlERS5L0pbcr++SclwjuRXVgeByl8OdmdXqZtQ9&#10;20vnFZqaz2c5Z9IIbJTZ1vzH88OHa858ANNAj0bW/CA9v1m/f7cabCUL7LBvpGMEYnw12Jp3Idgq&#10;y7zopAY/QysNJVt0GgKFbps1DgZC131W5PllNqBrrEMhvafT+ynJ1wm/baUI39rWy8D6mlNvIa0u&#10;rZu4ZusVVFsHtlPi2Ab8QxcalKFHT1D3EIDtnHoDpZVw6LENM4E6w7ZVQiYOxGaev2Lz1IGViQuJ&#10;4+1JJv//YMXX/XfHVEPe5WSVAU0mPcsxsI84siLqM1hfUdmTpcIw0jHVJq7ePqL46ZnBuw7MVt46&#10;h0MnoaH+5vFmdnZ1wvERZDN8wYaegV3ABDS2TkfxSA5G6OTT4eRNbEXQ4WVZFhdXnAlKFRflcpG8&#10;y6B6uWydD58kahY3NXdkfQKH/aMPsRmoXkriWwYfVN8n+3vDhpovF8UiXTjLaBVoOnula36dxy+x&#10;gqo3R3KRz8QsjJvxKNYGmwPRdDhNG/0dtOnQ/eZsoEmruf+1Ayc56z8bkmo5L8s4mikoF1cFBe48&#10;sznPgBEEVfPA2bS9C2mcJ063JGmrEt2o/dTJsVeaoKTCcdrjiJ7HqervP7n+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gJHXXAAAACwEAAA8AAAAAAAAAAQAgAAAAIgAAAGRycy9kb3ducmV2Lnht&#10;bFBLAQIUABQAAAAIAIdO4kARW4Ic+gEAANsDAAAOAAAAAAAAAAEAIAAAACYBAABkcnMvZTJvRG9j&#10;LnhtbFBLBQYAAAAABgAGAFkBAACS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sz w:val="22"/>
                <w:szCs w:val="22"/>
                <w:lang w:eastAsia="zh-CN"/>
              </w:rPr>
              <mc:AlternateContent>
                <mc:Choice Requires="wps">
                  <w:drawing>
                    <wp:anchor distT="45720" distB="45720" distL="114300" distR="114300" simplePos="0" relativeHeight="25166438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0pt;margin-top:0pt;height:24.5pt;width:46.3pt;mso-position-horizontal-relative:page;mso-position-vertical-relative:page;z-index:25166438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Gz2usP6AQAA2wMAAA4AAABkcnMvZTJvRG9jLnhtbK1T&#10;y27bMBC8F+g/ELzXetRubcFykCZIUSBNCyT9gDVFWURFLkvSltyv75JyXKO5BdWB4HKXw53Z0fpq&#10;1D07SOcVmpoXs5wzaQQ2yuxq/uPp7t2SMx/ANNCjkTU/Ss+vNm/frAdbyRI77BvpGIEYXw225l0I&#10;tsoyLzqpwc/QSkPJFp2GQKHbZY2DgdB1n5V5/iEb0DXWoZDe0+ntlOSbhN+2UoRvbetlYH3NqbeQ&#10;VpfWbVyzzRqqnQPbKXFqA17RhQZl6NEz1C0EYHunXkBpJRx6bMNMoM6wbZWQiQOxKfJ/2Dx2YGXi&#10;QuJ4e5bJ/z9Y8XD47phqaHb5ijMDmob0JMfAPuHIyqjPYH1FZY+WCsNIx1SbuHp7j+KnZwZvOjA7&#10;ee0cDp2Ehvor4s3s4uqE4yPIdviKDT0D+4AJaGydjuKRHIzQaU7H82xiK4IOF8tlOS84E5R6XxTF&#10;Is0ug+r5snU+fJaoWdzU3NHoEzgc7n2IzUD1XBLfMnin+j6NvzdsqPlqUS7ShYuMVoHc2Std82Ue&#10;v8QKqt6cyEU+E7MwbseTWFtsjkTT4eQ2+jto06H7zdlATqu5/7UHJznrvxiSalXM59GaKZgvPpYU&#10;uMvM9jIDRhBUzQNn0/YmJDtPnK5J0lYlulH7qZNTr+SgpMLJ7dGil3Gq+vt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yhWNkAAAANAQAADwAAAAAAAAABACAAAAAiAAAAZHJzL2Rvd25yZXYu&#10;eG1sUEsBAhQAFAAAAAgAh07iQGz2usP6AQAA2wMAAA4AAAAAAAAAAQAgAAAAKAEAAGRycy9lMm9E&#10;b2MueG1sUEsFBgAAAAAGAAYAWQEAAJQFA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zh-CN"/>
              </w:rPr>
              <mc:AlternateContent>
                <mc:Choice Requires="wps">
                  <w:drawing>
                    <wp:anchor distT="45720" distB="45720" distL="114300" distR="114300" simplePos="0" relativeHeight="251663360"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1.1pt;margin-top:22pt;height:18.5pt;width:50.75pt;z-index:251663360;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LQJE2T6AQAA2wMAAA4AAABkcnMvZTJvRG9jLnhtbK1Ty27b&#10;MBC8F+g/ELzXshU5iQXLQZogRYH0AST9gDVFWURJLkvSltKv75JyXKO9FdWB4HKXw5nZ1fpmNJod&#10;pA8KbcMXszln0gpsld01/Nvzw7trzkIE24JGKxv+IgO/2bx9sx5cLUvsUbfSMwKxoR5cw/sYXV0U&#10;QfTSQJihk5aSHXoDkUK/K1oPA6EbXZTz+WUxoG+dRyFDoNP7Kck3Gb/rpIhfui7IyHTDiVvMq8/r&#10;Nq3FZg31zoPrlTjSgH9gYUBZevQEdQ8R2N6rv6CMEh4DdnEm0BTYdUrIrIHULOZ/qHnqwcmshcwJ&#10;7mRT+H+w4vPhq2eqpd4tyB8Lhpr0LMfI3uPIyuTP4EJNZU+OCuNIx1SbtQb3iOJ7YBbverA7ees9&#10;Dr2Elvgt0s3i7OqEExLIdviELT0D+4gZaOy8SeaRHYzQicfLqTeJiqDDy6oqL644E5QqL6rVMveu&#10;gPr1svMhfpBoWNo03FPrMzgcHkNMZKB+LUlvWXxQWuf2a8uGhq+W5TJfOMsYFWk6tTINv56nL6uC&#10;WtujuKRnUhbH7Xg0a4vtC8n0OE0b/R206dH/5GygSWt4+LEHLznTHy1ZtVpUVRrNHFTLq5ICf57Z&#10;nmfACoJqeORs2t7FPM6TpluytFNZbvJ+YnLkShOUXThOexrR8zhX/f4nN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f7vtYAAAAJAQAADwAAAAAAAAABACAAAAAiAAAAZHJzL2Rvd25yZXYueG1s&#10;UEsBAhQAFAAAAAgAh07iQLQJE2T6AQAA2wMAAA4AAAAAAAAAAQAgAAAAJQEAAGRycy9lMm9Eb2Mu&#10;eG1sUEsFBgAAAAAGAAYAWQEAAJE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sz w:val="22"/>
                <w:szCs w:val="22"/>
                <w:lang w:eastAsia="zh-CN"/>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11"/>
              <w:widowControl w:val="0"/>
              <w:rPr>
                <w:rFonts w:cstheme="minorHAnsi"/>
                <w:sz w:val="22"/>
                <w:szCs w:val="22"/>
              </w:rPr>
            </w:pPr>
            <w:bookmarkStart w:id="11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4"/>
            <w:r>
              <w:rPr>
                <w:rFonts w:cstheme="minorHAnsi"/>
                <w:sz w:val="22"/>
                <w:szCs w:val="22"/>
              </w:rPr>
              <w:t>: BS power consumption comparison with aligned UE DRX offsets (VoIP traffic)</w:t>
            </w:r>
          </w:p>
          <w:p>
            <w:pPr>
              <w:widowControl w:val="0"/>
            </w:pPr>
          </w:p>
          <w:p>
            <w:pPr>
              <w:widowControl w:val="0"/>
              <w:rPr>
                <w:sz w:val="22"/>
                <w:szCs w:val="22"/>
                <w:lang w:eastAsia="zh-TW"/>
              </w:rPr>
            </w:pPr>
            <w:r>
              <w:rPr>
                <w:sz w:val="22"/>
                <w:szCs w:val="22"/>
              </w:rPr>
              <mc:AlternateContent>
                <mc:Choice Requires="wps">
                  <w:drawing>
                    <wp:anchor distT="45720" distB="45720" distL="114300" distR="114300" simplePos="0" relativeHeight="251666432"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6.4pt;margin-top:30.7pt;height:18.5pt;width:45.25pt;z-index:251666432;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Dz0vOM+gEAANsDAAAOAAAAZHJzL2Uyb0RvYy54bWytU9Fu&#10;2yAUfZ+0f0C8L048p2mskKpr1WlS101q9wEE4xgNuAxI7Ozrd8FuFm1v0/yAuFzu4Z5zjzc3g9Hk&#10;KH1QYBldzOaUSCugUXbP6LeXh3fXlITIbcM1WMnoSQZ6s337ZtO7WpbQgW6kJwhiQ907RrsYXV0U&#10;QXTS8DADJy0mW/CGRwz9vmg87xHd6KKcz6+KHnzjPAgZAp7ej0m6zfhtK0X80rZBRqIZxd5iXn1e&#10;d2ktthte7z13nRJTG/wfujBcWXz0DHXPIycHr/6CMkp4CNDGmQBTQNsqITMHZLOY/8HmueNOZi4o&#10;TnBnmcL/gxVPx6+eqIbRcrGixHKDQ3qRQyQfYCBl0qd3ocZrzw4vxgGPcc6Za3CPIL4HYuGu43Yv&#10;b72HvpO8wf4WqbK4KB1xQgLZ9Z+hwWf4IUIGGlpvkngoB0F0nNPpPJvUisDD5apaX1WUCEyV76v1&#10;Ms+u4PVrsfMhfpRgSNow6nH0GZwfH0NMzfD69Up6y8KD0jqPX1vSM7pelstccJExKqI7tTKMXs/T&#10;l1nxWtuJXOIzMovDbpjE2kFzQpoeRrfh34GbDvxPSnp0GqPhx4F7SYn+ZFGq9aKqkjVzUC1XJQb+&#10;MrO7zHArEIrRSMm4vYvZziOnW5S0VZlu0n7sZOoVHZRVmNyeLHoZ51u//8n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d7EnXAAAACQEAAA8AAAAAAAAAAQAgAAAAIgAAAGRycy9kb3ducmV2Lnht&#10;bFBLAQIUABQAAAAIAIdO4kDz0vOM+gEAANsDAAAOAAAAAAAAAAEAIAAAACYBAABkcnMvZTJvRG9j&#10;LnhtbFBLBQYAAAAABgAGAFkBAACS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70528"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9pt;margin-top:30.45pt;height:24.5pt;width:46.3pt;z-index:251670528;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BWT7xv5AQAA2wMAAA4AAABkcnMvZTJvRG9jLnhtbK1TwY7T&#10;MBC9I/EPlu80TWihGzVdLbtahLQsSLt8wNRxGgvbY2y3Sfl6xk63VHBD5GB5POPneW9e1tej0ewg&#10;fVBoG17O5pxJK7BVdtfwb8/3b1achQi2BY1WNvwoA7/evH61HlwtK+xRt9IzArGhHlzD+xhdXRRB&#10;9NJAmKGTlpIdegORQr8rWg8DoRtdVPP5u2JA3zqPQoZAp3dTkm8yftdJEb90XZCR6YZTbzGvPq/b&#10;tBabNdQ7D65X4tQG/EMXBpSlR89QdxCB7b36C8oo4TFgF2cCTYFdp4TMHIhNOf+DzVMPTmYuJE5w&#10;Z5nC/4MVj4evnqmWZldWnFkwNKRnOUb2AUdWJX0GF2oqe3JUGEc6ptrMNbgHFN8Ds3jbg93JG+9x&#10;6CW01F+ZbhYXVyeckEC2w2ds6RnYR8xAY+dNEo/kYIROczqeZ5NaEXS4XK2qRcmZoNTbsiyXeXYF&#10;1C+XnQ/xo0TD0qbhnkafweHwEGJqBuqXkvSWxXuldR6/tmxo+NWyWuYLFxmjIrlTK9Pw1Tx9mRXU&#10;2p7IJT4Tszhux5NYW2yPRNPj5Db6O2jTo//J2UBOa3j4sQcvOdOfLEl1VS4WyZo5WCzfVxT4y8z2&#10;MgNWEFTDI2fT9jZmO0+cbkjSTmW6Sfupk1Ov5KCswsntyaKXca76/U9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1eLQ1gAAAAoBAAAPAAAAAAAAAAEAIAAAACIAAABkcnMvZG93bnJldi54bWxQ&#10;SwECFAAUAAAACACHTuJAFZPvG/kBAADbAwAADgAAAAAAAAABACAAAAAl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67456"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0.35pt;margin-top:30.8pt;height:18.5pt;width:45.8pt;z-index:251667456;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AdQfVa+gEAANsDAAAOAAAAZHJzL2Uyb0RvYy54bWytU8tu&#10;2zAQvBfoPxC817IUu7UFy0GaIEWB9AEk/YA1RVlESS5L0pbSr++SclyjvRXVgeByl8Od2dHmejSa&#10;HaUPCm3Dy9mcM2kFtsruG/7t6f7NirMQwbag0cqGP8vAr7evX20GV8sKe9St9IxAbKgH1/A+RlcX&#10;RRC9NBBm6KSlZIfeQKTQ74vWw0DoRhfVfP62GNC3zqOQIdDp3ZTk24zfdVLEL10XZGS64dRbzKvP&#10;6y6txXYD9d6D65U4tQH/0IUBZenRM9QdRGAHr/6CMkp4DNjFmUBTYNcpITMHYlPO/2Dz2IOTmQuJ&#10;E9xZpvD/YMXn41fPVEuzK684s2BoSE9yjOw9jqxK+gwu1FT26KgwjnRMtZlrcA8ovgdm8bYHu5c3&#10;3uPQS2ipvzLdLC6uTjghgeyGT9jSM3CImIHGzpskHsnBCJ3m9HyeTWpF0OFyVa7WJWeCUtXVYr3M&#10;syugfrnsfIgfJBqWNg33NPoMDseHEFMzUL+UpLcs3iut8/i1ZUPD18tqmS9cZIyK5E6tTMNX8/Rl&#10;VlBreyKX+EzM4rgbT2LtsH0mmh4nt9HfQZse/U/OBnJaw8OPA3jJmf5oSap1uVgka+ZgsXxXUeAv&#10;M7vLDFhBUA2PnE3b25jtPHG6IUk7lekm7adOTr2Sg7IKJ7cni17Guer3P7n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hUgvXAAAACQEAAA8AAAAAAAAAAQAgAAAAIgAAAGRycy9kb3ducmV2Lnht&#10;bFBLAQIUABQAAAAIAIdO4kAdQfVa+gEAANsDAAAOAAAAAAAAAAEAIAAAACYBAABkcnMvZTJvRG9j&#10;LnhtbFBLBQYAAAAABgAGAFkBAACS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6950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6pt;margin-top:84.25pt;height:18.5pt;width:45.8pt;z-index:25166950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BvOJ8W+QEAANsDAAAOAAAAZHJzL2Uyb0RvYy54bWytU8GO&#10;0zAQvSPxD5bvNE1ooY2arpZdLUJaFqRdPmDqOI2F7TG222T5esZOt1RwQ+RgeTzj53lvXjZXo9Hs&#10;KH1QaBtezuacSSuwVXbf8G9Pd29WnIUItgWNVjb8WQZ+tX39ajO4WlbYo26lZwRiQz24hvcxuroo&#10;guilgTBDJy0lO/QGIoV+X7QeBkI3uqjm83fFgL51HoUMgU5vpyTfZvyukyJ+6bogI9MNp95iXn1e&#10;d2ktthuo9x5cr8SpDfiHLgwoS4+eoW4hAjt49ReUUcJjwC7OBJoCu04JmTkQm3L+B5vHHpzMXEic&#10;4M4yhf8HKx6OXz1TLc2uXHBmwdCQnuQY2QccWZX0GVyoqezRUWEc6ZhqM9fg7lF8D8ziTQ92L6+9&#10;x6GX0FJ/ZbpZXFydcEIC2Q2fsaVn4BAxA42dN0k8koMROs3p+Tyb1Iqgw+WqXK1LzgSlqreL9TLP&#10;roD65bLzIX6UaFjaNNzT6DM4HO9DTM1A/VKS3rJ4p7TO49eWDQ1fL6tlvnCRMSqSO7UyDV/N05dZ&#10;Qa3tiVziMzGL4248ibXD9ploepzcRn8HbXr0PzkbyGkNDz8O4CVn+pMlqdblYpGsmYPF8n1Fgb/M&#10;7C4zYAVBNTxyNm1vYrbzxOmaJO1Uppu0nzo59UoOyiqc3J4sehnnqt//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bpu9tcAAAALAQAADwAAAAAAAAABACAAAAAiAAAAZHJzL2Rvd25yZXYueG1s&#10;UEsBAhQAFAAAAAgAh07iQG84nxb5AQAA2wMAAA4AAAAAAAAAAQAgAAAAJgEAAGRycy9lMm9Eb2Mu&#10;eG1sUEsFBgAAAAAGAAYAWQEAAJE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68480"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4.75pt;margin-top:84.3pt;height:18.5pt;width:45.25pt;z-index:251668480;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CWG0QI+gEAANsDAAAOAAAAZHJzL2Uyb0RvYy54bWytU8tu&#10;2zAQvBfoPxC817IVK4kFy0GaIEWB9AEk/YA1RVlESS5L0pbSr++SclyjvRXVgeByl8Od2dH6ZjSa&#10;HaQPCm3DF7M5Z9IKbJXdNfzb88O7a85CBNuCRisb/iIDv9m8fbMeXC1L7FG30jMCsaEeXMP7GF1d&#10;FEH00kCYoZOWkh16A5FCvytaDwOhG12U8/llMaBvnUchQ6DT+ynJNxm/66SIX7ouyMh0w6m3mFef&#10;121ai80a6p0H1ytxbAP+oQsDytKjJ6h7iMD2Xv0FZZTwGLCLM4GmwK5TQmYOxGYx/4PNUw9OZi4k&#10;TnAnmcL/gxWfD189Uy3NblFxZsHQkJ7lGNl7HFmZ9BlcqKnsyVFhHOmYajPX4B5RfA/M4l0Pdidv&#10;vcehl9BSf4t0szi7OuGEBLIdPmFLz8A+YgYaO2+SeCQHI3Sa08tpNqkVQYfV1XJ1ecGZoFR5sVxV&#10;eXYF1K+XnQ/xg0TD0qbhnkafweHwGGJqBurXkvSWxQeldR6/tmxo+Koqq3zhLGNUJHdqZRp+PU9f&#10;ZgW1tkdyic/ELI7b8SjWFtsXoulxchv9HbTp0f/kbCCnNTz82IOXnOmPlqRaLZbLZM0cLKurkgJ/&#10;ntmeZ8AKgmp45Gza3sVs54nTLUnaqUw3aT91cuyVHJRVOLo9WfQ8zlW//8n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ocrwnXAAAACwEAAA8AAAAAAAAAAQAgAAAAIgAAAGRycy9kb3ducmV2Lnht&#10;bFBLAQIUABQAAAAIAIdO4kCWG0QI+gEAANsDAAAOAAAAAAAAAAEAIAAAACYBAABkcnMvZTJvRG9j&#10;LnhtbFBLBQYAAAAABgAGAFkBAACS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71552"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6pt;margin-top:83.5pt;height:22.9pt;width:46.3pt;z-index:251671552;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CU3c+f3AQAA2wMAAA4AAABkcnMvZTJvRG9jLnhtbK1T&#10;wW7bMAy9D9g/CLovdoy4S4w4Rdeiw4BuHdDuA2RZjoVJoiYpsbOvHyW7WbDdivogiCL5yPdIb69H&#10;rchROC/B1HS5yCkRhkMrzb6mP57vP6wp8YGZlikwoqYn4en17v277WArUUAPqhWOIIjx1WBr2odg&#10;qyzzvBea+QVYYdDZgdMsoOn2WevYgOhaZUWeX2UDuNY64MJ7fL2bnHSX8LtO8PDYdV4EomqKvYV0&#10;unQ28cx2W1btHbO95HMb7BVdaCYNFj1D3bHAyMHJ/6C05A48dGHBQWfQdZKLxAHZLPN/2Dz1zIrE&#10;BcXx9iyTfztY/u343RHZ4uyWV5QYpnFIz2IM5BOMpIj6DNZXGPZkMTCM+Iyxiau3D8B/emLgtmdm&#10;L26cg6EXrMX+ljEzu0idcHwEaYav0GIZdgiQgMbO6SgeykEQHed0Os8mtsLxsVyvUSBKOLqKTb5Z&#10;lakCq16SrfPhswBN4qWmDkefwNnxwYfYDKteQmItA/dSqTR+ZchQ001ZlCnhwqNlwO1UUtd0ncdv&#10;rqnMTC7ymZiFsRlnsRpoT0jTwbRt+HfgpQf3m5IBN62m/teBOUGJ+mJQqs1ytYqrmYxV+bFAw116&#10;mksPMxyhahooma63Ia3zxOkGJe1kohu1nzqZe8UNSirM2x5X9NJOUX//yd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q77ytkAAAALAQAADwAAAAAAAAABACAAAAAiAAAAZHJzL2Rvd25yZXYueG1s&#10;UEsBAhQAFAAAAAgAh07iQCU3c+f3AQAA2wMAAA4AAAAAAAAAAQAgAAAAKA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11"/>
              <w:widowControl w:val="0"/>
              <w:rPr>
                <w:sz w:val="22"/>
                <w:szCs w:val="22"/>
              </w:rPr>
            </w:pPr>
            <w:bookmarkStart w:id="11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5"/>
            <w:r>
              <w:rPr>
                <w:sz w:val="22"/>
                <w:szCs w:val="22"/>
              </w:rPr>
              <w:t>: BS power consumption comparison with SSB/SIB1-less SCell (video traffic for CA setting)</w:t>
            </w:r>
          </w:p>
          <w:p>
            <w:pPr>
              <w:keepNext/>
              <w:widowControl w:val="0"/>
              <w:rPr>
                <w:sz w:val="22"/>
                <w:szCs w:val="22"/>
              </w:rPr>
            </w:pPr>
            <w:r>
              <w:rPr>
                <w:sz w:val="22"/>
                <w:szCs w:val="22"/>
              </w:rPr>
              <mc:AlternateContent>
                <mc:Choice Requires="wps">
                  <w:drawing>
                    <wp:anchor distT="45720" distB="45720" distL="114300" distR="114300" simplePos="0" relativeHeight="251675648"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3.4pt;margin-top:90.75pt;height:24.5pt;width:32.75pt;z-index:251675648;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gNgibvkBAADbAwAADgAAAGRycy9lMm9Eb2MueG1srVPL&#10;btswELwX6D8QvNeyXNuNBctBmiBFgfQBJP2ANUVZREkuS9KW3K/vknJcI7kV1YHgcpfDnZnV+now&#10;mh2kDwptzcvJlDNpBTbK7mr+4+n+3RVnIYJtQKOVNT/KwK83b9+se1fJGXaoG+kZgdhQ9a7mXYyu&#10;KoogOmkgTNBJS8kWvYFIod8VjYee0I0uZtPpsujRN86jkCHQ6d2Y5JuM37ZSxG9tG2RkuubUW8yr&#10;z+s2rcVmDdXOg+uUOLUB/9CFAWXp0TPUHURge69eQRklPAZs40SgKbBtlZCZA7Eppy/YPHbgZOZC&#10;4gR3lin8P1jx9fDdM9WQdyVZZcGQSU9yiOwjDmyW9OldqKjs0VFhHOiYajPX4B5Q/AzM4m0Hdidv&#10;vMe+k9BQf2W6WVxcHXFCAtn2X7ChZ2AfMQMNrTdJPJKDETr5dDx7k1oRdDgvl+VyxZmg1PuyLBfZ&#10;uwKq58vOh/hJomFpU3NP1mdwODyEmJqB6rkkvWXxXmmd7deW9TVfLWaLfOEiY1Sk6dTK1Pxqmr7M&#10;CiptT+QSn5FZHLbDSawtNkei6XGcNvo7aNOh/81ZT5NW8/BrD15ypj9bkmpVzudpNHMwX3yYUeAv&#10;M9vLDFhBUDWPnI3b25jHeeR0Q5K2KtNN2o+dnHqlCcoqnKY9jehlnKv+/pO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GJQQXYAAAACwEAAA8AAAAAAAAAAQAgAAAAIgAAAGRycy9kb3ducmV2Lnht&#10;bFBLAQIUABQAAAAIAIdO4kCA2CJu+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77696"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5pt;margin-top:91.65pt;height:22.65pt;width:50.3pt;z-index:251677696;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7E0aHPkBAADbAwAADgAAAGRycy9lMm9Eb2MueG1srVNd&#10;b9sgFH2ftP+AeF/8saRJrDhV16rTpK6b1O4HEIxjNOAyILGzX78LdrNofavmBwTcy7n3nHu8uR60&#10;IkfhvART02KWUyIMh0aafU1/PN9/WFHiAzMNU2BETU/C0+vt+3eb3laihA5UIxxBEOOr3ta0C8FW&#10;WeZ5JzTzM7DCYLAFp1nAo9tnjWM9omuVlXl+lfXgGuuAC+/x9m4M0m3Cb1vBw7e29SIQVVPsLaTV&#10;pXUX12y7YdXeMdtJPrXB3tCFZtJg0TPUHQuMHJx8BaUld+ChDTMOOoO2lVwkDsimyP9h89QxKxIX&#10;FMfbs0z+/8Hyx+N3R2SDsyvWlBimcUjPYgjkEwykjPr01leY9mQxMQx4jbmJq7cPwH96YuC2Y2Yv&#10;bpyDvhOswf6K+DK7eDri+Aiy679Cg2XYIUACGlqno3goB0F0nNPpPJvYCsfLq4+rdY5m4hgqV8tl&#10;Pk8VWPXy2DofPgvQJG5q6nD0CZwdH3yIzbDqJSXWMnAvlUrjV4b0NV0vykV6cBHRMqA7ldQ1XeXx&#10;m2oqM5GLfEZmYdgNk1g7aE5I08HoNvw7cNOB+01Jj06rqf91YE5Qor4YlGpdzOfRmukwXyxLPLjL&#10;yO4ywgxHqJoGSsbtbUh2HjndoKStTHSj9mMnU6/ooKTC5PZo0ctzyvr7T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axfLYAAAACwEAAA8AAAAAAAAAAQAgAAAAIgAAAGRycy9kb3ducmV2Lnht&#10;bFBLAQIUABQAAAAIAIdO4kDsTRoc+QEAANsDAAAOAAAAAAAAAAEAIAAAACcBAABkcnMvZTJvRG9j&#10;LnhtbFBLBQYAAAAABgAGAFkBAACSBQ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80768"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3.45pt;margin-top:50.55pt;height:18.5pt;width:50.3pt;z-index:251680768;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A1LuGh+QEAANoDAAAOAAAAZHJzL2Uyb0RvYy54bWytU1Fv&#10;0zAQfkfiP1h+p2nTdrRR02lsGkIaA2njB1wdp7GwfcZ2m4xfz9npSgVviDxYPp/v833ffdlcD0az&#10;o/RBoa35bDLlTFqBjbL7mn97vn+34ixEsA1otLLmLzLw6+3bN5veVbLEDnUjPSMQG6re1byL0VVF&#10;EUQnDYQJOmkp2aI3ECn0+6Lx0BO60UU5nV4VPfrGeRQyBDq9G5N8m/HbVor4pW2DjEzXnHqLefV5&#10;3aW12G6g2ntwnRKnNuAfujCgLD16hrqDCOzg1V9QRgmPAds4EWgKbFslZOZAbGbTP9g8deBk5kLi&#10;BHeWKfw/WPF4/OqZamo+n3NmwdCMnuUQ2QccWJnk6V2o6NaTo3txoGMac6Ya3AOK74FZvO3A7uWN&#10;99h3Ehpqb5Yqi4vSESckkF3/GRt6Bg4RM9DQepO0IzUYodOYXs6jSa0IOryar1YzyghKlfPFeplH&#10;V0D1Wux8iB8lGpY2Nfc0+QwOx4cQUzNQvV5Jb1m8V1rn6WvL+pqvl+UyF1xkjIpkTq1MzVfT9GVW&#10;UGl7Ipf4jMzisBtOYu2weSGaHkez0c9Bmw79T856MlrNw48DeMmZ/mRJqvVssUjOzMFi+b6kwF9m&#10;dpcZsIKgah45G7e3Mbt55HRDkrYq003aj52ceiUDZRVO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L4NBtcAAAALAQAADwAAAAAAAAABACAAAAAiAAAAZHJzL2Rvd25yZXYueG1s&#10;UEsBAhQAFAAAAAgAh07iQDUu4aH5AQAA2gMAAA4AAAAAAAAAAQAgAAAAJgEAAGRycy9lMm9Eb2Mu&#10;eG1sUEsFBgAAAAAGAAYAWQEAAJE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7974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25pt;margin-top:55.6pt;height:17.6pt;width:50.3pt;z-index:25167974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DJKTXq+AEAANoDAAAOAAAAZHJzL2Uyb0RvYy54bWytU9tu&#10;2zAMfR+wfxD0vthxkjY1ohRdiw4DugvQ7gMUWY6FSaImKbGzrx8lu1mwvQ3zgyCK5CHPIb25HYwm&#10;R+mDAsvofFZSIq2ARtk9o99eHt+tKQmR24ZrsJLRkwz0dvv2zaZ3taygA91ITxDEhrp3jHYxuroo&#10;guik4WEGTlp0tuANj2j6fdF43iO60UVVlldFD75xHoQMAV8fRifdZvy2lSJ+adsgI9GMYm8xnz6f&#10;u3QW2w2v9567TompDf4PXRiuLBY9Qz3wyMnBq7+gjBIeArRxJsAU0LZKyMwB2czLP9g8d9zJzAXF&#10;Ce4sU/h/sOLz8asnqmF0UVFiucEZvcghkvcwkCrJ07tQY9Szw7g44DOOOVMN7gnE90As3Hfc7uWd&#10;99B3kjfY3jxlFhepI05IILv+EzRYhh8iZKCh9SZph2oQRMcxnc6jSa0IfLxarNdz9Ah0VdWiqq5z&#10;BV6/Jjsf4gcJhqQLox4nn8H58SnE1AyvX0NSLQuPSus8fW1Jz+jNqlrlhAuPURGXUyvD6LpM31RT&#10;24lc4jMyi8NumMTaQXNCmh7GZcOfAy8d+J+U9LhojIYfB+4lJfqjRalu5stl2sxsLFfXFRr+0rO7&#10;9HArEIrRSMl4vY95m0dOdyhpqzLdpP3YydQrLlBWYVr2tKGXdo76/Ut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lEHa51wAAAAsBAAAPAAAAAAAAAAEAIAAAACIAAABkcnMvZG93bnJldi54bWxQ&#10;SwECFAAUAAAACACHTuJAySk16vgBAADaAwAADgAAAAAAAAABACAAAAAmAQAAZHJzL2Uyb0RvYy54&#10;bWxQSwUGAAAAAAYABgBZAQAAkAU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78720"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4.35pt;margin-top:55.2pt;height:24.5pt;width:32.75pt;z-index:251678720;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VRnK4/kBAADbAwAADgAAAGRycy9lMm9Eb2MueG1srVPL&#10;btswELwX6D8QvNeyXNuNBctBmiBFgfQBJP2ANUVZREkuS9KW3K/vknJcI7kV1YEgubvDmdnV+now&#10;mh2kDwptzcvJlDNpBTbK7mr+4+n+3RVnIYJtQKOVNT/KwK83b9+se1fJGXaoG+kZgdhQ9a7mXYyu&#10;KoogOmkgTNBJS8EWvYFIR78rGg89oRtdzKbTZdGjb5xHIUOg27sxyDcZv22liN/aNsjIdM2JW8yr&#10;z+s2rcVmDdXOg+uUONGAf2BhQFl69Ax1BxHY3qtXUEYJjwHbOBFoCmxbJWTWQGrK6Qs1jx04mbWQ&#10;OcGdbQr/D1Z8PXz3TDXUuxn5Y8FQk57kENlHHNgs+dO7UFHao6PEONA15WatwT2g+BmYxdsO7E7e&#10;eI99J6EhfmWqLC5KR5yQQLb9F2zoGdhHzEBD600yj+xghE48jufeJCqCLuflslyuOBMUel+W5SL3&#10;roDqudj5ED9JNCxtau6p9RkcDg8hJjJQPaektyzeK61z+7Vlfc1Xi9kiF1xEjIo0nVqZml9N05dV&#10;QaXtSVzSMyqLw3Y4mbXF5kgyPY7TRn8HbTr0vznradJqHn7twUvO9GdLVq3K+TyNZj7MFx9SH/xl&#10;ZHsZASsIquaRs3F7G/M4j5puyNJWZbnJ+5HJiStNUHbhNO1pRC/POevvP7n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npO7nYAAAACwEAAA8AAAAAAAAAAQAgAAAAIgAAAGRycy9kb3ducmV2Lnht&#10;bFBLAQIUABQAAAAIAIdO4kBVGcrj+QEAANsDAAAOAAAAAAAAAAEAIAAAACc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74624"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26" o:spt="202" type="#_x0000_t202" style="position:absolute;left:0pt;margin-left:173.45pt;margin-top:38.55pt;height:18.5pt;width:50.75pt;z-index:25167462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v2RNL+wEAANwDAAAOAAAAZHJzL2Uyb0RvYy54bWytU8Fu&#10;2zAMvQ/YPwi6L048J2mMOEXXosOArhvQ7gMYWY6FWaImKbGzrx8lp1mw3or5IIgi9cT3+Ly+HnTH&#10;DtJ5habis8mUM2kE1srsKv7j+f7DFWc+gKmhQyMrfpSeX2/ev1v3tpQ5ttjV0jECMb7sbcXbEGyZ&#10;ZV60UoOfoJWGkg06DYFCt8tqBz2h6y7Lp9NF1qOrrUMhvafTuzHJNwm/aaQI35rGy8C6ilNvIa0u&#10;rdu4Zps1lDsHtlXi1Aa8oQsNytCjZ6g7CMD2Tr2C0ko49NiEiUCdYdMoIRMHYjOb/sPmqQUrExcS&#10;x9uzTP7/wYrHw3fHVE2zy2ecGdA0pGc5BPYJB5Yvo0C99SXVPVmqDAOdU3Ei6+0Dip+eGbxtwezk&#10;jXPYtxJqanAWb2YXV0ccH0G2/Ves6R3YB0xAQ+N0VI/0YIROgzqehxN7EXS4KIrlYsWZoFT+sVjN&#10;0/AyKF8uW+fDZ4maxU3FHc0+gcPhwYfYDJQvJfEtg/eq69L8O8P6iq/m+TxduMhoFciendIVv5rG&#10;L7GCsjMncpHPyCwM2+Ek1hbrI9F0ONqNfg/atOh+c9aT1Sruf+3BSc66L4akWs2KInozBcV8mVPg&#10;LjPbywwYQVAVD5yN29uQ/DxyuiFJG5XoRu3HTk69koWSCie7R49exqnq70+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YF7N1wAAAAoBAAAPAAAAAAAAAAEAIAAAACIAAABkcnMvZG93bnJldi54&#10;bWxQSwECFAAUAAAACACHTuJAL9kTS/sBAADcAwAADgAAAAAAAAABACAAAAAmAQAAZHJzL2Uyb0Rv&#10;Yy54bWxQSwUGAAAAAAYABgBZAQAAkw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72576"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45pt;margin-top:38.9pt;height:24.5pt;width:46.3pt;z-index:251672576;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KyXsXvgBAADbAwAADgAAAGRycy9lMm9Eb2MueG1srVPB&#10;jtMwEL0j8Q+W7zRNaKEbNV0tu1qEtCxIu3zA1HEaC9tjbLdJ+XrGTrdUcEPkYHk84+d5b17W16PR&#10;7CB9UGgbXs7mnEkrsFV21/Bvz/dvVpyFCLYFjVY2/CgDv968frUeXC0r7FG30jMCsaEeXMP7GF1d&#10;FEH00kCYoZOWkh16A5FCvytaDwOhG11U8/m7YkDfOo9ChkCnd1OSbzJ+10kRv3RdkJHphlNvMa8+&#10;r9u0Fps11DsPrlfi1Ab8QxcGlKVHz1B3EIHtvfoLyijhMWAXZwJNgV2nhMwciE05/4PNUw9OZi4k&#10;TnBnmcL/gxWPh6+eqZZmV1WcWTA0pGc5RvYBR1YlfQYXaip7clQYRzqm2sw1uAcU3wOzeNuD3ckb&#10;73HoJbTUX5luFhdXJ5yQQLbDZ2zpGdhHzEBj500Sj+RghE5zOp5nk1oRdLhcrUggzgSl3pZlucyz&#10;K6B+uex8iB8lGpY2Dfc0+gwOh4cQUzNQv5SktyzeK63z+LVlQ8OvltUyX7jIGBXJnVqZhq/m6cus&#10;oNb2RC7xmZjFcTuexNpieySaHie30d9Bmx79T84GclrDw489eMmZ/mRJqqtysUjWzMFi+b6iwF9m&#10;tpcZsIKgGh45m7a3Mdt54nRDknYq003aT52ceiUHZRVObk8WvYxz1e9/cv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5GFKNgAAAAKAQAADwAAAAAAAAABACAAAAAiAAAAZHJzL2Rvd25yZXYueG1s&#10;UEsBAhQAFAAAAAgAh07iQCsl7F74AQAA2wMAAA4AAAAAAAAAAQAgAAAAJwEAAGRycy9lMm9Eb2Mu&#10;eG1sUEsFBgAAAAAGAAYAWQEAAJEFA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73600"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6pt;margin-top:38.55pt;height:18.5pt;width:50.3pt;z-index:251673600;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L4RYU36AQAA2wMAAA4AAABkcnMvZTJvRG9jLnhtbK1TwW7b&#10;MAy9D9g/CLovdpykS4w4Rdeiw4CuG9DuAxhZjoVZoiYpsbOvHyWnWbDeivkgiCL1xPf4vL4edMcO&#10;0nmFpuLTSc6ZNAJrZXYV//F8/2HJmQ9gaujQyIofpefXm/fv1r0tZYEtdrV0jECML3tb8TYEW2aZ&#10;F63U4CdopaFkg05DoNDtstpBT+i6y4o8v8p6dLV1KKT3dHo3Jvkm4TeNFOFb03gZWFdx6i2k1aV1&#10;G9dss4Zy58C2SpzagDd0oUEZevQMdQcB2N6pV1BaCYcemzARqDNsGiVk4kBspvk/bJ5asDJxIXG8&#10;Pcvk/x+seDx8d0zVNLtixpkBTUN6lkNgn3BgRdSnt76ksidLhWGgY6pNXL19QPHTM4O3LZidvHEO&#10;+1ZCTf1N483s4uqI4yPItv+KNT0D+4AJaGicjuKRHIzQaU7H82xiK4IOr2bLVU5mEpQqZvPVIs0u&#10;g/LlsnU+fJaoWdxU3NHoEzgcHnyIzUD5UhLfMnivui6NvzOsr/hqUSzShYuMVoHc2Sld8WUev8QK&#10;ys6cyEU+I7MwbIeTWFusj0TT4eg2+jto06L7zVlPTqu4/7UHJznrvhiSajWdz6M1UzBffCwocJeZ&#10;7WUGjCCoigfOxu1tSHYeOd2QpI1KdKP2YyenXslBSYWT26NFL+NU9fef3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MXxZtYAAAAKAQAADwAAAAAAAAABACAAAAAiAAAAZHJzL2Rvd25yZXYueG1s&#10;UEsBAhQAFAAAAAgAh07iQL4RYU36AQAA2wMAAA4AAAAAAAAAAQAgAAAAJQEAAGRycy9lMm9Eb2Mu&#10;eG1sUEsFBgAAAAAGAAYAWQEAAJE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76672"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8.4pt;margin-top:91.65pt;height:18.5pt;width:50.3pt;z-index:251676672;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fqX4OfkBAADaAwAADgAAAGRycy9lMm9Eb2MueG1srVPR&#10;btsgFH2ftH9AvC923KRLrJCqa9VpUtdNavcBBOMYDbgMSOzs63fBbhZtb9P8gLhc7uGec483N4PR&#10;5Ch9UGAZnc9KSqQV0Ci7Z/Tby8O7FSUhcttwDVYyepKB3mzfvtn0rpYVdKAb6QmC2FD3jtEuRlcX&#10;RRCdNDzMwEmLyRa84RFDvy8az3tEN7qoyvK66ME3zoOQIeDp/Zik24zftlLEL20bZCSaUewt5tXn&#10;dZfWYrvh9d5z1ykxtcH/oQvDlcVHz1D3PHJy8OovKKOEhwBtnAkwBbStEjJzQDbz8g82zx13MnNB&#10;cYI7yxT+H6x4On71RDWMVmtKLDc4oxc5RPIBBlIleXoXarz17PBeHPAYx5ypBvcI4nsgFu46bvfy&#10;1nvoO8kbbG+eKouL0hEnJJBd/xkafIYfImSgofUmaYdqEETHMZ3Oo0mtCDy8vlqtS/SSwFR1tVgv&#10;8+gKXr8WOx/iRwmGpA2jHiefwfnxMcTUDK9fr6S3LDworfP0tSU9o+tltcwFFxmjIppTK8Poqkxf&#10;ZsVrbSdyic/ILA67YRJrB80JaXoYzYY/B2468D8p6dFojIYfB+4lJfqTRanW88UiOTMHi+X7CgN/&#10;mdldZrgVCMVopGTc3sXs5pHTLUraqkw3aT92MvWKBsoqTGZPDr2M863fv+T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ucIRfYAAAACwEAAA8AAAAAAAAAAQAgAAAAIgAAAGRycy9kb3ducmV2Lnht&#10;bFBLAQIUABQAAAAIAIdO4kB+pfg5+QEAANoDAAAOAAAAAAAAAAEAIAAAACcBAABkcnMvZTJvRG9j&#10;LnhtbFBLBQYAAAAABgAGAFkBAACS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sz w:val="22"/>
                <w:szCs w:val="22"/>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1"/>
              <w:widowControl w:val="0"/>
              <w:jc w:val="both"/>
              <w:rPr>
                <w:sz w:val="22"/>
                <w:szCs w:val="22"/>
              </w:rPr>
            </w:pPr>
            <w:bookmarkStart w:id="11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pPr>
              <w:keepNext/>
              <w:widowControl w:val="0"/>
              <w:rPr>
                <w:sz w:val="22"/>
                <w:szCs w:val="22"/>
              </w:rPr>
            </w:pPr>
            <w:r>
              <w:rPr>
                <w:sz w:val="22"/>
                <w:szCs w:val="22"/>
              </w:rPr>
              <mc:AlternateContent>
                <mc:Choice Requires="wps">
                  <w:drawing>
                    <wp:anchor distT="45720" distB="45720" distL="114300" distR="114300" simplePos="0" relativeHeight="251687936"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0.25pt;margin-top:70.85pt;height:24.5pt;width:32.75pt;z-index:251687936;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BwR/fZ+AEAANsDAAAOAAAAZHJzL2Uyb0RvYy54bWytU1Fv&#10;0zAQfkfiP1h+p2lKW9ao6TQ2DSGNgbTxA66O01jYPmO7Tcqv5+x0pRpviDxYPt/58/d9d1lfD0az&#10;g/RBoa15OZlyJq3ARtldzb8/37+74ixEsA1otLLmRxn49ebtm3XvKjnDDnUjPSMQG6re1byL0VVF&#10;EUQnDYQJOmkp2aI3ECn0u6Lx0BO60cVsOl0WPfrGeRQyBDq9G5N8k/HbVor4tW2DjEzXnLjFvPq8&#10;btNabNZQ7Ty4TokTDfgHFgaUpUfPUHcQge29+gvKKOExYBsnAk2BbauEzBpITTl9peapAyezFjIn&#10;uLNN4f/BisfDN89UQ72bLTizYKhJz3KI7CMObJb86V2oqOzJUWEc6Jhqs9bgHlD8CMzibQd2J2+8&#10;x76T0BC/Mt0sLq6OOCGBbPsv2NAzsI+YgYbWm2Qe2cEInfp0PPcmURF0OC+X5XLFmaDU+7IsF7l3&#10;BVQvl50P8ZNEw9Km5p5an8Hh8BBiIgPVS0l6y+K90jq3X1vW13y1IANeZYyKNJ1amZpfTdOXVUGl&#10;7Ulc0jMqi8N2OJm1xeZIMj2O00Z/B2069L8462nSah5+7sFLzvRnS1atyvk8jWYO5osPMwr8ZWZ7&#10;mQErCKrmkbNxexvzOI/Mb8jSVmW5yfuRyYkrTVB24TTtaUQv41z155/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pVJW1wAAAAsBAAAPAAAAAAAAAAEAIAAAACIAAABkcnMvZG93bnJldi54bWxQ&#10;SwECFAAUAAAACACHTuJAcEf32fgBAADbAwAADgAAAAAAAAABACAAAAAmAQAAZHJzL2Uyb0RvYy54&#10;bWxQSwUGAAAAAAYABgBZAQAAkAU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88960"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2.3pt;margin-top:70.45pt;height:18.5pt;width:50.3pt;z-index:251688960;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CbT1x3+gEAANsDAAAOAAAAZHJzL2Uyb0RvYy54bWytU8Fu&#10;2zAMvQ/YPwi6L3bcJEuMOEXXosOArhvQ7gMYWY6FWaImKbGzrx8lp1mw3or5IIgi9cT3+Ly+HnTH&#10;DtJ5habi00nOmTQCa2V2Ff/xfP9hyZkPYGro0MiKH6Xn15v379a9LWWBLXa1dIxAjC97W/E2BFtm&#10;mRet1OAnaKWhZINOQ6DQ7bLaQU/ousuKPF9kPbraOhTSezq9G5N8k/CbRorwrWm8DKyrOPUW0urS&#10;uo1rtllDuXNgWyVObcAbutCgDD16hrqDAGzv1CsorYRDj02YCNQZNo0SMnEgNtP8HzZPLViZuJA4&#10;3p5l8v8PVjwevjumappdseDMgKYhPcshsE84sCLq01tfUtmTpcIw0DHVJq7ePqD46ZnB2xbMTt44&#10;h30roab+pvFmdnF1xPERZNt/xZqegX3ABDQ0TkfxSA5G6DSn43k2sRVBh4ur5SonMwlKFVez1TzN&#10;LoPy5bJ1PnyWqFncVNzR6BM4HB58iM1A+VIS3zJ4r7oujb8zrK/4al7M04WLjFaB3NkpXfFlHr/E&#10;CsrOnMhFPiOzMGyHk1hbrI9E0+HoNvo7aNOi+81ZT06ruP+1Byc5674Ykmo1nc2iNVMwm38sKHCX&#10;me1lBowgqIoHzsbtbUh2HjndkKSNSnSj9mMnp17JQUmFk9ujRS/jV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GIapzXAAAACwEAAA8AAAAAAAAAAQAgAAAAIgAAAGRycy9kb3ducmV2Lnht&#10;bFBLAQIUABQAAAAIAIdO4kCbT1x3+gEAANsDAAAOAAAAAAAAAAEAIAAAACYBAABkcnMvZTJvRG9j&#10;LnhtbFBLBQYAAAAABgAGAFkBAACS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83840"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26" o:spt="202" type="#_x0000_t202" style="position:absolute;left:0pt;margin-left:171.15pt;margin-top:48.75pt;height:18.5pt;width:50.75pt;z-index:251683840;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ltcQD+wEAANwDAAAOAAAAZHJzL2Uyb0RvYy54bWytU9Fu&#10;2yAUfZ+0f0C8L3Y8J2msOFXXqtOkrpvU7gMwxjEacBmQ2NnX74LTLFrfqvkBA/dyOOfcy+Z61Ioc&#10;hPMSTE3ns5wSYTi00uxq+uP5/sMVJT4w0zIFRtT0KDy93r5/txlsJQroQbXCEQQxvhpsTfsQbJVl&#10;nvdCMz8DKwwGO3CaBVy6XdY6NiC6VlmR58tsANdaB1x4j7t3U5BuE37XCR6+dZ0XgaiaIreQRpfG&#10;Jo7ZdsOqnWO2l/xEg72BhWbS4KVnqDsWGNk7+QpKS+7AQxdmHHQGXSe5SBpQzTz/R81Tz6xIWtAc&#10;b882+f8Hyx8P3x2RLdauWFFimMYiPYsxkE8wknIeDRqsrzDvyWJmGHEfk5NYbx+A//TEwG3PzE7c&#10;OAdDL1iLBNPJ7OLohOMjSDN8hRbvYfsACWjsnI7uoR8E0bFQx3NxIheOm8uyXC3XlHAMFR/L9SIV&#10;L2PVy2HrfPgsQJM4qanD2idwdnjwAWVg6ktKvMvAvVQq1V8ZMtR0vSgW6cBFRMuA7amkrulVHr/o&#10;BwIpg78oLuqZlIWxGU9mNdAeUaaDqd3weeCkB/ebkgFbrab+1545QYn6YtCq9bwsY2+mRblYFbhw&#10;l5HmMsIMR6iaBkqm6W1I/TxpukFLO5nkRnoTkxNXbKFE/tTusUcv1ynr76Pc/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j31v1wAAAAoBAAAPAAAAAAAAAAEAIAAAACIAAABkcnMvZG93bnJldi54&#10;bWxQSwECFAAUAAAACACHTuJA5bXEA/sBAADcAwAADgAAAAAAAAABACAAAAAmAQAAZHJzL2Uyb0Rv&#10;Yy54bWxQSwUGAAAAAAYABgBZAQAAkw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82816"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2pt;margin-top:48.25pt;height:18.5pt;width:50.3pt;z-index:251682816;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Buuupf+QEAANoDAAAOAAAAZHJzL2Uyb0RvYy54bWytU9Fu&#10;2yAUfZ+0f0C8L3bcpEuskKpr1WlS101q9wEE4xgNuAxI7Ozrd8FuFm1v0/yAuFzu4Z5zjzc3g9Hk&#10;KH1QYBmdz0pKpBXQKLtn9NvLw7sVJSFy23ANVjJ6koHebN++2fSulhV0oBvpCYLYUPeO0S5GVxdF&#10;EJ00PMzASYvJFrzhEUO/LxrPe0Q3uqjK8rrowTfOg5Ah4On9mKTbjN+2UsQvbRtkJJpR7C3m1ed1&#10;l9Ziu+H13nPXKTG1wf+hC8OVxUfPUPc8cnLw6i8oo4SHAG2cCTAFtK0SMnNANvPyDzbPHXcyc0Fx&#10;gjvLFP4frHg6fvVENYwuKkosNzijFzlE8gEGUiV5ehdqvPXs8F4c8BjHnKkG9wjieyAW7jpu9/LW&#10;e+g7yRtsb54qi4vSESckkF3/GRp8hh8iZKCh9SZph2oQRMcxnc6jSa0IPLy+Wq1L9JLAVHW1WC/z&#10;6ApevxY7H+JHCYakDaMeJ5/B+fExxNQMr1+vpLcsPCit8/S1JT2j62W1zAUXGaMimlMrw+iqTF9m&#10;xWttJ3KJz8gsDrthEmsHzQlpehjNhj8HbjrwPynp0WiMhh8H7iUl+pNFqdbzxSI5MweL5fsKA3+Z&#10;2V1muBUIxWikZNzexezmkdMtStqqTDdpP3Yy9YoGyipMZk8OvYzzrd+/5P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d/FstcAAAAKAQAADwAAAAAAAAABACAAAAAiAAAAZHJzL2Rvd25yZXYueG1s&#10;UEsBAhQAFAAAAAgAh07iQG666l/5AQAA2gMAAA4AAAAAAAAAAQAgAAAAJgEAAGRycy9lMm9Eb2Mu&#10;eG1sUEsFBgAAAAAGAAYAWQEAAJE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8998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3.3pt;margin-top:59.35pt;height:18.5pt;width:50.3pt;z-index:25168998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C/GjN3+gEAANsDAAAOAAAAZHJzL2Uyb0RvYy54bWytU1Fv&#10;0zAQfkfiP1h+p0mzdrRR02lsGkIaA2njB1wdp7GIfcZ2m5Rfz9nJSgVviDxYPt/5833ffdncDLpj&#10;R+m8QlPx+SznTBqBtTL7in97eXi34swHMDV0aGTFT9Lzm+3bN5velrLAFrtaOkYgxpe9rXgbgi2z&#10;zItWavAztNJQskGnIVDo9lntoCd03WVFnl9nPbraOhTSezq9H5N8m/CbRorwpWm8DKyrOPUW0urS&#10;uotrtt1AuXdgWyWmNuAfutCgDD16hrqHAOzg1F9QWgmHHpswE6gzbBolZOJAbOb5H2yeW7AycSFx&#10;vD3L5P8frHg6fnVM1TS7dcGZAU1DepFDYB9wYEXUp7e+pLJnS4VhoGOqTVy9fUTx3TODdy2Yvbx1&#10;DvtWQk39zePN7OLqiOMjyK7/jDU9A4eACWhonI7ikRyM0GlOp/NsYiuCDq+vVuuczCQoVVwt1ss0&#10;uwzK18vW+fBRomZxU3FHo0/gcHz0ITYD5WtJfMvgg+q6NP7OsL7i62WxTBcuMloFcmendMVXefwS&#10;Kyg7M5GLfEZmYdgNk1g7rE9E0+HoNvo7aNOi+8lZT06ruP9xACc56z4Zkmo9XyyiNVOwWL4vKHCX&#10;md1lBowgqIoHzsbtXUh2HjndkqSNSnSj9mMnU6/koKTC5PZo0cs4Vf3+J7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Q8F/DXAAAACwEAAA8AAAAAAAAAAQAgAAAAIgAAAGRycy9kb3ducmV2Lnht&#10;bFBLAQIUABQAAAAIAIdO4kC/GjN3+gEAANsDAAAOAAAAAAAAAAEAIAAAACYBAABkcnMvZTJvRG9j&#10;LnhtbFBLBQYAAAAABgAGAFkBAACSBQ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86912"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9.3pt;margin-top:105.5pt;height:22.65pt;width:50.3pt;z-index:251686912;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OSwZAv5AQAA2wMAAA4AAABkcnMvZTJvRG9jLnhtbK1T&#10;XW/bIBR9n7T/gHhf7LhJk1hxqq5Vp0ndh9TuB2CMYzTgMiCxs1+/C3azqH2b5gcE3Mu595x7vL0Z&#10;tCJH4bwEU9H5LKdEGA6NNPuK/nh++LCmxAdmGqbAiIqehKc3u/fvtr0tRQEdqEY4giDGl72taBeC&#10;LbPM805o5mdghcFgC06zgEe3zxrHekTXKivy/DrrwTXWARfe4+39GKS7hN+2godvbetFIKqi2FtI&#10;q0trHddst2Xl3jHbST61wf6hC82kwaJnqHsWGDk4+QZKS+7AQxtmHHQGbSu5SByQzTx/xeapY1Yk&#10;LiiOt2eZ/P+D5V+P3x2RDc5uc0WJYRqH9CyGQD7CQIqoT299iWlPFhPDgNeYm7h6+wj8pycG7jpm&#10;9uLWOeg7wRrsbx5fZhdPRxwfQer+CzRYhh0CJKChdTqKh3IQRMc5nc6zia1wvLy+Wm9yNBPHULFe&#10;rfJFqsDKl8fW+fBJgCZxU1GHo0/g7PjoQ2yGlS8psZaBB6lUGr8ypK/oZlks04OLiJYB3amkrug6&#10;j99UU5mJXOQzMgtDPUxi1dCckKaD0W34d+CmA/ebkh6dVlH/68CcoER9NijVZr5YRGumw2K5KvDg&#10;LiP1ZYQZjlAVDZSM27uQ7DxyukVJW5noRu3HTqZe0UFJhcnt0aKX55T195/c/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8rh2QAAAAsBAAAPAAAAAAAAAAEAIAAAACIAAABkcnMvZG93bnJldi54&#10;bWxQSwECFAAUAAAACACHTuJA5LBkC/kBAADbAwAADgAAAAAAAAABACAAAAAoAQAAZHJzL2Uyb0Rv&#10;Yy54bWxQSwUGAAAAAAYABgBZAQAAkw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sz w:val="22"/>
                <w:szCs w:val="22"/>
              </w:rPr>
              <mc:AlternateContent>
                <mc:Choice Requires="wps">
                  <w:drawing>
                    <wp:anchor distT="45720" distB="45720" distL="114300" distR="114300" simplePos="0" relativeHeight="251681792"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9.25pt;margin-top:47.2pt;height:24.5pt;width:46.3pt;z-index:251681792;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AnuaPs9wEAANoDAAAOAAAAZHJzL2Uyb0RvYy54bWytU8GO&#10;0zAQvSPxD5bvNE1poRs1XS27WoS0LEi7fMDUcRoL22Nst0n5esZOtlRwQ+RgeTye5/feTDbXg9Hs&#10;KH1QaGtezuacSSuwUXZf82/P92/WnIUItgGNVtb8JAO/3r5+teldJRfYoW6kZwRiQ9W7mncxuqoo&#10;guikgTBDJy0lW/QGIoV+XzQeekI3uljM5++KHn3jPAoZAp3ejUm+zfhtK0X80rZBRqZrTtxiXn1e&#10;d2ktthuo9h5cp8REA/6BhQFl6dEz1B1EYAev/oIySngM2MaZQFNg2yohswZSU87/UPPUgZNZC5kT&#10;3Nmm8P9gxePxq2eqqfmS7LFgqEfPcojsAw5skezpXajo1pOje3GgY2pzlhrcA4rvgVm87cDu5Y33&#10;2HcSGqJXpsrionTECQlk13/Ghp6BQ8QMNLTeJO/IDUboxON0bk2iIuhwtV6TP5wJSr0ty3KVW1dA&#10;9VLsfIgfJRqWNjX31PkMDseHEBMZqF6upLcs3iutc/e1ZX3Nr1aLVS64yBgVaTi1MjVfz9OXVUGl&#10;7SQu6RmVxWE3TGbtsDmRTI/jsNHPQZsO/U/Oehq0mocfB/CSM/3JklVX5TJZH3OwXL1fUOAvM7vL&#10;DFhBUDWPnI3b25inedR0Q5a2KstN3o9MJq40QNmFadjThF7G+dbvX3L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8kzDXAAAACgEAAA8AAAAAAAAAAQAgAAAAIgAAAGRycy9kb3ducmV2LnhtbFBL&#10;AQIUABQAAAAIAIdO4kAnuaPs9wEAANoDAAAOAAAAAAAAAAEAIAAAACYBAABkcnMvZTJvRG9jLnht&#10;bFBLBQYAAAAABgAGAFkBAACPBQ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84864"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7pt;margin-top:105.05pt;height:24.5pt;width:32.75pt;z-index:2516848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BxTKXj+gEAANsDAAAOAAAAZHJzL2Uyb0RvYy54bWytU8tu&#10;2zAQvBfoPxC817Jc240Fy0GaIEWB9AEk/YA1RVlESS5L0pbcr++SclwjuRXVgeByl8Od2dH6ejCa&#10;HaQPCm3Ny8mUM2kFNsruav7j6f7dFWchgm1Ao5U1P8rArzdv36x7V8kZdqgb6RmB2FD1ruZdjK4q&#10;iiA6aSBM0ElLyRa9gUih3xWNh57QjS5m0+my6NE3zqOQIdDp3Zjkm4zftlLEb20bZGS65tRbzKvP&#10;6zatxWYN1c6D65Q4tQH/0IUBZenRM9QdRGB7r15BGSU8BmzjRKApsG2VkJkDsSmnL9g8duBk5kLi&#10;BHeWKfw/WPH18N0z1dDsVnPOLBga0pMcIvuIA5slfXoXKip7dFQYBzqm2sw1uAcUPwOzeNuB3ckb&#10;77HvJDTUX5luFhdXR5yQQLb9F2zoGdhHzEBD600Sj+RghE5zOp5nk1oRdDgvl+VyxZmg1PuyLBd5&#10;dgVUz5edD/GTRMPSpuaeRp/B4fAQYmoGqueS9JbFe6V1Hr+2rK/5ajFb5AsXGaMiuVMrU/Orafoy&#10;K6i0PZFLfEZmcdgOJ7G22ByJpsfRbfR30KZD/5uznpxW8/BrD15ypj9bkmpVzufJmjmYLz7MKPCX&#10;me1lBqwgqJpHzsbtbcx2HjndkKStynST9mMnp17JQVmFk9uTRS/jXPX3n9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K+utbXAAAACwEAAA8AAAAAAAAAAQAgAAAAIgAAAGRycy9kb3ducmV2Lnht&#10;bFBLAQIUABQAAAAIAIdO4kBxTKXj+gEAANsDAAAOAAAAAAAAAAEAIAAAACYBAABkcnMvZTJvRG9j&#10;LnhtbFBLBQYAAAAABgAGAFkBAACSBQAAAAA=&#10;">
                      <v:fill on="f" focussize="0,0"/>
                      <v:stroke on="f" miterlimit="8" joinstyle="miter"/>
                      <v:imagedata o:title=""/>
                      <o:lock v:ext="edit" aspectratio="f"/>
                      <v:textbox>
                        <w:txbxContent>
                          <w:p>
                            <w:r>
                              <w:t>Ref.</w:t>
                            </w:r>
                          </w:p>
                        </w:txbxContent>
                      </v:textbox>
                    </v:shape>
                  </w:pict>
                </mc:Fallback>
              </mc:AlternateContent>
            </w:r>
            <w:r>
              <w:rPr>
                <w:sz w:val="22"/>
                <w:szCs w:val="22"/>
              </w:rPr>
              <mc:AlternateContent>
                <mc:Choice Requires="wps">
                  <w:drawing>
                    <wp:anchor distT="45720" distB="45720" distL="114300" distR="114300" simplePos="0" relativeHeight="251685888"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5pt;margin-top:105.5pt;height:18.5pt;width:50.3pt;z-index:251685888;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zWNZO/oBAADbAwAADgAAAGRycy9lMm9Eb2MueG1srVNR&#10;b9MwEH5H4j9YfqdJs3a0UdNpbBpCGgNp4wdcHaexiH3GdpuUX8/ZyUoFb4g8WD7f+fN9333Z3Ay6&#10;Y0fpvEJT8fks50wagbUy+4p/e3l4t+LMBzA1dGhkxU/S85vt2zeb3paywBa7WjpGIMaXva14G4It&#10;s8yLVmrwM7TSULJBpyFQ6PZZ7aAndN1lRZ5fZz262joU0ns6vR+TfJvwm0aK8KVpvAysqzj1FtLq&#10;0rqLa7bdQLl3YFslpjbgH7rQoAw9eoa6hwDs4NRfUFoJhx6bMBOoM2waJWTiQGzm+R9snluwMnEh&#10;cbw9y+T/H6x4On51TNU0u/WSMwOahvQih8A+4MCKqE9vfUllz5YKw0DHVJu4evuI4rtnBu9aMHt5&#10;6xz2rYSa+pvHm9nF1RHHR5Bd/xlregYOARPQ0DgdxSM5GKHTnE7n2cRWBB1eX63WOZlJUKq4WqyX&#10;aXYZlK+XrfPho0TN4qbijkafwOH46ENsBsrXkviWwQfVdWn8nWF9xdfLYpkuXGS0CuTOTumKr/L4&#10;JVZQdmYiF/mMzMKwGyaxdlifiKbD0W30d9CmRfeTs56cVnH/4wBOctZ9MiTVer5YRGumYLF8X1Dg&#10;LjO7ywwYQVAVD5yN27uQ7DxyuiVJG5XoRu3HTqZeyUFJhcnt0aKXcar6/U9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gOgy2AAAAAsBAAAPAAAAAAAAAAEAIAAAACIAAABkcnMvZG93bnJldi54&#10;bWxQSwECFAAUAAAACACHTuJAzWNZO/oBAADbAwAADgAAAAAAAAABACAAAAAnAQAAZHJzL2Uyb0Rv&#10;Yy54bWxQSwUGAAAAAAYABgBZAQAAkw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sz w:val="22"/>
                <w:szCs w:val="22"/>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1"/>
              <w:widowControl w:val="0"/>
              <w:jc w:val="both"/>
              <w:rPr>
                <w:sz w:val="22"/>
                <w:szCs w:val="22"/>
                <w:lang w:val="en-GB" w:eastAsia="zh-TW"/>
              </w:rPr>
            </w:pPr>
            <w:bookmarkStart w:id="11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pPr>
              <w:keepNext/>
              <w:widowControl w:val="0"/>
              <w:rPr>
                <w:sz w:val="22"/>
                <w:szCs w:val="22"/>
              </w:rPr>
            </w:pPr>
            <w:r>
              <w:rPr>
                <w:sz w:val="22"/>
                <w:szCs w:val="22"/>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1"/>
              <w:widowControl w:val="0"/>
              <w:jc w:val="both"/>
              <w:rPr>
                <w:sz w:val="22"/>
                <w:szCs w:val="22"/>
              </w:rPr>
            </w:pPr>
            <w:bookmarkStart w:id="11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pPr>
              <w:keepNext/>
              <w:widowControl w:val="0"/>
              <w:rPr>
                <w:sz w:val="22"/>
                <w:szCs w:val="22"/>
              </w:rPr>
            </w:pPr>
            <w:r>
              <w:rPr>
                <w:sz w:val="22"/>
                <w:szCs w:val="22"/>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1"/>
              <w:widowControl w:val="0"/>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Source 14: CEWiT</w:t>
      </w:r>
    </w:p>
    <w:p>
      <w:pPr>
        <w:spacing w:after="240"/>
      </w:pPr>
      <w:r>
        <w:t>(</w:t>
      </w:r>
      <w:r>
        <w:fldChar w:fldCharType="begin"/>
      </w:r>
      <w:r>
        <w:instrText xml:space="preserve"> HYPERLINK "https://www.3gpp.org/ftp/TSG_RAN/WG1_RL1/TSGR1_110b-e/Docs/R1-2210113.zip" </w:instrText>
      </w:r>
      <w:r>
        <w:fldChar w:fldCharType="separate"/>
      </w:r>
      <w:r>
        <w:rPr>
          <w:rStyle w:val="30"/>
        </w:rPr>
        <w:t>R1-2210113</w:t>
      </w:r>
      <w:r>
        <w:rPr>
          <w:rStyle w:val="30"/>
        </w:rPr>
        <w:fldChar w:fldCharType="end"/>
      </w:r>
      <w:r>
        <w:t>, submitted in AI 9.7.2)</w:t>
      </w:r>
    </w:p>
    <w:tbl>
      <w:tblPr>
        <w:tblStyle w:val="27"/>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57"/>
              <w:jc w:val="center"/>
            </w:pPr>
            <w: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widowControl w:val="0"/>
              <w:jc w:val="center"/>
            </w:pPr>
            <w:r>
              <w:t>Fig. 1: Energy savings by mandating transmission of lighter version of SSB by inactive gNBs for various loads</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numPr>
          <w:ilvl w:val="0"/>
          <w:numId w:val="0"/>
        </w:numPr>
      </w:pPr>
      <w:r>
        <w:t>References</w:t>
      </w:r>
      <w:bookmarkEnd w:id="2"/>
      <w:bookmarkEnd w:id="3"/>
      <w:bookmarkEnd w:id="4"/>
      <w:bookmarkEnd w:id="5"/>
    </w:p>
    <w:p>
      <w:pPr>
        <w:pStyle w:val="48"/>
        <w:numPr>
          <w:ilvl w:val="0"/>
          <w:numId w:val="43"/>
        </w:numPr>
        <w:rPr>
          <w:iCs/>
        </w:rPr>
      </w:pPr>
      <w:r>
        <w:fldChar w:fldCharType="begin"/>
      </w:r>
      <w:r>
        <w:instrText xml:space="preserve"> HYPERLINK "file:///C:\\Users\\w00250081\\AppData\\Local\\Docs\\R1-2208381.zip" </w:instrText>
      </w:r>
      <w:r>
        <w:fldChar w:fldCharType="separate"/>
      </w:r>
      <w:r>
        <w:rPr>
          <w:rStyle w:val="30"/>
          <w:iCs/>
        </w:rPr>
        <w:t>R1-2208381</w:t>
      </w:r>
      <w:r>
        <w:rPr>
          <w:rStyle w:val="30"/>
          <w:iCs/>
        </w:rPr>
        <w:fldChar w:fldCharType="end"/>
      </w:r>
      <w:r>
        <w:rPr>
          <w:iCs/>
        </w:rPr>
        <w:tab/>
      </w:r>
      <w:r>
        <w:rPr>
          <w:iCs/>
        </w:rPr>
        <w:t>BS Sleep States</w:t>
      </w:r>
      <w:r>
        <w:rPr>
          <w:iCs/>
        </w:rPr>
        <w:tab/>
      </w:r>
      <w:r>
        <w:rPr>
          <w:iCs/>
        </w:rPr>
        <w:tab/>
      </w:r>
      <w:r>
        <w:rPr>
          <w:iCs/>
        </w:rPr>
        <w:t>FUTUREWEI</w:t>
      </w:r>
    </w:p>
    <w:p>
      <w:pPr>
        <w:pStyle w:val="48"/>
        <w:numPr>
          <w:ilvl w:val="0"/>
          <w:numId w:val="43"/>
        </w:numPr>
        <w:rPr>
          <w:iCs/>
        </w:rPr>
      </w:pPr>
      <w:r>
        <w:fldChar w:fldCharType="begin"/>
      </w:r>
      <w:r>
        <w:instrText xml:space="preserve"> HYPERLINK "file:///C:\\Users\\w00250081\\AppData\\Local\\Docs\\R1-2208424.zip" </w:instrText>
      </w:r>
      <w:r>
        <w:fldChar w:fldCharType="separate"/>
      </w:r>
      <w:r>
        <w:rPr>
          <w:rStyle w:val="30"/>
          <w:iCs/>
        </w:rPr>
        <w:t>R1-2208424</w:t>
      </w:r>
      <w:r>
        <w:rPr>
          <w:rStyle w:val="30"/>
          <w:iCs/>
        </w:rPr>
        <w:fldChar w:fldCharType="end"/>
      </w:r>
      <w:r>
        <w:rPr>
          <w:iCs/>
        </w:rPr>
        <w:tab/>
      </w:r>
      <w:r>
        <w:rPr>
          <w:iCs/>
        </w:rPr>
        <w:t>Discussion on performance evaluation for network energy saving</w:t>
      </w:r>
      <w:r>
        <w:rPr>
          <w:iCs/>
        </w:rPr>
        <w:tab/>
      </w:r>
      <w:r>
        <w:rPr>
          <w:iCs/>
        </w:rPr>
        <w:t>Huawei, HiSilicon</w:t>
      </w:r>
    </w:p>
    <w:p>
      <w:pPr>
        <w:pStyle w:val="48"/>
        <w:numPr>
          <w:ilvl w:val="0"/>
          <w:numId w:val="43"/>
        </w:numPr>
        <w:rPr>
          <w:iCs/>
        </w:rPr>
      </w:pPr>
      <w:r>
        <w:fldChar w:fldCharType="begin"/>
      </w:r>
      <w:r>
        <w:instrText xml:space="preserve"> HYPERLINK "file:///C:\\Users\\w00250081\\AppData\\Local\\Docs\\R1-2208518.zip" </w:instrText>
      </w:r>
      <w:r>
        <w:fldChar w:fldCharType="separate"/>
      </w:r>
      <w:r>
        <w:rPr>
          <w:rStyle w:val="30"/>
          <w:iCs/>
        </w:rPr>
        <w:t>R1-2208518</w:t>
      </w:r>
      <w:r>
        <w:rPr>
          <w:rStyle w:val="30"/>
          <w:iCs/>
        </w:rPr>
        <w:fldChar w:fldCharType="end"/>
      </w:r>
      <w:r>
        <w:rPr>
          <w:iCs/>
        </w:rPr>
        <w:tab/>
      </w:r>
      <w:r>
        <w:rPr>
          <w:iCs/>
        </w:rPr>
        <w:t>NW energy savings performance evaluation</w:t>
      </w:r>
      <w:r>
        <w:rPr>
          <w:iCs/>
        </w:rPr>
        <w:tab/>
      </w:r>
      <w:r>
        <w:rPr>
          <w:iCs/>
        </w:rPr>
        <w:t>Nokia, Nokia Shanghai Bell</w:t>
      </w:r>
    </w:p>
    <w:p>
      <w:pPr>
        <w:pStyle w:val="48"/>
        <w:numPr>
          <w:ilvl w:val="0"/>
          <w:numId w:val="43"/>
        </w:numPr>
        <w:rPr>
          <w:iCs/>
        </w:rPr>
      </w:pPr>
      <w:r>
        <w:fldChar w:fldCharType="begin"/>
      </w:r>
      <w:r>
        <w:instrText xml:space="preserve"> HYPERLINK "file:///C:\\Users\\w00250081\\AppData\\Local\\Docs\\R1-2208561.zip" </w:instrText>
      </w:r>
      <w:r>
        <w:fldChar w:fldCharType="separate"/>
      </w:r>
      <w:r>
        <w:rPr>
          <w:rStyle w:val="30"/>
          <w:iCs/>
        </w:rPr>
        <w:t>R1-2208561</w:t>
      </w:r>
      <w:r>
        <w:rPr>
          <w:rStyle w:val="30"/>
          <w:iCs/>
        </w:rPr>
        <w:fldChar w:fldCharType="end"/>
      </w:r>
      <w:r>
        <w:rPr>
          <w:iCs/>
        </w:rPr>
        <w:tab/>
      </w:r>
      <w:r>
        <w:rPr>
          <w:iCs/>
        </w:rPr>
        <w:t>Discussion on performance evaluation of network energy savings</w:t>
      </w:r>
      <w:r>
        <w:rPr>
          <w:iCs/>
        </w:rPr>
        <w:tab/>
      </w:r>
      <w:r>
        <w:rPr>
          <w:iCs/>
        </w:rPr>
        <w:t>Spreadtrum Communications</w:t>
      </w:r>
    </w:p>
    <w:p>
      <w:pPr>
        <w:pStyle w:val="48"/>
        <w:numPr>
          <w:ilvl w:val="0"/>
          <w:numId w:val="43"/>
        </w:numPr>
        <w:rPr>
          <w:iCs/>
        </w:rPr>
      </w:pPr>
      <w:r>
        <w:fldChar w:fldCharType="begin"/>
      </w:r>
      <w:r>
        <w:instrText xml:space="preserve"> HYPERLINK "file:///C:\\Users\\w00250081\\AppData\\Local\\Docs\\R1-2208654.zip" </w:instrText>
      </w:r>
      <w:r>
        <w:fldChar w:fldCharType="separate"/>
      </w:r>
      <w:r>
        <w:rPr>
          <w:rStyle w:val="30"/>
          <w:iCs/>
        </w:rPr>
        <w:t>R1-2208654</w:t>
      </w:r>
      <w:r>
        <w:rPr>
          <w:rStyle w:val="30"/>
          <w:iCs/>
        </w:rPr>
        <w:fldChar w:fldCharType="end"/>
      </w:r>
      <w:r>
        <w:rPr>
          <w:iCs/>
        </w:rPr>
        <w:tab/>
      </w:r>
      <w:r>
        <w:rPr>
          <w:iCs/>
        </w:rPr>
        <w:t>Discussion on NW energy savings performance evaluation</w:t>
      </w:r>
      <w:r>
        <w:rPr>
          <w:iCs/>
        </w:rPr>
        <w:tab/>
      </w:r>
      <w:r>
        <w:rPr>
          <w:iCs/>
        </w:rPr>
        <w:t>vivo</w:t>
      </w:r>
    </w:p>
    <w:p>
      <w:pPr>
        <w:pStyle w:val="48"/>
        <w:numPr>
          <w:ilvl w:val="0"/>
          <w:numId w:val="43"/>
        </w:numPr>
        <w:rPr>
          <w:iCs/>
        </w:rPr>
      </w:pPr>
      <w:r>
        <w:fldChar w:fldCharType="begin"/>
      </w:r>
      <w:r>
        <w:instrText xml:space="preserve"> HYPERLINK "file:///C:\\Users\\w00250081\\AppData\\Local\\Docs\\R1-2208776.zip" </w:instrText>
      </w:r>
      <w:r>
        <w:fldChar w:fldCharType="separate"/>
      </w:r>
      <w:r>
        <w:rPr>
          <w:rStyle w:val="30"/>
          <w:iCs/>
        </w:rPr>
        <w:t>R1-2208776</w:t>
      </w:r>
      <w:r>
        <w:rPr>
          <w:rStyle w:val="30"/>
          <w:iCs/>
        </w:rPr>
        <w:fldChar w:fldCharType="end"/>
      </w:r>
      <w:r>
        <w:rPr>
          <w:iCs/>
        </w:rPr>
        <w:tab/>
      </w:r>
      <w:r>
        <w:rPr>
          <w:iCs/>
        </w:rPr>
        <w:t>Discussion on network energy saving performance evaluation methods</w:t>
      </w:r>
      <w:r>
        <w:rPr>
          <w:iCs/>
        </w:rPr>
        <w:tab/>
      </w:r>
      <w:r>
        <w:rPr>
          <w:iCs/>
        </w:rPr>
        <w:t>China Telecom</w:t>
      </w:r>
    </w:p>
    <w:p>
      <w:pPr>
        <w:pStyle w:val="48"/>
        <w:numPr>
          <w:ilvl w:val="0"/>
          <w:numId w:val="43"/>
        </w:numPr>
        <w:rPr>
          <w:iCs/>
        </w:rPr>
      </w:pPr>
      <w:r>
        <w:fldChar w:fldCharType="begin"/>
      </w:r>
      <w:r>
        <w:instrText xml:space="preserve"> HYPERLINK "file:///C:\\Users\\w00250081\\AppData\\Local\\Docs\\R1-2208832.zip" </w:instrText>
      </w:r>
      <w:r>
        <w:fldChar w:fldCharType="separate"/>
      </w:r>
      <w:r>
        <w:rPr>
          <w:rStyle w:val="30"/>
          <w:iCs/>
        </w:rPr>
        <w:t>R1-2208832</w:t>
      </w:r>
      <w:r>
        <w:rPr>
          <w:rStyle w:val="30"/>
          <w:iCs/>
        </w:rPr>
        <w:fldChar w:fldCharType="end"/>
      </w:r>
      <w:r>
        <w:rPr>
          <w:iCs/>
        </w:rPr>
        <w:tab/>
      </w:r>
      <w:r>
        <w:rPr>
          <w:iCs/>
        </w:rPr>
        <w:t>Discussion on NW energy savings performance evaluation</w:t>
      </w:r>
      <w:r>
        <w:rPr>
          <w:iCs/>
        </w:rPr>
        <w:tab/>
      </w:r>
      <w:r>
        <w:rPr>
          <w:iCs/>
        </w:rPr>
        <w:t>OPPO</w:t>
      </w:r>
    </w:p>
    <w:p>
      <w:pPr>
        <w:pStyle w:val="48"/>
        <w:numPr>
          <w:ilvl w:val="0"/>
          <w:numId w:val="43"/>
        </w:numPr>
        <w:rPr>
          <w:iCs/>
        </w:rPr>
      </w:pPr>
      <w:r>
        <w:fldChar w:fldCharType="begin"/>
      </w:r>
      <w:r>
        <w:instrText xml:space="preserve"> HYPERLINK "file:///C:\\Users\\w00250081\\AppData\\Local\\Docs\\R1-2208987.zip" </w:instrText>
      </w:r>
      <w:r>
        <w:fldChar w:fldCharType="separate"/>
      </w:r>
      <w:r>
        <w:rPr>
          <w:rStyle w:val="30"/>
          <w:iCs/>
        </w:rPr>
        <w:t>R1-2208987</w:t>
      </w:r>
      <w:r>
        <w:rPr>
          <w:rStyle w:val="30"/>
          <w:iCs/>
        </w:rPr>
        <w:fldChar w:fldCharType="end"/>
      </w:r>
      <w:r>
        <w:rPr>
          <w:iCs/>
        </w:rPr>
        <w:tab/>
      </w:r>
      <w:r>
        <w:rPr>
          <w:iCs/>
        </w:rPr>
        <w:t>Evaluation Methodology and Power Model for Network Energy Saving</w:t>
      </w:r>
      <w:r>
        <w:rPr>
          <w:iCs/>
        </w:rPr>
        <w:tab/>
      </w:r>
      <w:r>
        <w:rPr>
          <w:iCs/>
        </w:rPr>
        <w:t>CATT</w:t>
      </w:r>
    </w:p>
    <w:p>
      <w:pPr>
        <w:pStyle w:val="48"/>
        <w:numPr>
          <w:ilvl w:val="0"/>
          <w:numId w:val="43"/>
        </w:numPr>
        <w:rPr>
          <w:iCs/>
        </w:rPr>
      </w:pPr>
      <w:r>
        <w:fldChar w:fldCharType="begin"/>
      </w:r>
      <w:r>
        <w:instrText xml:space="preserve"> HYPERLINK "file:///C:\\Users\\w00250081\\AppData\\Local\\Docs\\R1-2209022.zip" </w:instrText>
      </w:r>
      <w:r>
        <w:fldChar w:fldCharType="separate"/>
      </w:r>
      <w:r>
        <w:rPr>
          <w:rStyle w:val="30"/>
          <w:iCs/>
        </w:rPr>
        <w:t>R1-2209022</w:t>
      </w:r>
      <w:r>
        <w:rPr>
          <w:rStyle w:val="30"/>
          <w:iCs/>
        </w:rPr>
        <w:fldChar w:fldCharType="end"/>
      </w:r>
      <w:r>
        <w:rPr>
          <w:iCs/>
        </w:rPr>
        <w:tab/>
      </w:r>
      <w:r>
        <w:rPr>
          <w:iCs/>
        </w:rPr>
        <w:t>Discussion on NW energy savings performance evaluation</w:t>
      </w:r>
      <w:r>
        <w:rPr>
          <w:iCs/>
        </w:rPr>
        <w:tab/>
      </w:r>
      <w:r>
        <w:rPr>
          <w:iCs/>
        </w:rPr>
        <w:t>Fujitsu</w:t>
      </w:r>
    </w:p>
    <w:p>
      <w:pPr>
        <w:pStyle w:val="48"/>
        <w:numPr>
          <w:ilvl w:val="0"/>
          <w:numId w:val="43"/>
        </w:numPr>
        <w:rPr>
          <w:iCs/>
        </w:rPr>
      </w:pPr>
      <w:r>
        <w:fldChar w:fldCharType="begin"/>
      </w:r>
      <w:r>
        <w:instrText xml:space="preserve"> HYPERLINK "file:///C:\\Users\\w00250081\\AppData\\Local\\Docs\\R1-2209063.zip" </w:instrText>
      </w:r>
      <w:r>
        <w:fldChar w:fldCharType="separate"/>
      </w:r>
      <w:r>
        <w:rPr>
          <w:rStyle w:val="30"/>
          <w:iCs/>
        </w:rPr>
        <w:t>R1-2209063</w:t>
      </w:r>
      <w:r>
        <w:rPr>
          <w:rStyle w:val="30"/>
          <w:iCs/>
        </w:rPr>
        <w:fldChar w:fldCharType="end"/>
      </w:r>
      <w:r>
        <w:rPr>
          <w:iCs/>
        </w:rPr>
        <w:tab/>
      </w:r>
      <w:r>
        <w:rPr>
          <w:iCs/>
        </w:rPr>
        <w:t>Discussion on Network energy saving performance evaluations</w:t>
      </w:r>
      <w:r>
        <w:rPr>
          <w:iCs/>
        </w:rPr>
        <w:tab/>
      </w:r>
      <w:r>
        <w:rPr>
          <w:iCs/>
        </w:rPr>
        <w:t>Intel Corporation</w:t>
      </w:r>
    </w:p>
    <w:p>
      <w:pPr>
        <w:pStyle w:val="48"/>
        <w:numPr>
          <w:ilvl w:val="0"/>
          <w:numId w:val="43"/>
        </w:numPr>
        <w:rPr>
          <w:iCs/>
        </w:rPr>
      </w:pPr>
      <w:r>
        <w:fldChar w:fldCharType="begin"/>
      </w:r>
      <w:r>
        <w:instrText xml:space="preserve"> HYPERLINK "file:///C:\\Users\\w00250081\\AppData\\Local\\Docs\\R1-2209195.zip" </w:instrText>
      </w:r>
      <w:r>
        <w:fldChar w:fldCharType="separate"/>
      </w:r>
      <w:r>
        <w:rPr>
          <w:rStyle w:val="30"/>
          <w:iCs/>
        </w:rPr>
        <w:t>R1-2209195</w:t>
      </w:r>
      <w:r>
        <w:rPr>
          <w:rStyle w:val="30"/>
          <w:iCs/>
        </w:rPr>
        <w:fldChar w:fldCharType="end"/>
      </w:r>
      <w:r>
        <w:rPr>
          <w:iCs/>
        </w:rPr>
        <w:tab/>
      </w:r>
      <w:r>
        <w:rPr>
          <w:iCs/>
        </w:rPr>
        <w:t>Discussion on NW energy saving performance evaluation</w:t>
      </w:r>
      <w:r>
        <w:rPr>
          <w:iCs/>
        </w:rPr>
        <w:tab/>
      </w:r>
      <w:r>
        <w:rPr>
          <w:iCs/>
        </w:rPr>
        <w:t>ZTE, Sanechips</w:t>
      </w:r>
    </w:p>
    <w:p>
      <w:pPr>
        <w:pStyle w:val="48"/>
        <w:numPr>
          <w:ilvl w:val="0"/>
          <w:numId w:val="43"/>
        </w:numPr>
        <w:rPr>
          <w:iCs/>
        </w:rPr>
      </w:pPr>
      <w:r>
        <w:fldChar w:fldCharType="begin"/>
      </w:r>
      <w:r>
        <w:instrText xml:space="preserve"> HYPERLINK "file:///C:\\Users\\w00250081\\AppData\\Local\\Docs\\R1-2209348.zip" </w:instrText>
      </w:r>
      <w:r>
        <w:fldChar w:fldCharType="separate"/>
      </w:r>
      <w:r>
        <w:rPr>
          <w:rStyle w:val="30"/>
          <w:iCs/>
        </w:rPr>
        <w:t>R1-2209348</w:t>
      </w:r>
      <w:r>
        <w:rPr>
          <w:rStyle w:val="30"/>
          <w:iCs/>
        </w:rPr>
        <w:fldChar w:fldCharType="end"/>
      </w:r>
      <w:r>
        <w:rPr>
          <w:iCs/>
        </w:rPr>
        <w:tab/>
      </w:r>
      <w:r>
        <w:rPr>
          <w:iCs/>
        </w:rPr>
        <w:t>Discussion on network energy saving performance evaluation</w:t>
      </w:r>
      <w:r>
        <w:rPr>
          <w:iCs/>
        </w:rPr>
        <w:tab/>
      </w:r>
      <w:r>
        <w:rPr>
          <w:iCs/>
        </w:rPr>
        <w:t>CMCC</w:t>
      </w:r>
    </w:p>
    <w:p>
      <w:pPr>
        <w:pStyle w:val="48"/>
        <w:numPr>
          <w:ilvl w:val="0"/>
          <w:numId w:val="43"/>
        </w:numPr>
        <w:rPr>
          <w:iCs/>
        </w:rPr>
      </w:pPr>
      <w:r>
        <w:fldChar w:fldCharType="begin"/>
      </w:r>
      <w:r>
        <w:instrText xml:space="preserve"> HYPERLINK "file:///C:\\Users\\w00250081\\AppData\\Local\\Docs\\R1-2209452.zip" </w:instrText>
      </w:r>
      <w:r>
        <w:fldChar w:fldCharType="separate"/>
      </w:r>
      <w:r>
        <w:rPr>
          <w:rStyle w:val="30"/>
          <w:iCs/>
        </w:rPr>
        <w:t>R1-2209452</w:t>
      </w:r>
      <w:r>
        <w:rPr>
          <w:rStyle w:val="30"/>
          <w:iCs/>
        </w:rPr>
        <w:fldChar w:fldCharType="end"/>
      </w:r>
      <w:r>
        <w:rPr>
          <w:iCs/>
        </w:rPr>
        <w:tab/>
      </w:r>
      <w:r>
        <w:rPr>
          <w:iCs/>
        </w:rPr>
        <w:t>Discussion on performance evaluation for network energy savings</w:t>
      </w:r>
      <w:r>
        <w:rPr>
          <w:iCs/>
        </w:rPr>
        <w:tab/>
      </w:r>
      <w:r>
        <w:rPr>
          <w:iCs/>
        </w:rPr>
        <w:t>LG Electronics</w:t>
      </w:r>
    </w:p>
    <w:p>
      <w:pPr>
        <w:pStyle w:val="48"/>
        <w:numPr>
          <w:ilvl w:val="0"/>
          <w:numId w:val="43"/>
        </w:numPr>
        <w:rPr>
          <w:iCs/>
        </w:rPr>
      </w:pPr>
      <w:r>
        <w:fldChar w:fldCharType="begin"/>
      </w:r>
      <w:r>
        <w:instrText xml:space="preserve"> HYPERLINK "file:///C:\\Users\\w00250081\\AppData\\Local\\Docs\\R1-2209500.zip" </w:instrText>
      </w:r>
      <w:r>
        <w:fldChar w:fldCharType="separate"/>
      </w:r>
      <w:r>
        <w:rPr>
          <w:rStyle w:val="30"/>
          <w:iCs/>
        </w:rPr>
        <w:t>R1-2209500</w:t>
      </w:r>
      <w:r>
        <w:rPr>
          <w:rStyle w:val="30"/>
          <w:iCs/>
        </w:rPr>
        <w:fldChar w:fldCharType="end"/>
      </w:r>
      <w:r>
        <w:rPr>
          <w:iCs/>
        </w:rPr>
        <w:tab/>
      </w:r>
      <w:r>
        <w:rPr>
          <w:iCs/>
        </w:rPr>
        <w:t>On network energy savings performance evaluation</w:t>
      </w:r>
      <w:r>
        <w:rPr>
          <w:iCs/>
        </w:rPr>
        <w:tab/>
      </w:r>
      <w:r>
        <w:rPr>
          <w:iCs/>
        </w:rPr>
        <w:t>MediaTek Inc.</w:t>
      </w:r>
    </w:p>
    <w:p>
      <w:pPr>
        <w:pStyle w:val="48"/>
        <w:numPr>
          <w:ilvl w:val="0"/>
          <w:numId w:val="43"/>
        </w:numPr>
        <w:rPr>
          <w:iCs/>
        </w:rPr>
      </w:pPr>
      <w:r>
        <w:fldChar w:fldCharType="begin"/>
      </w:r>
      <w:r>
        <w:instrText xml:space="preserve"> HYPERLINK "https://www.3gpp.org/ftp/TSG_RAN/WG1_RL1/TSGR1_110b-e/Inbox/R1-2210239.zip" </w:instrText>
      </w:r>
      <w:r>
        <w:fldChar w:fldCharType="separate"/>
      </w:r>
      <w:r>
        <w:rPr>
          <w:rStyle w:val="30"/>
          <w:iCs/>
        </w:rPr>
        <w:t>R1-2210239</w:t>
      </w:r>
      <w:r>
        <w:rPr>
          <w:rStyle w:val="30"/>
          <w:iCs/>
        </w:rPr>
        <w:fldChar w:fldCharType="end"/>
      </w:r>
      <w:r>
        <w:rPr>
          <w:iCs/>
        </w:rPr>
        <w:tab/>
      </w:r>
      <w:r>
        <w:rPr>
          <w:iCs/>
        </w:rPr>
        <w:t>On network energy savings performance evaluation</w:t>
      </w:r>
      <w:r>
        <w:rPr>
          <w:iCs/>
        </w:rPr>
        <w:tab/>
      </w:r>
      <w:r>
        <w:rPr>
          <w:iCs/>
        </w:rPr>
        <w:t xml:space="preserve">MediaTek Inc.(Rev. of </w:t>
      </w:r>
      <w:r>
        <w:fldChar w:fldCharType="begin"/>
      </w:r>
      <w:r>
        <w:instrText xml:space="preserve"> HYPERLINK "file:///C:\\Users\\w00250081\\AppData\\Local\\Docs\\R1-2209500.zip" </w:instrText>
      </w:r>
      <w:r>
        <w:fldChar w:fldCharType="separate"/>
      </w:r>
      <w:r>
        <w:rPr>
          <w:rStyle w:val="30"/>
          <w:iCs/>
        </w:rPr>
        <w:t>R1-2209500</w:t>
      </w:r>
      <w:r>
        <w:rPr>
          <w:rStyle w:val="30"/>
          <w:iCs/>
        </w:rPr>
        <w:fldChar w:fldCharType="end"/>
      </w:r>
      <w:r>
        <w:rPr>
          <w:iCs/>
        </w:rPr>
        <w:t>)</w:t>
      </w:r>
    </w:p>
    <w:p>
      <w:pPr>
        <w:pStyle w:val="48"/>
        <w:numPr>
          <w:ilvl w:val="0"/>
          <w:numId w:val="43"/>
        </w:numPr>
        <w:rPr>
          <w:iCs/>
        </w:rPr>
      </w:pPr>
      <w:r>
        <w:fldChar w:fldCharType="begin"/>
      </w:r>
      <w:r>
        <w:instrText xml:space="preserve"> HYPERLINK "file:///C:\\Users\\w00250081\\AppData\\Local\\Docs\\R1-2209617.zip" </w:instrText>
      </w:r>
      <w:r>
        <w:fldChar w:fldCharType="separate"/>
      </w:r>
      <w:r>
        <w:rPr>
          <w:rStyle w:val="30"/>
          <w:iCs/>
        </w:rPr>
        <w:t>R1-2209617</w:t>
      </w:r>
      <w:r>
        <w:rPr>
          <w:rStyle w:val="30"/>
          <w:iCs/>
        </w:rPr>
        <w:fldChar w:fldCharType="end"/>
      </w:r>
      <w:r>
        <w:rPr>
          <w:iCs/>
        </w:rPr>
        <w:tab/>
      </w:r>
      <w:r>
        <w:rPr>
          <w:iCs/>
        </w:rPr>
        <w:t>Discussion on network energy savings performance</w:t>
      </w:r>
      <w:r>
        <w:rPr>
          <w:iCs/>
        </w:rPr>
        <w:tab/>
      </w:r>
      <w:r>
        <w:rPr>
          <w:iCs/>
        </w:rPr>
        <w:t>Rakuten Symphony</w:t>
      </w:r>
    </w:p>
    <w:p>
      <w:pPr>
        <w:pStyle w:val="48"/>
        <w:numPr>
          <w:ilvl w:val="0"/>
          <w:numId w:val="43"/>
        </w:numPr>
        <w:rPr>
          <w:iCs/>
        </w:rPr>
      </w:pPr>
      <w:r>
        <w:fldChar w:fldCharType="begin"/>
      </w:r>
      <w:r>
        <w:instrText xml:space="preserve"> HYPERLINK "file:///C:\\Users\\w00250081\\AppData\\Local\\Docs\\R1-2209653.zip" </w:instrText>
      </w:r>
      <w:r>
        <w:fldChar w:fldCharType="separate"/>
      </w:r>
      <w:r>
        <w:rPr>
          <w:rStyle w:val="30"/>
          <w:iCs/>
        </w:rPr>
        <w:t>R1-2209653</w:t>
      </w:r>
      <w:r>
        <w:rPr>
          <w:rStyle w:val="30"/>
          <w:iCs/>
        </w:rPr>
        <w:fldChar w:fldCharType="end"/>
      </w:r>
      <w:r>
        <w:rPr>
          <w:iCs/>
        </w:rPr>
        <w:tab/>
      </w:r>
      <w:r>
        <w:rPr>
          <w:iCs/>
        </w:rPr>
        <w:t>Performance evaluation for network energy saving</w:t>
      </w:r>
      <w:r>
        <w:rPr>
          <w:iCs/>
        </w:rPr>
        <w:tab/>
      </w:r>
      <w:r>
        <w:rPr>
          <w:iCs/>
        </w:rPr>
        <w:t>InterDigital, Inc.</w:t>
      </w:r>
    </w:p>
    <w:p>
      <w:pPr>
        <w:pStyle w:val="48"/>
        <w:numPr>
          <w:ilvl w:val="0"/>
          <w:numId w:val="43"/>
        </w:numPr>
        <w:rPr>
          <w:iCs/>
        </w:rPr>
      </w:pPr>
      <w:r>
        <w:fldChar w:fldCharType="begin"/>
      </w:r>
      <w:r>
        <w:instrText xml:space="preserve"> HYPERLINK "file:///C:\\Users\\w00250081\\AppData\\Local\\Docs\\R1-2209742.zip" </w:instrText>
      </w:r>
      <w:r>
        <w:fldChar w:fldCharType="separate"/>
      </w:r>
      <w:r>
        <w:rPr>
          <w:rStyle w:val="30"/>
          <w:iCs/>
        </w:rPr>
        <w:t>R1-2209742</w:t>
      </w:r>
      <w:r>
        <w:rPr>
          <w:rStyle w:val="30"/>
          <w:iCs/>
        </w:rPr>
        <w:fldChar w:fldCharType="end"/>
      </w:r>
      <w:r>
        <w:rPr>
          <w:iCs/>
        </w:rPr>
        <w:tab/>
      </w:r>
      <w:r>
        <w:rPr>
          <w:iCs/>
        </w:rPr>
        <w:t>NW energy savings performance evaluation</w:t>
      </w:r>
      <w:r>
        <w:rPr>
          <w:iCs/>
        </w:rPr>
        <w:tab/>
      </w:r>
      <w:r>
        <w:rPr>
          <w:iCs/>
        </w:rPr>
        <w:t>Samsung</w:t>
      </w:r>
    </w:p>
    <w:p>
      <w:pPr>
        <w:pStyle w:val="48"/>
        <w:numPr>
          <w:ilvl w:val="0"/>
          <w:numId w:val="43"/>
        </w:numPr>
        <w:rPr>
          <w:iCs/>
        </w:rPr>
      </w:pPr>
      <w:r>
        <w:fldChar w:fldCharType="begin"/>
      </w:r>
      <w:r>
        <w:instrText xml:space="preserve"> HYPERLINK "file:///C:\\Users\\w00250081\\AppData\\Local\\Docs\\R1-2209858.zip" </w:instrText>
      </w:r>
      <w:r>
        <w:fldChar w:fldCharType="separate"/>
      </w:r>
      <w:r>
        <w:rPr>
          <w:rStyle w:val="30"/>
          <w:iCs/>
        </w:rPr>
        <w:t>R1-2209858</w:t>
      </w:r>
      <w:r>
        <w:rPr>
          <w:rStyle w:val="30"/>
          <w:iCs/>
        </w:rPr>
        <w:fldChar w:fldCharType="end"/>
      </w:r>
      <w:r>
        <w:rPr>
          <w:iCs/>
        </w:rPr>
        <w:tab/>
      </w:r>
      <w:r>
        <w:rPr>
          <w:iCs/>
        </w:rPr>
        <w:t>Network energy consumption modeling and evaluation</w:t>
      </w:r>
      <w:r>
        <w:rPr>
          <w:iCs/>
        </w:rPr>
        <w:tab/>
      </w:r>
      <w:r>
        <w:rPr>
          <w:iCs/>
        </w:rPr>
        <w:t>Ericsson</w:t>
      </w:r>
    </w:p>
    <w:p>
      <w:pPr>
        <w:pStyle w:val="48"/>
        <w:numPr>
          <w:ilvl w:val="0"/>
          <w:numId w:val="43"/>
        </w:numPr>
        <w:rPr>
          <w:iCs/>
        </w:rPr>
      </w:pPr>
      <w:r>
        <w:fldChar w:fldCharType="begin"/>
      </w:r>
      <w:r>
        <w:instrText xml:space="preserve"> HYPERLINK "file:///C:\\Users\\w00250081\\AppData\\Local\\Docs\\R1-2209913.zip" </w:instrText>
      </w:r>
      <w:r>
        <w:fldChar w:fldCharType="separate"/>
      </w:r>
      <w:r>
        <w:rPr>
          <w:rStyle w:val="30"/>
          <w:iCs/>
        </w:rPr>
        <w:t>R1-2209913</w:t>
      </w:r>
      <w:r>
        <w:rPr>
          <w:rStyle w:val="30"/>
          <w:iCs/>
        </w:rPr>
        <w:fldChar w:fldCharType="end"/>
      </w:r>
      <w:r>
        <w:rPr>
          <w:iCs/>
        </w:rPr>
        <w:tab/>
      </w:r>
      <w:r>
        <w:rPr>
          <w:iCs/>
        </w:rPr>
        <w:t>Discussion on NW energy savings performance evaluation</w:t>
      </w:r>
      <w:r>
        <w:rPr>
          <w:iCs/>
        </w:rPr>
        <w:tab/>
      </w:r>
      <w:r>
        <w:rPr>
          <w:iCs/>
        </w:rPr>
        <w:t>NTT DOCOMO, INC.</w:t>
      </w:r>
    </w:p>
    <w:p>
      <w:pPr>
        <w:pStyle w:val="48"/>
        <w:numPr>
          <w:ilvl w:val="0"/>
          <w:numId w:val="43"/>
        </w:numPr>
        <w:rPr>
          <w:iCs/>
        </w:rPr>
      </w:pPr>
      <w:r>
        <w:fldChar w:fldCharType="begin"/>
      </w:r>
      <w:r>
        <w:instrText xml:space="preserve"> HYPERLINK "file:///C:\\Users\\w00250081\\AppData\\Local\\Docs\\R1-2209996.zip" </w:instrText>
      </w:r>
      <w:r>
        <w:fldChar w:fldCharType="separate"/>
      </w:r>
      <w:r>
        <w:rPr>
          <w:rStyle w:val="30"/>
          <w:iCs/>
        </w:rPr>
        <w:t>R1-2209996</w:t>
      </w:r>
      <w:r>
        <w:rPr>
          <w:rStyle w:val="30"/>
          <w:iCs/>
        </w:rPr>
        <w:fldChar w:fldCharType="end"/>
      </w:r>
      <w:r>
        <w:rPr>
          <w:iCs/>
        </w:rPr>
        <w:tab/>
      </w:r>
      <w:r>
        <w:rPr>
          <w:iCs/>
        </w:rPr>
        <w:t>NW energy savings performance evaluation</w:t>
      </w:r>
      <w:r>
        <w:rPr>
          <w:iCs/>
        </w:rPr>
        <w:tab/>
      </w:r>
      <w:r>
        <w:rPr>
          <w:iCs/>
        </w:rPr>
        <w:t>Qualcomm Incorporated</w:t>
      </w:r>
    </w:p>
    <w:p>
      <w:pPr>
        <w:pStyle w:val="48"/>
        <w:numPr>
          <w:ilvl w:val="0"/>
          <w:numId w:val="43"/>
        </w:numPr>
        <w:rPr>
          <w:iCs/>
        </w:rPr>
      </w:pPr>
      <w:r>
        <w:fldChar w:fldCharType="begin"/>
      </w:r>
      <w:r>
        <w:instrText xml:space="preserve"> HYPERLINK "file:///C:\\Users\\w00250081\\AppData\\Local\\Docs\\R1-2210021.zip" </w:instrText>
      </w:r>
      <w:r>
        <w:fldChar w:fldCharType="separate"/>
      </w:r>
      <w:r>
        <w:rPr>
          <w:rStyle w:val="30"/>
          <w:iCs/>
        </w:rPr>
        <w:t>R1-2210021</w:t>
      </w:r>
      <w:r>
        <w:rPr>
          <w:rStyle w:val="30"/>
          <w:iCs/>
        </w:rPr>
        <w:fldChar w:fldCharType="end"/>
      </w:r>
      <w:r>
        <w:rPr>
          <w:iCs/>
        </w:rPr>
        <w:tab/>
      </w:r>
      <w:r>
        <w:rPr>
          <w:iCs/>
        </w:rPr>
        <w:t>Performance evaluation for network energy saving</w:t>
      </w:r>
      <w:r>
        <w:rPr>
          <w:iCs/>
        </w:rPr>
        <w:tab/>
      </w:r>
      <w:r>
        <w:rPr>
          <w:iCs/>
        </w:rPr>
        <w:t>Lenovo</w:t>
      </w:r>
    </w:p>
    <w:p>
      <w:pPr>
        <w:pStyle w:val="48"/>
        <w:numPr>
          <w:ilvl w:val="0"/>
          <w:numId w:val="43"/>
        </w:numPr>
        <w:rPr>
          <w:lang w:eastAsia="zh-CN"/>
        </w:rPr>
      </w:pPr>
      <w:r>
        <w:fldChar w:fldCharType="begin"/>
      </w:r>
      <w:r>
        <w:instrText xml:space="preserve"> HYPERLINK "file:///D:\\01%20Standard\\3GPP\\ran1%20meetings\\Docs\\R1-2208382.zip" </w:instrText>
      </w:r>
      <w:r>
        <w:fldChar w:fldCharType="separate"/>
      </w:r>
      <w:r>
        <w:rPr>
          <w:rStyle w:val="30"/>
          <w:lang w:eastAsia="zh-CN"/>
        </w:rPr>
        <w:t>R1-2208382</w:t>
      </w:r>
      <w:r>
        <w:rPr>
          <w:rStyle w:val="30"/>
          <w:lang w:eastAsia="zh-CN"/>
        </w:rPr>
        <w:fldChar w:fldCharType="end"/>
      </w:r>
      <w:r>
        <w:rPr>
          <w:lang w:eastAsia="zh-CN"/>
        </w:rPr>
        <w:tab/>
      </w:r>
      <w:r>
        <w:rPr>
          <w:lang w:eastAsia="zh-CN"/>
        </w:rPr>
        <w:t>Potential enhancements for network energy saving</w:t>
      </w:r>
      <w:r>
        <w:rPr>
          <w:lang w:eastAsia="zh-CN"/>
        </w:rPr>
        <w:tab/>
      </w:r>
      <w:r>
        <w:rPr>
          <w:lang w:eastAsia="zh-CN"/>
        </w:rPr>
        <w:t>FUTUREWEI</w:t>
      </w:r>
    </w:p>
    <w:p>
      <w:pPr>
        <w:pStyle w:val="48"/>
        <w:numPr>
          <w:ilvl w:val="0"/>
          <w:numId w:val="43"/>
        </w:numPr>
        <w:rPr>
          <w:lang w:eastAsia="zh-CN"/>
        </w:rPr>
      </w:pPr>
      <w:r>
        <w:fldChar w:fldCharType="begin"/>
      </w:r>
      <w:r>
        <w:instrText xml:space="preserve"> HYPERLINK "file:///D:\\01%20Standard\\3GPP\\ran1%20meetings\\Docs\\R1-2208425.zip" </w:instrText>
      </w:r>
      <w:r>
        <w:fldChar w:fldCharType="separate"/>
      </w:r>
      <w:r>
        <w:rPr>
          <w:rStyle w:val="30"/>
          <w:lang w:eastAsia="zh-CN"/>
        </w:rPr>
        <w:t>R1-2208425</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Huawei, HiSilicon</w:t>
      </w:r>
    </w:p>
    <w:p>
      <w:pPr>
        <w:pStyle w:val="48"/>
        <w:numPr>
          <w:ilvl w:val="0"/>
          <w:numId w:val="43"/>
        </w:numPr>
        <w:rPr>
          <w:lang w:eastAsia="zh-CN"/>
        </w:rPr>
      </w:pPr>
      <w:r>
        <w:fldChar w:fldCharType="begin"/>
      </w:r>
      <w:r>
        <w:instrText xml:space="preserve"> HYPERLINK "file:///D:\\01%20Standard\\3GPP\\ran1%20meetings\\Docs\\R1-2208519.zip" </w:instrText>
      </w:r>
      <w:r>
        <w:fldChar w:fldCharType="separate"/>
      </w:r>
      <w:r>
        <w:rPr>
          <w:rStyle w:val="30"/>
          <w:lang w:eastAsia="zh-CN"/>
        </w:rPr>
        <w:t>R1-2208519</w:t>
      </w:r>
      <w:r>
        <w:rPr>
          <w:rStyle w:val="30"/>
          <w:lang w:eastAsia="zh-CN"/>
        </w:rPr>
        <w:fldChar w:fldCharType="end"/>
      </w:r>
      <w:r>
        <w:rPr>
          <w:lang w:eastAsia="zh-CN"/>
        </w:rPr>
        <w:tab/>
      </w:r>
      <w:r>
        <w:rPr>
          <w:lang w:eastAsia="zh-CN"/>
        </w:rPr>
        <w:t>Network energy saving techniques</w:t>
      </w:r>
      <w:r>
        <w:rPr>
          <w:lang w:eastAsia="zh-CN"/>
        </w:rPr>
        <w:tab/>
      </w:r>
      <w:r>
        <w:rPr>
          <w:lang w:eastAsia="zh-CN"/>
        </w:rPr>
        <w:t>Nokia, Nokia Shanghai Bell</w:t>
      </w:r>
    </w:p>
    <w:p>
      <w:pPr>
        <w:pStyle w:val="48"/>
        <w:numPr>
          <w:ilvl w:val="0"/>
          <w:numId w:val="43"/>
        </w:numPr>
        <w:rPr>
          <w:lang w:eastAsia="zh-CN"/>
        </w:rPr>
      </w:pPr>
      <w:r>
        <w:fldChar w:fldCharType="begin"/>
      </w:r>
      <w:r>
        <w:instrText xml:space="preserve"> HYPERLINK "file:///D:\\01%20Standard\\3GPP\\ran1%20meetings\\Docs\\R1-2208562.zip" </w:instrText>
      </w:r>
      <w:r>
        <w:fldChar w:fldCharType="separate"/>
      </w:r>
      <w:r>
        <w:rPr>
          <w:rStyle w:val="30"/>
          <w:lang w:eastAsia="zh-CN"/>
        </w:rPr>
        <w:t>R1-2208562</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Spreadtrum Communications</w:t>
      </w:r>
    </w:p>
    <w:p>
      <w:pPr>
        <w:pStyle w:val="48"/>
        <w:numPr>
          <w:ilvl w:val="0"/>
          <w:numId w:val="43"/>
        </w:numPr>
        <w:rPr>
          <w:lang w:eastAsia="zh-CN"/>
        </w:rPr>
      </w:pPr>
      <w:r>
        <w:fldChar w:fldCharType="begin"/>
      </w:r>
      <w:r>
        <w:instrText xml:space="preserve"> HYPERLINK "file:///D:\\01%20Standard\\3GPP\\ran1%20meetings\\Docs\\R1-2208655.zip" </w:instrText>
      </w:r>
      <w:r>
        <w:fldChar w:fldCharType="separate"/>
      </w:r>
      <w:r>
        <w:rPr>
          <w:rStyle w:val="30"/>
          <w:lang w:eastAsia="zh-CN"/>
        </w:rPr>
        <w:t>R1-2208655</w:t>
      </w:r>
      <w:r>
        <w:rPr>
          <w:rStyle w:val="30"/>
          <w:lang w:eastAsia="zh-CN"/>
        </w:rPr>
        <w:fldChar w:fldCharType="end"/>
      </w:r>
      <w:r>
        <w:rPr>
          <w:lang w:eastAsia="zh-CN"/>
        </w:rPr>
        <w:tab/>
      </w:r>
      <w:r>
        <w:rPr>
          <w:lang w:eastAsia="zh-CN"/>
        </w:rPr>
        <w:t>Discussion on NW energy saving technique</w:t>
      </w:r>
      <w:r>
        <w:rPr>
          <w:lang w:eastAsia="zh-CN"/>
        </w:rPr>
        <w:tab/>
      </w:r>
      <w:r>
        <w:rPr>
          <w:lang w:eastAsia="zh-CN"/>
        </w:rPr>
        <w:t>vivo</w:t>
      </w:r>
    </w:p>
    <w:p>
      <w:pPr>
        <w:pStyle w:val="48"/>
        <w:numPr>
          <w:ilvl w:val="0"/>
          <w:numId w:val="43"/>
        </w:numPr>
        <w:rPr>
          <w:lang w:eastAsia="zh-CN"/>
        </w:rPr>
      </w:pPr>
      <w:r>
        <w:fldChar w:fldCharType="begin"/>
      </w:r>
      <w:r>
        <w:instrText xml:space="preserve"> HYPERLINK "file:///D:\\01%20Standard\\3GPP\\ran1%20meetings\\Docs\\R1-2208777.zip" </w:instrText>
      </w:r>
      <w:r>
        <w:fldChar w:fldCharType="separate"/>
      </w:r>
      <w:r>
        <w:rPr>
          <w:rStyle w:val="30"/>
          <w:lang w:eastAsia="zh-CN"/>
        </w:rPr>
        <w:t>R1-2208777</w:t>
      </w:r>
      <w:r>
        <w:rPr>
          <w:rStyle w:val="30"/>
          <w:lang w:eastAsia="zh-CN"/>
        </w:rPr>
        <w:fldChar w:fldCharType="end"/>
      </w:r>
      <w:r>
        <w:rPr>
          <w:lang w:eastAsia="zh-CN"/>
        </w:rPr>
        <w:tab/>
      </w:r>
      <w:r>
        <w:rPr>
          <w:lang w:eastAsia="zh-CN"/>
        </w:rPr>
        <w:t>Discussion on potential network energy saving techniques</w:t>
      </w:r>
      <w:r>
        <w:rPr>
          <w:lang w:eastAsia="zh-CN"/>
        </w:rPr>
        <w:tab/>
      </w:r>
      <w:r>
        <w:rPr>
          <w:lang w:eastAsia="zh-CN"/>
        </w:rPr>
        <w:t>China Telecom</w:t>
      </w:r>
    </w:p>
    <w:p>
      <w:pPr>
        <w:pStyle w:val="48"/>
        <w:numPr>
          <w:ilvl w:val="0"/>
          <w:numId w:val="43"/>
        </w:numPr>
        <w:rPr>
          <w:lang w:eastAsia="zh-CN"/>
        </w:rPr>
      </w:pPr>
      <w:r>
        <w:fldChar w:fldCharType="begin"/>
      </w:r>
      <w:r>
        <w:instrText xml:space="preserve"> HYPERLINK "file:///D:\\01%20Standard\\3GPP\\ran1%20meetings\\Docs\\R1-2208833.zip" </w:instrText>
      </w:r>
      <w:r>
        <w:fldChar w:fldCharType="separate"/>
      </w:r>
      <w:r>
        <w:rPr>
          <w:rStyle w:val="30"/>
          <w:lang w:eastAsia="zh-CN"/>
        </w:rPr>
        <w:t>R1-2208833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OPPO</w:t>
      </w:r>
    </w:p>
    <w:p>
      <w:pPr>
        <w:pStyle w:val="48"/>
        <w:numPr>
          <w:ilvl w:val="0"/>
          <w:numId w:val="43"/>
        </w:numPr>
        <w:rPr>
          <w:lang w:eastAsia="zh-CN"/>
        </w:rPr>
      </w:pPr>
      <w:r>
        <w:fldChar w:fldCharType="begin"/>
      </w:r>
      <w:r>
        <w:instrText xml:space="preserve"> HYPERLINK "file:///D:\\01%20Standard\\3GPP\\ran1%20meetings\\Docs\\R1-2208988.zip" </w:instrText>
      </w:r>
      <w:r>
        <w:fldChar w:fldCharType="separate"/>
      </w:r>
      <w:r>
        <w:rPr>
          <w:rStyle w:val="30"/>
          <w:lang w:eastAsia="zh-CN"/>
        </w:rPr>
        <w:t>R1-2208988</w:t>
      </w:r>
      <w:r>
        <w:rPr>
          <w:rStyle w:val="30"/>
          <w:lang w:eastAsia="zh-CN"/>
        </w:rPr>
        <w:fldChar w:fldCharType="end"/>
      </w:r>
      <w:r>
        <w:rPr>
          <w:lang w:eastAsia="zh-CN"/>
        </w:rPr>
        <w:tab/>
      </w:r>
      <w:r>
        <w:rPr>
          <w:lang w:eastAsia="zh-CN"/>
        </w:rPr>
        <w:t>Network Energy Saving techniques in time, frequency, and spatial domain</w:t>
      </w:r>
      <w:r>
        <w:rPr>
          <w:lang w:eastAsia="zh-CN"/>
        </w:rPr>
        <w:tab/>
      </w:r>
      <w:r>
        <w:rPr>
          <w:lang w:eastAsia="zh-CN"/>
        </w:rPr>
        <w:t>CATT</w:t>
      </w:r>
    </w:p>
    <w:p>
      <w:pPr>
        <w:pStyle w:val="48"/>
        <w:numPr>
          <w:ilvl w:val="0"/>
          <w:numId w:val="43"/>
        </w:numPr>
        <w:rPr>
          <w:lang w:eastAsia="zh-CN"/>
        </w:rPr>
      </w:pPr>
      <w:r>
        <w:fldChar w:fldCharType="begin"/>
      </w:r>
      <w:r>
        <w:instrText xml:space="preserve"> HYPERLINK "file:///D:\\01%20Standard\\3GPP\\ran1%20meetings\\Docs\\R1-2209023.zip" </w:instrText>
      </w:r>
      <w:r>
        <w:fldChar w:fldCharType="separate"/>
      </w:r>
      <w:r>
        <w:rPr>
          <w:rStyle w:val="30"/>
          <w:lang w:eastAsia="zh-CN"/>
        </w:rPr>
        <w:t>R1-2209023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Fujitsu</w:t>
      </w:r>
    </w:p>
    <w:p>
      <w:pPr>
        <w:pStyle w:val="48"/>
        <w:numPr>
          <w:ilvl w:val="0"/>
          <w:numId w:val="43"/>
        </w:numPr>
        <w:rPr>
          <w:lang w:eastAsia="zh-CN"/>
        </w:rPr>
      </w:pPr>
      <w:r>
        <w:fldChar w:fldCharType="begin"/>
      </w:r>
      <w:r>
        <w:instrText xml:space="preserve"> HYPERLINK "file:///D:\\01%20Standard\\3GPP\\ran1%20meetings\\Docs\\R1-2209064.zip" </w:instrText>
      </w:r>
      <w:r>
        <w:fldChar w:fldCharType="separate"/>
      </w:r>
      <w:r>
        <w:rPr>
          <w:rStyle w:val="30"/>
          <w:lang w:eastAsia="zh-CN"/>
        </w:rPr>
        <w:t>R1-2209064</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Intel Corporation</w:t>
      </w:r>
    </w:p>
    <w:p>
      <w:pPr>
        <w:pStyle w:val="48"/>
        <w:numPr>
          <w:ilvl w:val="0"/>
          <w:numId w:val="43"/>
        </w:numPr>
        <w:rPr>
          <w:lang w:eastAsia="zh-CN"/>
        </w:rPr>
      </w:pPr>
      <w:r>
        <w:fldChar w:fldCharType="begin"/>
      </w:r>
      <w:r>
        <w:instrText xml:space="preserve"> HYPERLINK "file:///D:\\01%20Standard\\3GPP\\ran1%20meetings\\Docs\\R1-2209127.zip" </w:instrText>
      </w:r>
      <w:r>
        <w:fldChar w:fldCharType="separate"/>
      </w:r>
      <w:r>
        <w:rPr>
          <w:rStyle w:val="30"/>
          <w:lang w:eastAsia="zh-CN"/>
        </w:rPr>
        <w:t>R1-2209127</w:t>
      </w:r>
      <w:r>
        <w:rPr>
          <w:rStyle w:val="30"/>
          <w:lang w:eastAsia="zh-CN"/>
        </w:rPr>
        <w:fldChar w:fldCharType="end"/>
      </w:r>
      <w:r>
        <w:rPr>
          <w:lang w:eastAsia="zh-CN"/>
        </w:rPr>
        <w:tab/>
      </w:r>
      <w:r>
        <w:rPr>
          <w:lang w:eastAsia="zh-CN"/>
        </w:rPr>
        <w:t>Network energy saving techniques</w:t>
      </w:r>
      <w:r>
        <w:rPr>
          <w:lang w:eastAsia="zh-CN"/>
        </w:rPr>
        <w:tab/>
      </w:r>
      <w:r>
        <w:rPr>
          <w:lang w:eastAsia="zh-CN"/>
        </w:rPr>
        <w:t>Lenovo</w:t>
      </w:r>
    </w:p>
    <w:p>
      <w:pPr>
        <w:pStyle w:val="48"/>
        <w:numPr>
          <w:ilvl w:val="0"/>
          <w:numId w:val="43"/>
        </w:numPr>
        <w:rPr>
          <w:lang w:eastAsia="zh-CN"/>
        </w:rPr>
      </w:pPr>
      <w:r>
        <w:fldChar w:fldCharType="begin"/>
      </w:r>
      <w:r>
        <w:instrText xml:space="preserve"> HYPERLINK "file:///D:\\01%20Standard\\3GPP\\ran1%20meetings\\Docs\\R1-2209196.zip" </w:instrText>
      </w:r>
      <w:r>
        <w:fldChar w:fldCharType="separate"/>
      </w:r>
      <w:r>
        <w:rPr>
          <w:rStyle w:val="30"/>
          <w:lang w:eastAsia="zh-CN"/>
        </w:rPr>
        <w:t>R1-2209196</w:t>
      </w:r>
      <w:r>
        <w:rPr>
          <w:rStyle w:val="30"/>
          <w:lang w:eastAsia="zh-CN"/>
        </w:rPr>
        <w:fldChar w:fldCharType="end"/>
      </w:r>
      <w:r>
        <w:rPr>
          <w:lang w:eastAsia="zh-CN"/>
        </w:rPr>
        <w:tab/>
      </w:r>
      <w:r>
        <w:rPr>
          <w:lang w:eastAsia="zh-CN"/>
        </w:rPr>
        <w:t>Discussion on NW energy saving techniques</w:t>
      </w:r>
      <w:r>
        <w:rPr>
          <w:lang w:eastAsia="zh-CN"/>
        </w:rPr>
        <w:tab/>
      </w:r>
      <w:r>
        <w:rPr>
          <w:lang w:eastAsia="zh-CN"/>
        </w:rPr>
        <w:t>ZTE, Sanechips</w:t>
      </w:r>
    </w:p>
    <w:p>
      <w:pPr>
        <w:pStyle w:val="48"/>
        <w:numPr>
          <w:ilvl w:val="0"/>
          <w:numId w:val="43"/>
        </w:numPr>
        <w:rPr>
          <w:lang w:eastAsia="zh-CN"/>
        </w:rPr>
      </w:pPr>
      <w:r>
        <w:fldChar w:fldCharType="begin"/>
      </w:r>
      <w:r>
        <w:instrText xml:space="preserve"> HYPERLINK "file:///D:\\01%20Standard\\3GPP\\ran1%20meetings\\Docs\\R1-2209296.zip" </w:instrText>
      </w:r>
      <w:r>
        <w:fldChar w:fldCharType="separate"/>
      </w:r>
      <w:r>
        <w:rPr>
          <w:rStyle w:val="30"/>
          <w:lang w:eastAsia="zh-CN"/>
        </w:rPr>
        <w:t>R1-2209296</w:t>
      </w:r>
      <w:r>
        <w:rPr>
          <w:rStyle w:val="30"/>
          <w:lang w:eastAsia="zh-CN"/>
        </w:rPr>
        <w:fldChar w:fldCharType="end"/>
      </w:r>
      <w:r>
        <w:rPr>
          <w:lang w:eastAsia="zh-CN"/>
        </w:rPr>
        <w:tab/>
      </w:r>
      <w:r>
        <w:rPr>
          <w:lang w:eastAsia="zh-CN"/>
        </w:rPr>
        <w:t>Discussions on techniques for network energy saving</w:t>
      </w:r>
      <w:r>
        <w:rPr>
          <w:lang w:eastAsia="zh-CN"/>
        </w:rPr>
        <w:tab/>
      </w:r>
      <w:r>
        <w:rPr>
          <w:lang w:eastAsia="zh-CN"/>
        </w:rPr>
        <w:t>xiaomi</w:t>
      </w:r>
    </w:p>
    <w:p>
      <w:pPr>
        <w:pStyle w:val="48"/>
        <w:numPr>
          <w:ilvl w:val="0"/>
          <w:numId w:val="43"/>
        </w:numPr>
        <w:rPr>
          <w:lang w:eastAsia="zh-CN"/>
        </w:rPr>
      </w:pPr>
      <w:r>
        <w:fldChar w:fldCharType="begin"/>
      </w:r>
      <w:r>
        <w:instrText xml:space="preserve"> HYPERLINK "file:///D:\\01%20Standard\\3GPP\\ran1%20meetings\\Docs\\R1-2209349.zip" </w:instrText>
      </w:r>
      <w:r>
        <w:fldChar w:fldCharType="separate"/>
      </w:r>
      <w:r>
        <w:rPr>
          <w:rStyle w:val="30"/>
          <w:lang w:eastAsia="zh-CN"/>
        </w:rPr>
        <w:t>R1-2209349</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CMCC</w:t>
      </w:r>
    </w:p>
    <w:p>
      <w:pPr>
        <w:pStyle w:val="48"/>
        <w:numPr>
          <w:ilvl w:val="0"/>
          <w:numId w:val="43"/>
        </w:numPr>
        <w:rPr>
          <w:lang w:eastAsia="zh-CN"/>
        </w:rPr>
      </w:pPr>
      <w:r>
        <w:fldChar w:fldCharType="begin"/>
      </w:r>
      <w:r>
        <w:instrText xml:space="preserve"> HYPERLINK "file:///D:\\01%20Standard\\3GPP\\ran1%20meetings\\Docs\\R1-2209425.zip" </w:instrText>
      </w:r>
      <w:r>
        <w:fldChar w:fldCharType="separate"/>
      </w:r>
      <w:r>
        <w:rPr>
          <w:rStyle w:val="30"/>
          <w:lang w:eastAsia="zh-CN"/>
        </w:rPr>
        <w:t>R1-2209425</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NEC</w:t>
      </w:r>
    </w:p>
    <w:p>
      <w:pPr>
        <w:pStyle w:val="48"/>
        <w:numPr>
          <w:ilvl w:val="0"/>
          <w:numId w:val="43"/>
        </w:numPr>
        <w:rPr>
          <w:lang w:eastAsia="zh-CN"/>
        </w:rPr>
      </w:pPr>
      <w:r>
        <w:fldChar w:fldCharType="begin"/>
      </w:r>
      <w:r>
        <w:instrText xml:space="preserve"> HYPERLINK "file:///D:\\01%20Standard\\3GPP\\ran1%20meetings\\Docs\\R1-2209453.zip" </w:instrText>
      </w:r>
      <w:r>
        <w:fldChar w:fldCharType="separate"/>
      </w:r>
      <w:r>
        <w:rPr>
          <w:rStyle w:val="30"/>
          <w:lang w:eastAsia="zh-CN"/>
        </w:rPr>
        <w:t>R1-2209453</w:t>
      </w:r>
      <w:r>
        <w:rPr>
          <w:rStyle w:val="30"/>
          <w:lang w:eastAsia="zh-CN"/>
        </w:rPr>
        <w:fldChar w:fldCharType="end"/>
      </w:r>
      <w:r>
        <w:rPr>
          <w:lang w:eastAsia="zh-CN"/>
        </w:rPr>
        <w:tab/>
      </w:r>
      <w:r>
        <w:rPr>
          <w:lang w:eastAsia="zh-CN"/>
        </w:rPr>
        <w:t>Discussion on physical layer techniques for network energy savings</w:t>
      </w:r>
      <w:r>
        <w:rPr>
          <w:lang w:eastAsia="zh-CN"/>
        </w:rPr>
        <w:tab/>
      </w:r>
      <w:r>
        <w:rPr>
          <w:lang w:eastAsia="zh-CN"/>
        </w:rPr>
        <w:t>LG Electronics</w:t>
      </w:r>
    </w:p>
    <w:p>
      <w:pPr>
        <w:pStyle w:val="48"/>
        <w:numPr>
          <w:ilvl w:val="0"/>
          <w:numId w:val="43"/>
        </w:numPr>
        <w:rPr>
          <w:lang w:eastAsia="zh-CN"/>
        </w:rPr>
      </w:pPr>
      <w:r>
        <w:fldChar w:fldCharType="begin"/>
      </w:r>
      <w:r>
        <w:instrText xml:space="preserve"> HYPERLINK "file:///D:\\01%20Standard\\3GPP\\ran1%20meetings\\Docs\\R1-2209501.zip" </w:instrText>
      </w:r>
      <w:r>
        <w:fldChar w:fldCharType="separate"/>
      </w:r>
      <w:r>
        <w:rPr>
          <w:rStyle w:val="30"/>
          <w:lang w:eastAsia="zh-CN"/>
        </w:rPr>
        <w:t>R1-2209501</w:t>
      </w:r>
      <w:r>
        <w:rPr>
          <w:rStyle w:val="30"/>
          <w:lang w:eastAsia="zh-CN"/>
        </w:rPr>
        <w:fldChar w:fldCharType="end"/>
      </w:r>
      <w:r>
        <w:rPr>
          <w:lang w:eastAsia="zh-CN"/>
        </w:rPr>
        <w:tab/>
      </w:r>
      <w:r>
        <w:rPr>
          <w:lang w:eastAsia="zh-CN"/>
        </w:rPr>
        <w:t>On network energy savings techniques</w:t>
      </w:r>
      <w:r>
        <w:rPr>
          <w:lang w:eastAsia="zh-CN"/>
        </w:rPr>
        <w:tab/>
      </w:r>
      <w:r>
        <w:rPr>
          <w:lang w:eastAsia="zh-CN"/>
        </w:rPr>
        <w:t>MediaTek Inc.</w:t>
      </w:r>
    </w:p>
    <w:p>
      <w:pPr>
        <w:pStyle w:val="48"/>
        <w:numPr>
          <w:ilvl w:val="0"/>
          <w:numId w:val="43"/>
        </w:numPr>
        <w:rPr>
          <w:lang w:eastAsia="zh-CN"/>
        </w:rPr>
      </w:pPr>
      <w:r>
        <w:fldChar w:fldCharType="begin"/>
      </w:r>
      <w:r>
        <w:instrText xml:space="preserve"> HYPERLINK "file:///D:\\01%20Standard\\3GPP\\ran1%20meetings\\Docs\\R1-2209592.zip" </w:instrText>
      </w:r>
      <w:r>
        <w:fldChar w:fldCharType="separate"/>
      </w:r>
      <w:r>
        <w:rPr>
          <w:rStyle w:val="30"/>
          <w:lang w:eastAsia="zh-CN"/>
        </w:rPr>
        <w:t>R1-2209592</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Apple</w:t>
      </w:r>
    </w:p>
    <w:p>
      <w:pPr>
        <w:pStyle w:val="48"/>
        <w:numPr>
          <w:ilvl w:val="0"/>
          <w:numId w:val="43"/>
        </w:numPr>
        <w:rPr>
          <w:lang w:eastAsia="zh-CN"/>
        </w:rPr>
      </w:pPr>
      <w:r>
        <w:fldChar w:fldCharType="begin"/>
      </w:r>
      <w:r>
        <w:instrText xml:space="preserve"> HYPERLINK "file:///D:\\01%20Standard\\3GPP\\ran1%20meetings\\Docs\\R1-2209612.zip" </w:instrText>
      </w:r>
      <w:r>
        <w:fldChar w:fldCharType="separate"/>
      </w:r>
      <w:r>
        <w:rPr>
          <w:rStyle w:val="30"/>
          <w:lang w:eastAsia="zh-CN"/>
        </w:rPr>
        <w:t>R1-2209612</w:t>
      </w:r>
      <w:r>
        <w:rPr>
          <w:rStyle w:val="30"/>
          <w:lang w:eastAsia="zh-CN"/>
        </w:rPr>
        <w:fldChar w:fldCharType="end"/>
      </w:r>
      <w:r>
        <w:rPr>
          <w:lang w:eastAsia="zh-CN"/>
        </w:rPr>
        <w:tab/>
      </w:r>
      <w:r>
        <w:rPr>
          <w:lang w:eastAsia="zh-CN"/>
        </w:rPr>
        <w:t>On Network Energy Saving Techniques</w:t>
      </w:r>
      <w:r>
        <w:rPr>
          <w:lang w:eastAsia="zh-CN"/>
        </w:rPr>
        <w:tab/>
      </w:r>
      <w:r>
        <w:rPr>
          <w:lang w:eastAsia="zh-CN"/>
        </w:rPr>
        <w:t>Fraunhofer IIS, Fraunhofer HHI</w:t>
      </w:r>
    </w:p>
    <w:p>
      <w:pPr>
        <w:pStyle w:val="48"/>
        <w:numPr>
          <w:ilvl w:val="0"/>
          <w:numId w:val="43"/>
        </w:numPr>
        <w:rPr>
          <w:lang w:eastAsia="zh-CN"/>
        </w:rPr>
      </w:pPr>
      <w:r>
        <w:fldChar w:fldCharType="begin"/>
      </w:r>
      <w:r>
        <w:instrText xml:space="preserve"> HYPERLINK "file:///D:\\01%20Standard\\3GPP\\ran1%20meetings\\Docs\\R1-2209618.zip" </w:instrText>
      </w:r>
      <w:r>
        <w:fldChar w:fldCharType="separate"/>
      </w:r>
      <w:r>
        <w:rPr>
          <w:rStyle w:val="30"/>
          <w:lang w:eastAsia="zh-CN"/>
        </w:rPr>
        <w:t>R1-2209618</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Rakuten Symphony</w:t>
      </w:r>
    </w:p>
    <w:p>
      <w:pPr>
        <w:pStyle w:val="48"/>
        <w:numPr>
          <w:ilvl w:val="0"/>
          <w:numId w:val="43"/>
        </w:numPr>
        <w:rPr>
          <w:lang w:eastAsia="zh-CN"/>
        </w:rPr>
      </w:pPr>
      <w:r>
        <w:fldChar w:fldCharType="begin"/>
      </w:r>
      <w:r>
        <w:instrText xml:space="preserve"> HYPERLINK "file:///D:\\01%20Standard\\3GPP\\ran1%20meetings\\Docs\\R1-2209633.zip" </w:instrText>
      </w:r>
      <w:r>
        <w:fldChar w:fldCharType="separate"/>
      </w:r>
      <w:r>
        <w:rPr>
          <w:rStyle w:val="30"/>
          <w:lang w:eastAsia="zh-CN"/>
        </w:rPr>
        <w:t>R1-2209633</w:t>
      </w:r>
      <w:r>
        <w:rPr>
          <w:rStyle w:val="30"/>
          <w:lang w:eastAsia="zh-CN"/>
        </w:rPr>
        <w:fldChar w:fldCharType="end"/>
      </w:r>
      <w:r>
        <w:rPr>
          <w:lang w:eastAsia="zh-CN"/>
        </w:rPr>
        <w:tab/>
      </w:r>
      <w:r>
        <w:rPr>
          <w:lang w:eastAsia="zh-CN"/>
        </w:rPr>
        <w:t>Discussion on potential network energy saving techniques</w:t>
      </w:r>
      <w:r>
        <w:rPr>
          <w:lang w:eastAsia="zh-CN"/>
        </w:rPr>
        <w:tab/>
      </w:r>
      <w:r>
        <w:rPr>
          <w:lang w:eastAsia="zh-CN"/>
        </w:rPr>
        <w:t>Panasonic</w:t>
      </w:r>
    </w:p>
    <w:p>
      <w:pPr>
        <w:pStyle w:val="48"/>
        <w:numPr>
          <w:ilvl w:val="0"/>
          <w:numId w:val="43"/>
        </w:numPr>
        <w:rPr>
          <w:lang w:eastAsia="zh-CN"/>
        </w:rPr>
      </w:pPr>
      <w:r>
        <w:fldChar w:fldCharType="begin"/>
      </w:r>
      <w:r>
        <w:instrText xml:space="preserve"> HYPERLINK "file:///D:\\01%20Standard\\3GPP\\ran1%20meetings\\Docs\\R1-2209655.zip" </w:instrText>
      </w:r>
      <w:r>
        <w:fldChar w:fldCharType="separate"/>
      </w:r>
      <w:r>
        <w:rPr>
          <w:rStyle w:val="30"/>
          <w:lang w:eastAsia="zh-CN"/>
        </w:rPr>
        <w:t>R1-2209655</w:t>
      </w:r>
      <w:r>
        <w:rPr>
          <w:rStyle w:val="30"/>
          <w:lang w:eastAsia="zh-CN"/>
        </w:rPr>
        <w:fldChar w:fldCharType="end"/>
      </w:r>
      <w:r>
        <w:rPr>
          <w:lang w:eastAsia="zh-CN"/>
        </w:rPr>
        <w:tab/>
      </w:r>
      <w:r>
        <w:rPr>
          <w:lang w:eastAsia="zh-CN"/>
        </w:rPr>
        <w:t>Potential techniques for network energy saving</w:t>
      </w:r>
      <w:r>
        <w:rPr>
          <w:lang w:eastAsia="zh-CN"/>
        </w:rPr>
        <w:tab/>
      </w:r>
      <w:r>
        <w:rPr>
          <w:lang w:eastAsia="zh-CN"/>
        </w:rPr>
        <w:t>InterDigital, Inc.</w:t>
      </w:r>
    </w:p>
    <w:p>
      <w:pPr>
        <w:pStyle w:val="48"/>
        <w:numPr>
          <w:ilvl w:val="0"/>
          <w:numId w:val="43"/>
        </w:numPr>
        <w:rPr>
          <w:lang w:eastAsia="zh-CN"/>
        </w:rPr>
      </w:pPr>
      <w:r>
        <w:fldChar w:fldCharType="begin"/>
      </w:r>
      <w:r>
        <w:instrText xml:space="preserve"> HYPERLINK "file:///D:\\01%20Standard\\3GPP\\ran1%20meetings\\Docs\\R1-2209743.zip" </w:instrText>
      </w:r>
      <w:r>
        <w:fldChar w:fldCharType="separate"/>
      </w:r>
      <w:r>
        <w:rPr>
          <w:rStyle w:val="30"/>
          <w:lang w:eastAsia="zh-CN"/>
        </w:rPr>
        <w:t>R1-2209743</w:t>
      </w:r>
      <w:r>
        <w:rPr>
          <w:rStyle w:val="30"/>
          <w:lang w:eastAsia="zh-CN"/>
        </w:rPr>
        <w:fldChar w:fldCharType="end"/>
      </w:r>
      <w:r>
        <w:rPr>
          <w:lang w:eastAsia="zh-CN"/>
        </w:rPr>
        <w:tab/>
      </w:r>
      <w:r>
        <w:rPr>
          <w:lang w:eastAsia="zh-CN"/>
        </w:rPr>
        <w:t>Network energy saving techniques</w:t>
      </w:r>
      <w:r>
        <w:rPr>
          <w:lang w:eastAsia="zh-CN"/>
        </w:rPr>
        <w:tab/>
      </w:r>
      <w:r>
        <w:rPr>
          <w:lang w:eastAsia="zh-CN"/>
        </w:rPr>
        <w:t>Samsung</w:t>
      </w:r>
    </w:p>
    <w:p>
      <w:pPr>
        <w:pStyle w:val="48"/>
        <w:numPr>
          <w:ilvl w:val="0"/>
          <w:numId w:val="43"/>
        </w:numPr>
        <w:rPr>
          <w:lang w:eastAsia="zh-CN"/>
        </w:rPr>
      </w:pPr>
      <w:r>
        <w:fldChar w:fldCharType="begin"/>
      </w:r>
      <w:r>
        <w:instrText xml:space="preserve"> HYPERLINK "file:///D:\\01%20Standard\\3GPP\\ran1%20meetings\\Docs\\R1-2209859.zip" </w:instrText>
      </w:r>
      <w:r>
        <w:fldChar w:fldCharType="separate"/>
      </w:r>
      <w:r>
        <w:rPr>
          <w:rStyle w:val="30"/>
          <w:lang w:eastAsia="zh-CN"/>
        </w:rPr>
        <w:t>R1-2209859</w:t>
      </w:r>
      <w:r>
        <w:rPr>
          <w:rStyle w:val="30"/>
          <w:lang w:eastAsia="zh-CN"/>
        </w:rPr>
        <w:fldChar w:fldCharType="end"/>
      </w:r>
      <w:r>
        <w:rPr>
          <w:lang w:eastAsia="zh-CN"/>
        </w:rPr>
        <w:tab/>
      </w:r>
      <w:r>
        <w:rPr>
          <w:lang w:eastAsia="zh-CN"/>
        </w:rPr>
        <w:t>Network energy savings techniques</w:t>
      </w:r>
      <w:r>
        <w:rPr>
          <w:lang w:eastAsia="zh-CN"/>
        </w:rPr>
        <w:tab/>
      </w:r>
      <w:r>
        <w:rPr>
          <w:lang w:eastAsia="zh-CN"/>
        </w:rPr>
        <w:t>Ericsson</w:t>
      </w:r>
    </w:p>
    <w:p>
      <w:pPr>
        <w:pStyle w:val="48"/>
        <w:numPr>
          <w:ilvl w:val="0"/>
          <w:numId w:val="43"/>
        </w:numPr>
        <w:rPr>
          <w:lang w:eastAsia="zh-CN"/>
        </w:rPr>
      </w:pPr>
      <w:r>
        <w:fldChar w:fldCharType="begin"/>
      </w:r>
      <w:r>
        <w:instrText xml:space="preserve"> HYPERLINK "file:///D:\\01%20Standard\\3GPP\\ran1%20meetings\\Docs\\R1-2209914.zip" </w:instrText>
      </w:r>
      <w:r>
        <w:fldChar w:fldCharType="separate"/>
      </w:r>
      <w:r>
        <w:rPr>
          <w:rStyle w:val="30"/>
          <w:lang w:eastAsia="zh-CN"/>
        </w:rPr>
        <w:t>R1-2209914</w:t>
      </w:r>
      <w:r>
        <w:rPr>
          <w:rStyle w:val="30"/>
          <w:lang w:eastAsia="zh-CN"/>
        </w:rPr>
        <w:fldChar w:fldCharType="end"/>
      </w:r>
      <w:r>
        <w:rPr>
          <w:lang w:eastAsia="zh-CN"/>
        </w:rPr>
        <w:tab/>
      </w:r>
      <w:r>
        <w:rPr>
          <w:lang w:eastAsia="zh-CN"/>
        </w:rPr>
        <w:t>Discussion on NW energy saving techniques</w:t>
      </w:r>
      <w:r>
        <w:rPr>
          <w:lang w:eastAsia="zh-CN"/>
        </w:rPr>
        <w:tab/>
      </w:r>
      <w:r>
        <w:rPr>
          <w:lang w:eastAsia="zh-CN"/>
        </w:rPr>
        <w:t>NTT DOCOMO, INC.</w:t>
      </w:r>
    </w:p>
    <w:p>
      <w:pPr>
        <w:pStyle w:val="48"/>
        <w:numPr>
          <w:ilvl w:val="0"/>
          <w:numId w:val="43"/>
        </w:numPr>
        <w:rPr>
          <w:lang w:eastAsia="zh-CN"/>
        </w:rPr>
      </w:pPr>
      <w:r>
        <w:fldChar w:fldCharType="begin"/>
      </w:r>
      <w:r>
        <w:instrText xml:space="preserve"> HYPERLINK "file:///D:\\01%20Standard\\3GPP\\ran1%20meetings\\Docs\\R1-2209997.zip" </w:instrText>
      </w:r>
      <w:r>
        <w:fldChar w:fldCharType="separate"/>
      </w:r>
      <w:r>
        <w:rPr>
          <w:rStyle w:val="30"/>
          <w:lang w:eastAsia="zh-CN"/>
        </w:rPr>
        <w:t>R1-2209997</w:t>
      </w:r>
      <w:r>
        <w:rPr>
          <w:rStyle w:val="30"/>
          <w:lang w:eastAsia="zh-CN"/>
        </w:rPr>
        <w:fldChar w:fldCharType="end"/>
      </w:r>
      <w:r>
        <w:rPr>
          <w:lang w:eastAsia="zh-CN"/>
        </w:rPr>
        <w:tab/>
      </w:r>
      <w:r>
        <w:rPr>
          <w:lang w:eastAsia="zh-CN"/>
        </w:rPr>
        <w:t>Network energy saving techniques</w:t>
      </w:r>
      <w:r>
        <w:rPr>
          <w:lang w:eastAsia="zh-CN"/>
        </w:rPr>
        <w:tab/>
      </w:r>
      <w:r>
        <w:rPr>
          <w:lang w:eastAsia="zh-CN"/>
        </w:rPr>
        <w:t>Qualcomm Incorporated</w:t>
      </w:r>
    </w:p>
    <w:p>
      <w:pPr>
        <w:pStyle w:val="48"/>
        <w:numPr>
          <w:ilvl w:val="0"/>
          <w:numId w:val="43"/>
        </w:numPr>
        <w:rPr>
          <w:lang w:eastAsia="zh-CN"/>
        </w:rPr>
      </w:pPr>
      <w:r>
        <w:fldChar w:fldCharType="begin"/>
      </w:r>
      <w:r>
        <w:instrText xml:space="preserve"> HYPERLINK "file:///D:\\01%20Standard\\3GPP\\ran1%20meetings\\Docs\\R1-2210031.zip" </w:instrText>
      </w:r>
      <w:r>
        <w:fldChar w:fldCharType="separate"/>
      </w:r>
      <w:r>
        <w:rPr>
          <w:rStyle w:val="30"/>
          <w:lang w:eastAsia="zh-CN"/>
        </w:rPr>
        <w:t>R1-2210031</w:t>
      </w:r>
      <w:r>
        <w:rPr>
          <w:rStyle w:val="30"/>
          <w:lang w:eastAsia="zh-CN"/>
        </w:rPr>
        <w:fldChar w:fldCharType="end"/>
      </w:r>
      <w:r>
        <w:rPr>
          <w:lang w:eastAsia="zh-CN"/>
        </w:rPr>
        <w:tab/>
      </w:r>
      <w:r>
        <w:rPr>
          <w:lang w:eastAsia="zh-CN"/>
        </w:rPr>
        <w:t>Discussion on potential L1 network energy saving techniques for NR</w:t>
      </w:r>
      <w:r>
        <w:rPr>
          <w:lang w:eastAsia="zh-CN"/>
        </w:rPr>
        <w:tab/>
      </w:r>
      <w:r>
        <w:rPr>
          <w:lang w:eastAsia="zh-CN"/>
        </w:rPr>
        <w:t>ITRI</w:t>
      </w:r>
    </w:p>
    <w:p>
      <w:pPr>
        <w:pStyle w:val="48"/>
        <w:numPr>
          <w:ilvl w:val="0"/>
          <w:numId w:val="43"/>
        </w:numPr>
        <w:rPr>
          <w:lang w:eastAsia="zh-CN"/>
        </w:rPr>
      </w:pPr>
      <w:r>
        <w:fldChar w:fldCharType="begin"/>
      </w:r>
      <w:r>
        <w:instrText xml:space="preserve"> HYPERLINK "file:///D:\\01%20Standard\\3GPP\\ran1%20meetings\\Docs\\R1-2210113.zip" </w:instrText>
      </w:r>
      <w:r>
        <w:fldChar w:fldCharType="separate"/>
      </w:r>
      <w:r>
        <w:rPr>
          <w:rStyle w:val="30"/>
          <w:lang w:eastAsia="zh-CN"/>
        </w:rPr>
        <w:t>R1-2210113</w:t>
      </w:r>
      <w:r>
        <w:rPr>
          <w:rStyle w:val="30"/>
          <w:lang w:eastAsia="zh-CN"/>
        </w:rPr>
        <w:fldChar w:fldCharType="end"/>
      </w:r>
      <w:r>
        <w:rPr>
          <w:lang w:eastAsia="zh-CN"/>
        </w:rPr>
        <w:tab/>
      </w:r>
      <w:r>
        <w:rPr>
          <w:lang w:eastAsia="zh-CN"/>
        </w:rPr>
        <w:t>Discussion on Network energy saving techniques</w:t>
      </w:r>
      <w:r>
        <w:rPr>
          <w:lang w:eastAsia="zh-CN"/>
        </w:rPr>
        <w:tab/>
      </w:r>
      <w:r>
        <w:rPr>
          <w:lang w:eastAsia="zh-CN"/>
        </w:rPr>
        <w:t>CEWiT</w:t>
      </w:r>
    </w:p>
    <w:p>
      <w:pPr>
        <w:pStyle w:val="35"/>
        <w:numPr>
          <w:ilvl w:val="0"/>
          <w:numId w:val="0"/>
        </w:numPr>
        <w:ind w:left="360"/>
        <w:rPr>
          <w:b/>
          <w:lang w:val="en-GB"/>
        </w:rPr>
      </w:pPr>
    </w:p>
    <w:p>
      <w:pPr>
        <w:pStyle w:val="2"/>
        <w:numPr>
          <w:ilvl w:val="0"/>
          <w:numId w:val="0"/>
        </w:numPr>
      </w:pPr>
      <w:r>
        <w:rPr>
          <w:rFonts w:hint="eastAsia"/>
        </w:rPr>
        <w:t>A</w:t>
      </w:r>
      <w:r>
        <w:t xml:space="preserve">nnex – </w:t>
      </w:r>
    </w:p>
    <w:p>
      <w:pPr>
        <w:pStyle w:val="3"/>
        <w:numPr>
          <w:ilvl w:val="0"/>
          <w:numId w:val="0"/>
        </w:numPr>
      </w:pPr>
      <w:r>
        <w:t>A. Agreements@AI 9.7.1</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r>
              <w:t>@RAN1#109-e</w:t>
            </w:r>
          </w:p>
          <w:p>
            <w:pPr>
              <w:widowControl w:val="0"/>
              <w:rPr>
                <w:b/>
                <w:bCs/>
                <w:iCs/>
              </w:rPr>
            </w:pPr>
            <w:r>
              <w:fldChar w:fldCharType="begin"/>
            </w:r>
            <w:r>
              <w:instrText xml:space="preserve"> HYPERLINK "file:///C:\\Users\\w00250081\\AppData\\Local\\Temp\\Docs\\R1-2205308.zip" </w:instrText>
            </w:r>
            <w:r>
              <w:fldChar w:fldCharType="separate"/>
            </w:r>
            <w:r>
              <w:rPr>
                <w:rStyle w:val="30"/>
                <w:b/>
                <w:bCs/>
                <w:iCs/>
              </w:rPr>
              <w:t>R1-2205308</w:t>
            </w:r>
            <w:r>
              <w:rPr>
                <w:rStyle w:val="30"/>
                <w:b/>
                <w:bCs/>
                <w:iCs/>
              </w:rPr>
              <w:fldChar w:fldCharType="end"/>
            </w:r>
            <w:r>
              <w:rPr>
                <w:b/>
                <w:bCs/>
                <w:iCs/>
              </w:rPr>
              <w:tab/>
            </w:r>
            <w:r>
              <w:rPr>
                <w:b/>
                <w:bCs/>
                <w:iCs/>
              </w:rPr>
              <w:t>FL summary#1 for performance evaluation for NR NW energy savings</w:t>
            </w:r>
            <w:r>
              <w:rPr>
                <w:b/>
                <w:bCs/>
                <w:iCs/>
              </w:rPr>
              <w:tab/>
            </w:r>
            <w:r>
              <w:rPr>
                <w:b/>
                <w:bCs/>
                <w:iCs/>
              </w:rPr>
              <w:t>Moderator (Huawei)</w:t>
            </w:r>
          </w:p>
          <w:p>
            <w:pPr>
              <w:widowControl w:val="0"/>
              <w:rPr>
                <w:highlight w:val="green"/>
              </w:rPr>
            </w:pPr>
            <w:r>
              <w:rPr>
                <w:highlight w:val="green"/>
              </w:rPr>
              <w:t>Agreement</w:t>
            </w:r>
          </w:p>
          <w:p>
            <w:pPr>
              <w:widowControl w:val="0"/>
            </w:pPr>
            <w:r>
              <w:t>For evaluation purpose, the energy consumption modeling for a BS includes at least the following:</w:t>
            </w:r>
          </w:p>
          <w:p>
            <w:pPr>
              <w:pStyle w:val="48"/>
              <w:widowControl w:val="0"/>
              <w:numPr>
                <w:ilvl w:val="0"/>
                <w:numId w:val="44"/>
              </w:numPr>
              <w:spacing w:line="240" w:lineRule="auto"/>
              <w:rPr>
                <w:lang w:eastAsia="zh-CN"/>
              </w:rPr>
            </w:pPr>
            <w:r>
              <w:rPr>
                <w:lang w:eastAsia="zh-CN"/>
              </w:rPr>
              <w:t>Reference configuration</w:t>
            </w:r>
          </w:p>
          <w:p>
            <w:pPr>
              <w:pStyle w:val="48"/>
              <w:widowControl w:val="0"/>
              <w:numPr>
                <w:ilvl w:val="1"/>
                <w:numId w:val="44"/>
              </w:numPr>
              <w:spacing w:line="240" w:lineRule="auto"/>
              <w:rPr>
                <w:lang w:eastAsia="zh-CN"/>
              </w:rPr>
            </w:pPr>
            <w:r>
              <w:rPr>
                <w:lang w:eastAsia="zh-CN"/>
              </w:rPr>
              <w:t>FFS other details</w:t>
            </w:r>
          </w:p>
          <w:p>
            <w:pPr>
              <w:pStyle w:val="48"/>
              <w:widowControl w:val="0"/>
              <w:numPr>
                <w:ilvl w:val="1"/>
                <w:numId w:val="44"/>
              </w:numPr>
              <w:spacing w:line="240" w:lineRule="auto"/>
              <w:rPr>
                <w:lang w:eastAsia="zh-CN"/>
              </w:rPr>
            </w:pPr>
            <w:r>
              <w:rPr>
                <w:lang w:eastAsia="zh-CN"/>
              </w:rPr>
              <w:t>Note FR1 and FR2 to be separately considered for detailed parameters</w:t>
            </w:r>
          </w:p>
          <w:p>
            <w:pPr>
              <w:pStyle w:val="48"/>
              <w:widowControl w:val="0"/>
              <w:numPr>
                <w:ilvl w:val="0"/>
                <w:numId w:val="44"/>
              </w:numPr>
              <w:spacing w:line="240" w:lineRule="auto"/>
              <w:rPr>
                <w:lang w:eastAsia="zh-CN"/>
              </w:rPr>
            </w:pPr>
            <w:r>
              <w:rPr>
                <w:lang w:eastAsia="zh-CN"/>
              </w:rPr>
              <w:t>Multiple power state(s) including sleep/non-sleep mode(s) with relative power, and associated transition time/energy</w:t>
            </w:r>
          </w:p>
          <w:p>
            <w:pPr>
              <w:pStyle w:val="48"/>
              <w:widowControl w:val="0"/>
              <w:numPr>
                <w:ilvl w:val="0"/>
                <w:numId w:val="44"/>
              </w:numPr>
              <w:spacing w:line="240" w:lineRule="auto"/>
              <w:rPr>
                <w:lang w:eastAsia="zh-CN"/>
              </w:rPr>
            </w:pPr>
            <w:r>
              <w:rPr>
                <w:lang w:eastAsia="zh-CN"/>
              </w:rPr>
              <w:t>Scaling method to be applied at least for non-sleep mode.</w:t>
            </w:r>
          </w:p>
          <w:p>
            <w:pPr>
              <w:pStyle w:val="48"/>
              <w:widowControl w:val="0"/>
              <w:numPr>
                <w:ilvl w:val="1"/>
                <w:numId w:val="44"/>
              </w:numPr>
              <w:spacing w:line="240" w:lineRule="auto"/>
              <w:rPr>
                <w:lang w:eastAsia="zh-CN"/>
              </w:rPr>
            </w:pPr>
            <w:r>
              <w:rPr>
                <w:lang w:eastAsia="zh-CN"/>
              </w:rPr>
              <w:t>FFS other details including scaling for sleep mode</w:t>
            </w:r>
          </w:p>
          <w:p>
            <w:pPr>
              <w:widowControl w:val="0"/>
              <w:rPr>
                <w:b/>
                <w:bCs/>
                <w:iCs/>
              </w:rPr>
            </w:pPr>
            <w:r>
              <w:fldChar w:fldCharType="begin"/>
            </w:r>
            <w:r>
              <w:instrText xml:space="preserve"> HYPERLINK "file:///C:\\Users\\w00250081\\AppData\\Local\\Temp\\Docs\\R1-2205402.zip" </w:instrText>
            </w:r>
            <w:r>
              <w:fldChar w:fldCharType="separate"/>
            </w:r>
            <w:r>
              <w:rPr>
                <w:rStyle w:val="30"/>
                <w:b/>
                <w:bCs/>
                <w:iCs/>
              </w:rPr>
              <w:t>R1-2205402</w:t>
            </w:r>
            <w:r>
              <w:rPr>
                <w:rStyle w:val="30"/>
                <w:b/>
                <w:bCs/>
                <w:iCs/>
              </w:rPr>
              <w:fldChar w:fldCharType="end"/>
            </w:r>
            <w:r>
              <w:rPr>
                <w:b/>
                <w:bCs/>
                <w:iCs/>
              </w:rPr>
              <w:tab/>
            </w:r>
            <w:r>
              <w:rPr>
                <w:b/>
                <w:bCs/>
                <w:iCs/>
              </w:rPr>
              <w:t>FL summary#2 for performance evaluation for NR NW energy savings</w:t>
            </w:r>
            <w:r>
              <w:rPr>
                <w:b/>
                <w:bCs/>
                <w:iCs/>
              </w:rPr>
              <w:tab/>
            </w:r>
            <w:r>
              <w:rPr>
                <w:b/>
                <w:bCs/>
                <w:iCs/>
              </w:rPr>
              <w:t>Moderator (Huawei)</w:t>
            </w: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pStyle w:val="48"/>
              <w:widowControl w:val="0"/>
              <w:numPr>
                <w:ilvl w:val="0"/>
                <w:numId w:val="45"/>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pPr>
              <w:pStyle w:val="48"/>
              <w:widowControl w:val="0"/>
              <w:numPr>
                <w:ilvl w:val="1"/>
                <w:numId w:val="45"/>
              </w:numPr>
              <w:adjustRightInd/>
              <w:spacing w:line="252" w:lineRule="auto"/>
              <w:rPr>
                <w:lang w:eastAsia="zh-CN"/>
              </w:rPr>
            </w:pPr>
            <w:r>
              <w:rPr>
                <w:lang w:eastAsia="zh-CN"/>
              </w:rPr>
              <w:t>FFS details (e.g. explicit symbol-level power modelling, scaling slot-level power to symbol level power for various cases, etc.)</w:t>
            </w:r>
          </w:p>
          <w:p>
            <w:pPr>
              <w:pStyle w:val="48"/>
              <w:widowControl w:val="0"/>
              <w:numPr>
                <w:ilvl w:val="1"/>
                <w:numId w:val="45"/>
              </w:numPr>
              <w:adjustRightInd/>
              <w:spacing w:line="252" w:lineRule="auto"/>
              <w:rPr>
                <w:lang w:eastAsia="zh-CN"/>
              </w:rPr>
            </w:pPr>
            <w:r>
              <w:rPr>
                <w:lang w:eastAsia="zh-CN"/>
              </w:rPr>
              <w:t>Note: system simulation evaluations can be per slot regardless of detailed approach for calculating symbol-level power consumption.</w:t>
            </w:r>
          </w:p>
          <w:p>
            <w:pPr>
              <w:widowControl w:val="0"/>
              <w:rPr>
                <w:iCs/>
                <w:highlight w:val="green"/>
              </w:rPr>
            </w:pPr>
            <w:r>
              <w:rPr>
                <w:iCs/>
                <w:highlight w:val="green"/>
              </w:rPr>
              <w:t>Agreement</w:t>
            </w:r>
          </w:p>
          <w:p>
            <w:pPr>
              <w:pStyle w:val="48"/>
              <w:widowControl w:val="0"/>
              <w:numPr>
                <w:ilvl w:val="0"/>
                <w:numId w:val="4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pPr>
              <w:pStyle w:val="48"/>
              <w:widowControl w:val="0"/>
              <w:numPr>
                <w:ilvl w:val="1"/>
                <w:numId w:val="46"/>
              </w:numPr>
              <w:spacing w:after="0"/>
              <w:rPr>
                <w:lang w:eastAsia="zh-CN"/>
              </w:rPr>
            </w:pPr>
            <w:r>
              <w:rPr>
                <w:lang w:eastAsia="zh-CN"/>
              </w:rPr>
              <w:t>FFS: whether UL-only reception energy consumption model can be derived/simplified from DL-only transmission energy consumption model</w:t>
            </w:r>
          </w:p>
          <w:p>
            <w:pPr>
              <w:pStyle w:val="48"/>
              <w:widowControl w:val="0"/>
              <w:numPr>
                <w:ilvl w:val="0"/>
                <w:numId w:val="46"/>
              </w:numPr>
              <w:spacing w:after="0"/>
              <w:rPr>
                <w:lang w:eastAsia="zh-CN"/>
              </w:rPr>
            </w:pPr>
            <w:r>
              <w:rPr>
                <w:lang w:eastAsia="zh-CN"/>
              </w:rPr>
              <w:t>FFS: the impact of UL reception and/or DL transmission on sleep modes and associated transition time/energy</w:t>
            </w:r>
          </w:p>
          <w:p>
            <w:pPr>
              <w:pStyle w:val="48"/>
              <w:widowControl w:val="0"/>
              <w:numPr>
                <w:ilvl w:val="0"/>
                <w:numId w:val="4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pPr>
              <w:pStyle w:val="48"/>
              <w:widowControl w:val="0"/>
              <w:numPr>
                <w:ilvl w:val="0"/>
                <w:numId w:val="46"/>
              </w:numPr>
              <w:ind w:left="714" w:hanging="357"/>
              <w:rPr>
                <w:lang w:eastAsia="zh-CN"/>
              </w:rPr>
            </w:pPr>
            <w:r>
              <w:rPr>
                <w:lang w:eastAsia="zh-CN"/>
              </w:rPr>
              <w:t>FFS: whether the model for FDD can be based on the model for TDD</w:t>
            </w:r>
          </w:p>
          <w:p>
            <w:pPr>
              <w:widowControl w:val="0"/>
              <w:rPr>
                <w:iCs/>
                <w:highlight w:val="green"/>
              </w:rPr>
            </w:pPr>
            <w:r>
              <w:rPr>
                <w:iCs/>
                <w:highlight w:val="green"/>
              </w:rPr>
              <w:t>Agreement</w:t>
            </w:r>
          </w:p>
          <w:p>
            <w:pPr>
              <w:pStyle w:val="48"/>
              <w:widowControl w:val="0"/>
              <w:numPr>
                <w:ilvl w:val="0"/>
                <w:numId w:val="47"/>
              </w:numPr>
              <w:spacing w:line="240" w:lineRule="auto"/>
            </w:pPr>
            <w:r>
              <w:t xml:space="preserve">For evaluation purpose, </w:t>
            </w:r>
          </w:p>
          <w:p>
            <w:pPr>
              <w:pStyle w:val="48"/>
              <w:widowControl w:val="0"/>
              <w:numPr>
                <w:ilvl w:val="1"/>
                <w:numId w:val="47"/>
              </w:numPr>
              <w:spacing w:line="240" w:lineRule="auto"/>
            </w:pPr>
            <w:r>
              <w:t>Study how to define sleep modes and determine the characteristics for each mode from one or multiple of the below</w:t>
            </w:r>
          </w:p>
          <w:p>
            <w:pPr>
              <w:pStyle w:val="48"/>
              <w:widowControl w:val="0"/>
              <w:numPr>
                <w:ilvl w:val="2"/>
                <w:numId w:val="47"/>
              </w:numPr>
              <w:spacing w:line="240" w:lineRule="auto"/>
            </w:pPr>
            <w:r>
              <w:t xml:space="preserve">Relative power </w:t>
            </w:r>
          </w:p>
          <w:p>
            <w:pPr>
              <w:pStyle w:val="48"/>
              <w:widowControl w:val="0"/>
              <w:numPr>
                <w:ilvl w:val="2"/>
                <w:numId w:val="47"/>
              </w:numPr>
              <w:spacing w:line="240" w:lineRule="auto"/>
            </w:pPr>
            <w:r>
              <w:t>Transition time</w:t>
            </w:r>
          </w:p>
          <w:p>
            <w:pPr>
              <w:pStyle w:val="48"/>
              <w:widowControl w:val="0"/>
              <w:numPr>
                <w:ilvl w:val="2"/>
                <w:numId w:val="47"/>
              </w:numPr>
              <w:spacing w:line="240" w:lineRule="auto"/>
            </w:pPr>
            <w:r>
              <w:t>Transition energy</w:t>
            </w:r>
          </w:p>
          <w:p>
            <w:pPr>
              <w:pStyle w:val="48"/>
              <w:widowControl w:val="0"/>
              <w:numPr>
                <w:ilvl w:val="2"/>
                <w:numId w:val="47"/>
              </w:numPr>
              <w:spacing w:line="240" w:lineRule="auto"/>
            </w:pPr>
            <w:r>
              <w:t>Other approaches are not precluded</w:t>
            </w:r>
          </w:p>
          <w:p>
            <w:pPr>
              <w:pStyle w:val="48"/>
              <w:widowControl w:val="0"/>
              <w:numPr>
                <w:ilvl w:val="2"/>
                <w:numId w:val="47"/>
              </w:numPr>
              <w:spacing w:line="240" w:lineRule="auto"/>
            </w:pPr>
            <w:r>
              <w:t>Note: BS components that can be turned off can be considered for discussion purpose when defining the specific values of the characteristics for sleep modes.</w:t>
            </w:r>
          </w:p>
          <w:p>
            <w:pPr>
              <w:pStyle w:val="48"/>
              <w:widowControl w:val="0"/>
              <w:numPr>
                <w:ilvl w:val="1"/>
                <w:numId w:val="47"/>
              </w:numPr>
              <w:spacing w:line="240" w:lineRule="auto"/>
            </w:pPr>
            <w:r>
              <w:rPr>
                <w:rFonts w:hint="eastAsia"/>
              </w:rPr>
              <w:t>Study whether sleep mode is defined for DL(TX) and UL(RX) jointly or separately</w:t>
            </w:r>
          </w:p>
          <w:p>
            <w:pPr>
              <w:pStyle w:val="48"/>
              <w:widowControl w:val="0"/>
              <w:numPr>
                <w:ilvl w:val="1"/>
                <w:numId w:val="4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pPr>
              <w:widowControl w:val="0"/>
              <w:rPr>
                <w:iCs/>
                <w:highlight w:val="green"/>
              </w:rPr>
            </w:pPr>
            <w:r>
              <w:rPr>
                <w:iCs/>
                <w:highlight w:val="green"/>
              </w:rPr>
              <w:t>Agreement</w:t>
            </w:r>
          </w:p>
          <w:p>
            <w:pPr>
              <w:pStyle w:val="48"/>
              <w:widowControl w:val="0"/>
              <w:numPr>
                <w:ilvl w:val="0"/>
                <w:numId w:val="48"/>
              </w:numPr>
              <w:rPr>
                <w:lang w:eastAsia="zh-CN"/>
              </w:rPr>
            </w:pPr>
            <w:r>
              <w:rPr>
                <w:lang w:eastAsia="zh-CN"/>
              </w:rPr>
              <w:t>For evaluation, the scaling in a BS energy consumption model can be considered based on one or more of the following,</w:t>
            </w:r>
          </w:p>
          <w:p>
            <w:pPr>
              <w:pStyle w:val="48"/>
              <w:widowControl w:val="0"/>
              <w:numPr>
                <w:ilvl w:val="1"/>
                <w:numId w:val="48"/>
              </w:numPr>
              <w:rPr>
                <w:lang w:eastAsia="zh-CN"/>
              </w:rPr>
            </w:pPr>
            <w:r>
              <w:rPr>
                <w:lang w:eastAsia="zh-CN"/>
              </w:rPr>
              <w:t>Number of used physical antenna elements, or TX/RX chains</w:t>
            </w:r>
          </w:p>
          <w:p>
            <w:pPr>
              <w:pStyle w:val="48"/>
              <w:widowControl w:val="0"/>
              <w:numPr>
                <w:ilvl w:val="2"/>
                <w:numId w:val="48"/>
              </w:numPr>
              <w:rPr>
                <w:lang w:eastAsia="zh-CN"/>
              </w:rPr>
            </w:pPr>
            <w:r>
              <w:rPr>
                <w:lang w:eastAsia="zh-CN"/>
              </w:rPr>
              <w:t>FFS: Mapping between used TX/RX chains and used antenna ports</w:t>
            </w:r>
          </w:p>
          <w:p>
            <w:pPr>
              <w:pStyle w:val="48"/>
              <w:widowControl w:val="0"/>
              <w:numPr>
                <w:ilvl w:val="2"/>
                <w:numId w:val="48"/>
              </w:numPr>
              <w:rPr>
                <w:lang w:eastAsia="zh-CN"/>
              </w:rPr>
            </w:pPr>
            <w:r>
              <w:rPr>
                <w:lang w:eastAsia="zh-CN"/>
              </w:rPr>
              <w:t>FFS: Mapping between physical antenna elements and TX/RX chains</w:t>
            </w:r>
          </w:p>
          <w:p>
            <w:pPr>
              <w:pStyle w:val="48"/>
              <w:widowControl w:val="0"/>
              <w:numPr>
                <w:ilvl w:val="1"/>
                <w:numId w:val="48"/>
              </w:numPr>
              <w:rPr>
                <w:lang w:eastAsia="zh-CN"/>
              </w:rPr>
            </w:pPr>
            <w:r>
              <w:rPr>
                <w:lang w:eastAsia="zh-CN"/>
              </w:rPr>
              <w:t>Occupied BW/RBs for DL and/or UL in a slot/symbol in one CC</w:t>
            </w:r>
          </w:p>
          <w:p>
            <w:pPr>
              <w:pStyle w:val="48"/>
              <w:widowControl w:val="0"/>
              <w:numPr>
                <w:ilvl w:val="1"/>
                <w:numId w:val="48"/>
              </w:numPr>
              <w:rPr>
                <w:lang w:eastAsia="zh-CN"/>
              </w:rPr>
            </w:pPr>
            <w:r>
              <w:rPr>
                <w:lang w:eastAsia="zh-CN"/>
              </w:rPr>
              <w:t>number of CCs in CA</w:t>
            </w:r>
          </w:p>
          <w:p>
            <w:pPr>
              <w:pStyle w:val="48"/>
              <w:widowControl w:val="0"/>
              <w:numPr>
                <w:ilvl w:val="2"/>
                <w:numId w:val="48"/>
              </w:numPr>
              <w:rPr>
                <w:lang w:eastAsia="zh-CN"/>
              </w:rPr>
            </w:pPr>
            <w:r>
              <w:rPr>
                <w:rFonts w:hint="eastAsia"/>
                <w:lang w:eastAsia="zh-CN"/>
              </w:rPr>
              <w:t>F</w:t>
            </w:r>
            <w:r>
              <w:rPr>
                <w:lang w:eastAsia="zh-CN"/>
              </w:rPr>
              <w:t xml:space="preserve">FS dependency of RF sharing </w:t>
            </w:r>
          </w:p>
          <w:p>
            <w:pPr>
              <w:pStyle w:val="48"/>
              <w:widowControl w:val="0"/>
              <w:numPr>
                <w:ilvl w:val="1"/>
                <w:numId w:val="48"/>
              </w:numPr>
              <w:rPr>
                <w:lang w:eastAsia="zh-CN"/>
              </w:rPr>
            </w:pPr>
            <w:r>
              <w:rPr>
                <w:lang w:eastAsia="zh-CN"/>
              </w:rPr>
              <w:t>number of TRPs</w:t>
            </w:r>
          </w:p>
          <w:p>
            <w:pPr>
              <w:pStyle w:val="48"/>
              <w:widowControl w:val="0"/>
              <w:numPr>
                <w:ilvl w:val="1"/>
                <w:numId w:val="48"/>
              </w:numPr>
              <w:rPr>
                <w:lang w:eastAsia="zh-CN"/>
              </w:rPr>
            </w:pPr>
            <w:r>
              <w:rPr>
                <w:lang w:eastAsia="zh-CN"/>
              </w:rPr>
              <w:t xml:space="preserve">PSD or transmit power </w:t>
            </w:r>
          </w:p>
          <w:p>
            <w:pPr>
              <w:pStyle w:val="48"/>
              <w:widowControl w:val="0"/>
              <w:numPr>
                <w:ilvl w:val="2"/>
                <w:numId w:val="48"/>
              </w:numPr>
              <w:rPr>
                <w:lang w:eastAsia="zh-CN"/>
              </w:rPr>
            </w:pPr>
            <w:r>
              <w:rPr>
                <w:lang w:eastAsia="zh-CN"/>
              </w:rPr>
              <w:t>FFS dependency on BW scaling</w:t>
            </w:r>
          </w:p>
          <w:p>
            <w:pPr>
              <w:pStyle w:val="48"/>
              <w:widowControl w:val="0"/>
              <w:numPr>
                <w:ilvl w:val="2"/>
                <w:numId w:val="48"/>
              </w:numPr>
              <w:rPr>
                <w:lang w:eastAsia="zh-CN"/>
              </w:rPr>
            </w:pPr>
            <w:r>
              <w:rPr>
                <w:lang w:eastAsia="zh-CN"/>
              </w:rPr>
              <w:t>FFS: PA energy efficiency value</w:t>
            </w:r>
          </w:p>
          <w:p>
            <w:pPr>
              <w:pStyle w:val="48"/>
              <w:widowControl w:val="0"/>
              <w:numPr>
                <w:ilvl w:val="1"/>
                <w:numId w:val="48"/>
              </w:numPr>
              <w:rPr>
                <w:lang w:eastAsia="zh-CN"/>
              </w:rPr>
            </w:pPr>
            <w:r>
              <w:rPr>
                <w:lang w:eastAsia="zh-CN"/>
              </w:rPr>
              <w:t>number of DL and/or UL symbols occupied within a slot</w:t>
            </w:r>
          </w:p>
          <w:p>
            <w:pPr>
              <w:pStyle w:val="48"/>
              <w:widowControl w:val="0"/>
              <w:numPr>
                <w:ilvl w:val="1"/>
                <w:numId w:val="48"/>
              </w:numPr>
              <w:rPr>
                <w:lang w:eastAsia="zh-CN"/>
              </w:rPr>
            </w:pPr>
            <w:r>
              <w:rPr>
                <w:lang w:eastAsia="zh-CN"/>
              </w:rPr>
              <w:t>FFS other domain scaling</w:t>
            </w:r>
          </w:p>
          <w:p>
            <w:pPr>
              <w:pStyle w:val="48"/>
              <w:widowControl w:val="0"/>
              <w:numPr>
                <w:ilvl w:val="1"/>
                <w:numId w:val="48"/>
              </w:numPr>
              <w:rPr>
                <w:b/>
                <w:lang w:eastAsia="zh-CN"/>
              </w:rPr>
            </w:pPr>
            <w:r>
              <w:rPr>
                <w:lang w:eastAsia="zh-CN"/>
              </w:rPr>
              <w:t>FFS scaling is linearly or else, for each domain</w:t>
            </w:r>
          </w:p>
          <w:p>
            <w:pPr>
              <w:pStyle w:val="48"/>
              <w:widowControl w:val="0"/>
              <w:numPr>
                <w:ilvl w:val="0"/>
                <w:numId w:val="48"/>
              </w:numPr>
              <w:rPr>
                <w:b/>
                <w:lang w:eastAsia="zh-CN"/>
              </w:rPr>
            </w:pPr>
            <w:r>
              <w:rPr>
                <w:lang w:eastAsia="zh-CN"/>
              </w:rPr>
              <w:t>Above does not necessarily imply that BS energy consumption model that takes into account all listed scaling factors will be developed</w:t>
            </w:r>
          </w:p>
          <w:p>
            <w:pPr>
              <w:widowControl w:val="0"/>
              <w:rPr>
                <w:iCs/>
              </w:rPr>
            </w:pPr>
          </w:p>
          <w:p>
            <w:pPr>
              <w:widowControl w:val="0"/>
              <w:rPr>
                <w:bCs/>
                <w:iCs/>
                <w:highlight w:val="green"/>
              </w:rPr>
            </w:pPr>
            <w:r>
              <w:rPr>
                <w:bCs/>
                <w:iCs/>
                <w:highlight w:val="green"/>
              </w:rPr>
              <w:t>Agreement</w:t>
            </w:r>
          </w:p>
          <w:p>
            <w:pPr>
              <w:widowControl w:val="0"/>
              <w:rPr>
                <w:iCs/>
                <w:color w:val="000000" w:themeColor="text1"/>
                <w14:textFill>
                  <w14:solidFill>
                    <w14:schemeClr w14:val="tx1"/>
                  </w14:solidFill>
                </w14:textFill>
              </w:rPr>
            </w:pPr>
            <w:r>
              <w:rPr>
                <w:iCs/>
                <w:color w:val="000000" w:themeColor="text1"/>
                <w14:textFill>
                  <w14:solidFill>
                    <w14:schemeClr w14:val="tx1"/>
                  </w14:solidFill>
                </w14:textFill>
              </w:rPr>
              <w:t>For BS energy consumption evaluation, in addition to the energy saving gain,</w:t>
            </w:r>
          </w:p>
          <w:p>
            <w:pPr>
              <w:pStyle w:val="48"/>
              <w:widowControl w:val="0"/>
              <w:numPr>
                <w:ilvl w:val="0"/>
                <w:numId w:val="49"/>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At least UPT/UE power consumption/access delay/latency should be considered for performance impact evaluation</w:t>
            </w:r>
          </w:p>
          <w:p>
            <w:pPr>
              <w:pStyle w:val="48"/>
              <w:widowControl w:val="0"/>
              <w:numPr>
                <w:ilvl w:val="0"/>
                <w:numId w:val="49"/>
              </w:numPr>
              <w:spacing w:line="240" w:lineRule="auto"/>
            </w:pPr>
            <w:r>
              <w:rPr>
                <w:color w:val="000000" w:themeColor="text1"/>
                <w14:textFill>
                  <w14:solidFill>
                    <w14:schemeClr w14:val="tx1"/>
                  </w14:solidFill>
                </w14:textFill>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pPr>
              <w:widowControl w:val="0"/>
              <w:rPr>
                <w:bCs/>
                <w:iCs/>
                <w:highlight w:val="green"/>
              </w:rPr>
            </w:pPr>
            <w:r>
              <w:rPr>
                <w:bCs/>
                <w:iCs/>
                <w:highlight w:val="green"/>
              </w:rPr>
              <w:t>Agreement</w:t>
            </w:r>
          </w:p>
          <w:p>
            <w:pPr>
              <w:widowControl w:val="0"/>
              <w:rPr>
                <w:iCs/>
              </w:rPr>
            </w:pPr>
            <w:r>
              <w:rPr>
                <w:iCs/>
              </w:rPr>
              <w:t>At least urban macro is prioritized for FR1. FFS the baseline deployment assumption for FR2.</w:t>
            </w:r>
          </w:p>
          <w:p>
            <w:pPr>
              <w:widowControl w:val="0"/>
              <w:rPr>
                <w:iCs/>
              </w:rPr>
            </w:pPr>
          </w:p>
          <w:p>
            <w:pPr>
              <w:widowControl w:val="0"/>
              <w:rPr>
                <w:bCs/>
                <w:iCs/>
                <w:highlight w:val="green"/>
              </w:rPr>
            </w:pPr>
            <w:r>
              <w:rPr>
                <w:bCs/>
                <w:iCs/>
                <w:highlight w:val="green"/>
              </w:rPr>
              <w:t>Agreement</w:t>
            </w:r>
          </w:p>
          <w:p>
            <w:pPr>
              <w:pStyle w:val="48"/>
              <w:widowControl w:val="0"/>
              <w:numPr>
                <w:ilvl w:val="0"/>
                <w:numId w:val="50"/>
              </w:numPr>
              <w:spacing w:after="0" w:line="240" w:lineRule="auto"/>
              <w:ind w:left="714" w:hanging="357"/>
            </w:pPr>
            <w:r>
              <w:t xml:space="preserve">FTP3 (0.5MB as packet size, 200ms as mean inter-arrival time), FTP3 IM (0.1MB as packet size, 2s as mean inter-arrival time) and VOIP can be considered in the evaluation </w:t>
            </w:r>
          </w:p>
          <w:p>
            <w:pPr>
              <w:pStyle w:val="48"/>
              <w:widowControl w:val="0"/>
              <w:numPr>
                <w:ilvl w:val="0"/>
                <w:numId w:val="50"/>
              </w:numPr>
              <w:spacing w:after="0" w:line="240" w:lineRule="auto"/>
              <w:ind w:left="714" w:hanging="357"/>
            </w:pPr>
            <w:r>
              <w:t>FFS: with possible further prioritization, different model between DL and UL, and/or other traffic models that can be optionally considered.</w:t>
            </w:r>
          </w:p>
          <w:p>
            <w:pPr>
              <w:pStyle w:val="48"/>
              <w:widowControl w:val="0"/>
              <w:numPr>
                <w:ilvl w:val="0"/>
                <w:numId w:val="50"/>
              </w:numPr>
              <w:spacing w:after="0" w:line="240" w:lineRule="auto"/>
              <w:ind w:left="714" w:hanging="357"/>
            </w:pPr>
            <w:r>
              <w:rPr>
                <w:rFonts w:cs="Times"/>
              </w:rPr>
              <w:t>FFS associated scenarios/configurations, e.g. C-DRX.</w:t>
            </w:r>
          </w:p>
          <w:p>
            <w:pPr>
              <w:widowControl w:val="0"/>
              <w:rPr>
                <w:iCs/>
              </w:rPr>
            </w:pPr>
          </w:p>
          <w:p>
            <w:pPr>
              <w:widowControl w:val="0"/>
              <w:rPr>
                <w:b/>
                <w:bCs/>
                <w:iCs/>
              </w:rPr>
            </w:pPr>
            <w:r>
              <w:fldChar w:fldCharType="begin"/>
            </w:r>
            <w:r>
              <w:instrText xml:space="preserve"> HYPERLINK "file:///C:\\Users\\w00250081\\AppData\\Local\\Temp\\Docs\\R1-2205468.zip" </w:instrText>
            </w:r>
            <w:r>
              <w:fldChar w:fldCharType="separate"/>
            </w:r>
            <w:r>
              <w:rPr>
                <w:rStyle w:val="30"/>
                <w:b/>
                <w:bCs/>
                <w:iCs/>
              </w:rPr>
              <w:t>R1-2205468</w:t>
            </w:r>
            <w:r>
              <w:rPr>
                <w:rStyle w:val="30"/>
                <w:b/>
                <w:bCs/>
                <w:iCs/>
              </w:rPr>
              <w:fldChar w:fldCharType="end"/>
            </w:r>
            <w:r>
              <w:rPr>
                <w:b/>
                <w:bCs/>
                <w:iCs/>
              </w:rPr>
              <w:tab/>
            </w:r>
            <w:r>
              <w:rPr>
                <w:b/>
                <w:bCs/>
                <w:iCs/>
              </w:rPr>
              <w:t>FL summary#3 for performance evaluation for NR NW energy savings</w:t>
            </w:r>
            <w:r>
              <w:rPr>
                <w:b/>
                <w:bCs/>
                <w:iCs/>
              </w:rPr>
              <w:tab/>
            </w:r>
            <w:r>
              <w:rPr>
                <w:b/>
                <w:bCs/>
                <w:iCs/>
              </w:rPr>
              <w:t>Moderator (Huawei)</w:t>
            </w:r>
          </w:p>
          <w:p>
            <w:pPr>
              <w:widowControl w:val="0"/>
              <w:rPr>
                <w:rFonts w:eastAsia="Malgun Gothic"/>
                <w:bCs/>
              </w:rPr>
            </w:pPr>
            <w:r>
              <w:rPr>
                <w:rFonts w:eastAsia="Malgun Gothic"/>
                <w:bCs/>
                <w:highlight w:val="green"/>
              </w:rPr>
              <w:t>Agreement</w:t>
            </w:r>
          </w:p>
          <w:p>
            <w:pPr>
              <w:widowControl w:val="0"/>
            </w:pPr>
            <w:r>
              <w:rPr>
                <w:rFonts w:cs="Times"/>
                <w:bCs/>
                <w:color w:val="000000" w:themeColor="text1"/>
                <w14:textFill>
                  <w14:solidFill>
                    <w14:schemeClr w14:val="tx1"/>
                  </w14:solidFill>
                </w14:textFill>
              </w:rPr>
              <w:t>For evaluation and BS energy consumption modeling purpose, for</w:t>
            </w:r>
            <w:r>
              <w:rPr>
                <w:color w:val="000000" w:themeColor="text1"/>
                <w14:textFill>
                  <w14:solidFill>
                    <w14:schemeClr w14:val="tx1"/>
                  </w14:solidFill>
                </w14:textFill>
              </w:rPr>
              <w:t xml:space="preserve"> single C</w:t>
            </w:r>
            <w:r>
              <w:t>C case, at least the following in table should be considered for reference configuration</w:t>
            </w:r>
          </w:p>
          <w:p>
            <w:pPr>
              <w:pStyle w:val="48"/>
              <w:widowControl w:val="0"/>
              <w:numPr>
                <w:ilvl w:val="1"/>
                <w:numId w:val="51"/>
              </w:numPr>
              <w:spacing w:line="240" w:lineRule="auto"/>
              <w:rPr>
                <w:lang w:eastAsia="zh-CN"/>
              </w:rPr>
            </w:pPr>
            <w:r>
              <w:rPr>
                <w:lang w:eastAsia="zh-CN"/>
              </w:rPr>
              <w:t>Note: other TX-RX RU number and corresponding BS antenna configuration can be considered in SLS assumptions</w:t>
            </w:r>
          </w:p>
          <w:tbl>
            <w:tblPr>
              <w:tblStyle w:val="26"/>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440"/>
              <w:gridCol w:w="244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p>
              </w:tc>
              <w:tc>
                <w:tcPr>
                  <w:tcW w:w="2440" w:type="dxa"/>
                  <w:shd w:val="clear" w:color="auto" w:fill="auto"/>
                </w:tcPr>
                <w:p>
                  <w:pPr>
                    <w:rPr>
                      <w:rFonts w:ascii="Arial" w:hAnsi="Arial" w:cs="Arial"/>
                      <w:sz w:val="16"/>
                      <w:szCs w:val="16"/>
                    </w:rPr>
                  </w:pPr>
                  <w:r>
                    <w:rPr>
                      <w:rFonts w:ascii="Arial" w:hAnsi="Arial" w:cs="Arial"/>
                      <w:sz w:val="16"/>
                      <w:szCs w:val="16"/>
                    </w:rPr>
                    <w:t>Set 1 FR1</w:t>
                  </w:r>
                </w:p>
              </w:tc>
              <w:tc>
                <w:tcPr>
                  <w:tcW w:w="2440" w:type="dxa"/>
                  <w:shd w:val="clear" w:color="auto" w:fill="auto"/>
                </w:tcPr>
                <w:p>
                  <w:pPr>
                    <w:rPr>
                      <w:rFonts w:ascii="Arial" w:hAnsi="Arial" w:cs="Arial"/>
                      <w:sz w:val="16"/>
                      <w:szCs w:val="16"/>
                    </w:rPr>
                  </w:pPr>
                  <w:r>
                    <w:rPr>
                      <w:rFonts w:ascii="Arial" w:hAnsi="Arial" w:cs="Arial"/>
                      <w:sz w:val="16"/>
                      <w:szCs w:val="16"/>
                    </w:rPr>
                    <w:t>Set 2 FR1</w:t>
                  </w:r>
                </w:p>
              </w:tc>
              <w:tc>
                <w:tcPr>
                  <w:tcW w:w="2443" w:type="dxa"/>
                  <w:shd w:val="clear" w:color="auto" w:fill="auto"/>
                </w:tcPr>
                <w:p>
                  <w:pPr>
                    <w:rPr>
                      <w:rFonts w:ascii="Arial" w:hAnsi="Arial" w:cs="Arial"/>
                      <w:sz w:val="16"/>
                      <w:szCs w:val="16"/>
                    </w:rPr>
                  </w:pPr>
                  <w:r>
                    <w:rPr>
                      <w:rFonts w:ascii="Arial" w:hAnsi="Arial" w:cs="Arial"/>
                      <w:sz w:val="16"/>
                      <w:szCs w:val="16"/>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Duplex</w:t>
                  </w:r>
                </w:p>
              </w:tc>
              <w:tc>
                <w:tcPr>
                  <w:tcW w:w="2440" w:type="dxa"/>
                  <w:shd w:val="clear" w:color="auto" w:fill="auto"/>
                </w:tcPr>
                <w:p>
                  <w:pPr>
                    <w:rPr>
                      <w:rFonts w:ascii="Arial" w:hAnsi="Arial" w:cs="Arial"/>
                      <w:sz w:val="16"/>
                      <w:szCs w:val="16"/>
                    </w:rPr>
                  </w:pPr>
                  <w:r>
                    <w:rPr>
                      <w:rFonts w:ascii="Arial" w:hAnsi="Arial" w:cs="Arial"/>
                      <w:sz w:val="16"/>
                      <w:szCs w:val="16"/>
                    </w:rPr>
                    <w:t>TDD</w:t>
                  </w:r>
                </w:p>
              </w:tc>
              <w:tc>
                <w:tcPr>
                  <w:tcW w:w="2440" w:type="dxa"/>
                  <w:shd w:val="clear" w:color="auto" w:fill="auto"/>
                </w:tcPr>
                <w:p>
                  <w:pPr>
                    <w:rPr>
                      <w:rFonts w:ascii="Arial" w:hAnsi="Arial" w:cs="Arial"/>
                      <w:sz w:val="16"/>
                      <w:szCs w:val="16"/>
                    </w:rPr>
                  </w:pPr>
                  <w:r>
                    <w:rPr>
                      <w:rFonts w:ascii="Arial" w:hAnsi="Arial" w:cs="Arial"/>
                      <w:sz w:val="16"/>
                      <w:szCs w:val="16"/>
                    </w:rPr>
                    <w:t>FDD</w:t>
                  </w:r>
                </w:p>
              </w:tc>
              <w:tc>
                <w:tcPr>
                  <w:tcW w:w="2443" w:type="dxa"/>
                  <w:shd w:val="clear" w:color="auto" w:fill="auto"/>
                </w:tcPr>
                <w:p>
                  <w:pPr>
                    <w:rPr>
                      <w:rFonts w:ascii="Arial" w:hAnsi="Arial" w:cs="Arial"/>
                      <w:sz w:val="16"/>
                      <w:szCs w:val="16"/>
                    </w:rPr>
                  </w:pPr>
                  <w:r>
                    <w:rPr>
                      <w:rFonts w:ascii="Arial" w:hAnsi="Arial" w:cs="Arial"/>
                      <w:sz w:val="16"/>
                      <w:szCs w:val="16"/>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System BW</w:t>
                  </w:r>
                </w:p>
              </w:tc>
              <w:tc>
                <w:tcPr>
                  <w:tcW w:w="2440" w:type="dxa"/>
                  <w:shd w:val="clear" w:color="auto" w:fill="auto"/>
                </w:tcPr>
                <w:p>
                  <w:pPr>
                    <w:rPr>
                      <w:rFonts w:ascii="Arial" w:hAnsi="Arial" w:cs="Arial"/>
                      <w:sz w:val="16"/>
                      <w:szCs w:val="16"/>
                    </w:rPr>
                  </w:pPr>
                  <w:r>
                    <w:rPr>
                      <w:rFonts w:ascii="Arial" w:hAnsi="Arial" w:cs="Arial"/>
                      <w:sz w:val="16"/>
                      <w:szCs w:val="16"/>
                    </w:rPr>
                    <w:t>100 MHz</w:t>
                  </w:r>
                </w:p>
              </w:tc>
              <w:tc>
                <w:tcPr>
                  <w:tcW w:w="2440" w:type="dxa"/>
                  <w:shd w:val="clear" w:color="auto" w:fill="auto"/>
                </w:tcPr>
                <w:p>
                  <w:pPr>
                    <w:rPr>
                      <w:rFonts w:ascii="Arial" w:hAnsi="Arial" w:cs="Arial"/>
                      <w:sz w:val="16"/>
                      <w:szCs w:val="16"/>
                    </w:rPr>
                  </w:pPr>
                  <w:r>
                    <w:rPr>
                      <w:rFonts w:ascii="Arial" w:hAnsi="Arial" w:cs="Arial"/>
                      <w:sz w:val="16"/>
                      <w:szCs w:val="16"/>
                    </w:rPr>
                    <w:t>20 MHz</w:t>
                  </w:r>
                </w:p>
              </w:tc>
              <w:tc>
                <w:tcPr>
                  <w:tcW w:w="2443" w:type="dxa"/>
                  <w:shd w:val="clear" w:color="auto" w:fill="auto"/>
                </w:tcPr>
                <w:p>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SCS</w:t>
                  </w:r>
                </w:p>
              </w:tc>
              <w:tc>
                <w:tcPr>
                  <w:tcW w:w="2440" w:type="dxa"/>
                  <w:shd w:val="clear" w:color="auto" w:fill="auto"/>
                </w:tcPr>
                <w:p>
                  <w:pPr>
                    <w:rPr>
                      <w:rFonts w:ascii="Arial" w:hAnsi="Arial" w:cs="Arial"/>
                      <w:sz w:val="16"/>
                      <w:szCs w:val="16"/>
                    </w:rPr>
                  </w:pPr>
                  <w:r>
                    <w:rPr>
                      <w:rFonts w:ascii="Arial" w:hAnsi="Arial" w:cs="Arial"/>
                      <w:sz w:val="16"/>
                      <w:szCs w:val="16"/>
                    </w:rPr>
                    <w:t>30 kHz</w:t>
                  </w:r>
                </w:p>
              </w:tc>
              <w:tc>
                <w:tcPr>
                  <w:tcW w:w="2440" w:type="dxa"/>
                  <w:shd w:val="clear" w:color="auto" w:fill="auto"/>
                </w:tcPr>
                <w:p>
                  <w:pPr>
                    <w:rPr>
                      <w:rFonts w:ascii="Arial" w:hAnsi="Arial" w:cs="Arial"/>
                      <w:sz w:val="16"/>
                      <w:szCs w:val="16"/>
                    </w:rPr>
                  </w:pPr>
                  <w:r>
                    <w:rPr>
                      <w:rFonts w:ascii="Arial" w:hAnsi="Arial" w:cs="Arial"/>
                      <w:sz w:val="16"/>
                      <w:szCs w:val="16"/>
                    </w:rPr>
                    <w:t>15 kHz</w:t>
                  </w:r>
                </w:p>
              </w:tc>
              <w:tc>
                <w:tcPr>
                  <w:tcW w:w="2443" w:type="dxa"/>
                  <w:shd w:val="clear" w:color="auto" w:fill="auto"/>
                </w:tcPr>
                <w:p>
                  <w:pPr>
                    <w:rPr>
                      <w:rFonts w:ascii="Arial" w:hAnsi="Arial" w:cs="Arial"/>
                      <w:sz w:val="16"/>
                      <w:szCs w:val="16"/>
                    </w:rPr>
                  </w:pPr>
                  <w:r>
                    <w:rPr>
                      <w:rFonts w:ascii="Arial" w:hAnsi="Arial" w:cs="Arial"/>
                      <w:sz w:val="16"/>
                      <w:szCs w:val="16"/>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Number of TRP</w:t>
                  </w:r>
                </w:p>
              </w:tc>
              <w:tc>
                <w:tcPr>
                  <w:tcW w:w="2440" w:type="dxa"/>
                  <w:shd w:val="clear" w:color="auto" w:fill="auto"/>
                </w:tcPr>
                <w:p>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pPr>
                    <w:rPr>
                      <w:rFonts w:ascii="Arial" w:hAnsi="Arial" w:cs="Arial"/>
                      <w:sz w:val="16"/>
                      <w:szCs w:val="16"/>
                    </w:rPr>
                  </w:pPr>
                  <w:r>
                    <w:rPr>
                      <w:rFonts w:ascii="Arial" w:hAnsi="Arial" w:cs="Arial"/>
                      <w:sz w:val="16"/>
                      <w:szCs w:val="16"/>
                    </w:rPr>
                    <w:t>1</w:t>
                  </w:r>
                </w:p>
              </w:tc>
              <w:tc>
                <w:tcPr>
                  <w:tcW w:w="2443" w:type="dxa"/>
                  <w:shd w:val="clear" w:color="auto" w:fill="auto"/>
                </w:tcPr>
                <w:p>
                  <w:pPr>
                    <w:rPr>
                      <w:rFonts w:ascii="Arial" w:hAnsi="Arial" w:cs="Arial"/>
                      <w:sz w:val="16"/>
                      <w:szCs w:val="16"/>
                    </w:rPr>
                  </w:pPr>
                  <w:r>
                    <w:rPr>
                      <w:rFonts w:ascii="Arial" w:hAnsi="Arial" w:cs="Arial"/>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trike/>
                      <w:color w:val="FF0000"/>
                      <w:sz w:val="16"/>
                      <w:szCs w:val="16"/>
                    </w:rPr>
                  </w:pPr>
                  <w:r>
                    <w:rPr>
                      <w:rFonts w:ascii="Arial" w:hAnsi="Arial" w:cs="Arial"/>
                      <w:sz w:val="16"/>
                      <w:szCs w:val="1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DL power level</w:t>
                  </w:r>
                </w:p>
              </w:tc>
              <w:tc>
                <w:tcPr>
                  <w:tcW w:w="2440" w:type="dxa"/>
                  <w:shd w:val="clear" w:color="auto" w:fill="auto"/>
                </w:tcPr>
                <w:p>
                  <w:pPr>
                    <w:rPr>
                      <w:rFonts w:ascii="Arial" w:hAnsi="Arial" w:cs="Arial"/>
                      <w:sz w:val="16"/>
                      <w:szCs w:val="16"/>
                    </w:rPr>
                  </w:pPr>
                  <w:r>
                    <w:rPr>
                      <w:rFonts w:ascii="Arial" w:hAnsi="Arial" w:cs="Arial"/>
                      <w:sz w:val="16"/>
                      <w:szCs w:val="16"/>
                    </w:rPr>
                    <w:t>55dBm</w:t>
                  </w:r>
                </w:p>
              </w:tc>
              <w:tc>
                <w:tcPr>
                  <w:tcW w:w="2440" w:type="dxa"/>
                  <w:shd w:val="clear" w:color="auto" w:fill="auto"/>
                </w:tcPr>
                <w:p>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pPr>
                    <w:rPr>
                      <w:rFonts w:ascii="Arial" w:hAnsi="Arial" w:cs="Arial"/>
                      <w:color w:val="FF0000"/>
                      <w:sz w:val="16"/>
                      <w:szCs w:val="16"/>
                    </w:rPr>
                  </w:pPr>
                  <w:r>
                    <w:rPr>
                      <w:rFonts w:ascii="Arial" w:hAnsi="Arial" w:cs="Arial"/>
                      <w:color w:val="FF0000"/>
                      <w:sz w:val="16"/>
                      <w:szCs w:val="16"/>
                    </w:rPr>
                    <w:t>43dBm – to be further discussed and finalized in future meetings</w:t>
                  </w:r>
                </w:p>
                <w:p>
                  <w:pPr>
                    <w:rPr>
                      <w:rFonts w:ascii="Arial" w:hAnsi="Arial" w:cs="Arial"/>
                      <w:color w:val="FF0000"/>
                      <w:sz w:val="16"/>
                      <w:szCs w:val="16"/>
                    </w:rPr>
                  </w:pPr>
                </w:p>
                <w:p>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z w:val="16"/>
                      <w:szCs w:val="16"/>
                    </w:rPr>
                  </w:pPr>
                  <w:r>
                    <w:rPr>
                      <w:rFonts w:ascii="Arial" w:hAnsi="Arial" w:cs="Arial"/>
                      <w:sz w:val="16"/>
                      <w:szCs w:val="16"/>
                    </w:rPr>
                    <w:t>2</w:t>
                  </w:r>
                </w:p>
              </w:tc>
            </w:tr>
          </w:tbl>
          <w:p>
            <w:pPr>
              <w:widowControl w:val="0"/>
              <w:rPr>
                <w:iCs/>
              </w:rPr>
            </w:pPr>
          </w:p>
          <w:p>
            <w:pPr>
              <w:widowControl w:val="0"/>
              <w:rPr>
                <w:bCs/>
                <w:highlight w:val="green"/>
              </w:rPr>
            </w:pPr>
            <w:r>
              <w:rPr>
                <w:rFonts w:eastAsia="Malgun Gothic"/>
                <w:bCs/>
                <w:highlight w:val="green"/>
              </w:rPr>
              <w:t>Agreement</w:t>
            </w:r>
          </w:p>
          <w:p>
            <w:pPr>
              <w:widowControl w:val="0"/>
            </w:pPr>
            <w:r>
              <w:t>As a starting point,</w:t>
            </w:r>
          </w:p>
          <w:p>
            <w:pPr>
              <w:pStyle w:val="48"/>
              <w:widowControl w:val="0"/>
              <w:numPr>
                <w:ilvl w:val="0"/>
                <w:numId w:val="51"/>
              </w:numPr>
              <w:spacing w:line="240" w:lineRule="auto"/>
            </w:pPr>
            <w:r>
              <w:t>macro cell BS for FR1 is assumed for energy consumption model.</w:t>
            </w:r>
          </w:p>
          <w:p>
            <w:pPr>
              <w:pStyle w:val="48"/>
              <w:widowControl w:val="0"/>
              <w:numPr>
                <w:ilvl w:val="0"/>
                <w:numId w:val="51"/>
              </w:numPr>
              <w:spacing w:line="240" w:lineRule="auto"/>
            </w:pPr>
            <w:r>
              <w:t>FFS: micro cell BS for FR2 is assumed for energy consumption model.</w:t>
            </w: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widowControl w:val="0"/>
              <w:rPr>
                <w:color w:val="000000" w:themeColor="text1"/>
                <w14:textFill>
                  <w14:solidFill>
                    <w14:schemeClr w14:val="tx1"/>
                  </w14:solidFill>
                </w14:textFill>
              </w:rPr>
            </w:pPr>
            <w:r>
              <w:rPr>
                <w:color w:val="000000" w:themeColor="text1"/>
                <w14:textFill>
                  <w14:solidFill>
                    <w14:schemeClr w14:val="tx1"/>
                  </w14:solidFill>
                </w14:textFill>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pPr>
              <w:pStyle w:val="48"/>
              <w:widowControl w:val="0"/>
              <w:numPr>
                <w:ilvl w:val="0"/>
                <w:numId w:val="52"/>
              </w:numPr>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FFS: need of alignment for certain configurations/implementation-based schemes.</w:t>
            </w:r>
          </w:p>
          <w:p>
            <w:pPr>
              <w:widowControl w:val="0"/>
              <w:rPr>
                <w:rFonts w:eastAsia="Malgun Gothic"/>
                <w:bCs/>
                <w:color w:val="000000" w:themeColor="text1"/>
                <w:highlight w:val="green"/>
                <w14:textFill>
                  <w14:solidFill>
                    <w14:schemeClr w14:val="tx1"/>
                  </w14:solidFill>
                </w14:textFill>
              </w:rPr>
            </w:pP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pStyle w:val="48"/>
              <w:widowControl w:val="0"/>
              <w:numPr>
                <w:ilvl w:val="0"/>
                <w:numId w:val="52"/>
              </w:numPr>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Similar to UE power saving study, percentage of energy consumption reduction from the baseline is used to express BS energy saving gain.</w:t>
            </w:r>
          </w:p>
          <w:p>
            <w:pPr>
              <w:pStyle w:val="48"/>
              <w:widowControl w:val="0"/>
              <w:numPr>
                <w:ilvl w:val="0"/>
                <w:numId w:val="5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pPr>
              <w:widowControl w:val="0"/>
              <w:rPr>
                <w:rFonts w:cs="Times"/>
              </w:rPr>
            </w:pPr>
            <w:r>
              <w:rPr>
                <w:rFonts w:cs="Times"/>
                <w:highlight w:val="darkYellow"/>
              </w:rPr>
              <w:t>Working assumption</w:t>
            </w:r>
          </w:p>
          <w:p>
            <w:pPr>
              <w:widowControl w:val="0"/>
              <w:rPr>
                <w:rFonts w:cs="Times"/>
              </w:rPr>
            </w:pPr>
            <w:r>
              <w:rPr>
                <w:rFonts w:cs="Times"/>
              </w:rPr>
              <w:t>For evaluation, for energy consumption modelling for FDD and the case of simultaneous DL transmission and UL reception for non-sleep mode, study the following with potential down-selection in RAN1#110</w:t>
            </w:r>
          </w:p>
          <w:p>
            <w:pPr>
              <w:pStyle w:val="48"/>
              <w:widowControl w:val="0"/>
              <w:numPr>
                <w:ilvl w:val="0"/>
                <w:numId w:val="53"/>
              </w:numPr>
              <w:spacing w:line="240" w:lineRule="auto"/>
              <w:rPr>
                <w:lang w:eastAsia="zh-CN"/>
              </w:rPr>
            </w:pPr>
            <w:r>
              <w:rPr>
                <w:lang w:eastAsia="zh-CN"/>
              </w:rPr>
              <w:t>Option 1: the power consumption is the total of DL and UL power consumption</w:t>
            </w:r>
          </w:p>
          <w:p>
            <w:pPr>
              <w:pStyle w:val="48"/>
              <w:widowControl w:val="0"/>
              <w:numPr>
                <w:ilvl w:val="0"/>
                <w:numId w:val="53"/>
              </w:numPr>
              <w:spacing w:line="240" w:lineRule="auto"/>
              <w:rPr>
                <w:lang w:eastAsia="zh-CN"/>
              </w:rPr>
            </w:pPr>
            <w:r>
              <w:rPr>
                <w:lang w:eastAsia="zh-CN"/>
              </w:rPr>
              <w:t>Option 2: the power consumption for UL is neglected</w:t>
            </w:r>
          </w:p>
          <w:p>
            <w:pPr>
              <w:pStyle w:val="48"/>
              <w:widowControl w:val="0"/>
              <w:numPr>
                <w:ilvl w:val="0"/>
                <w:numId w:val="53"/>
              </w:numPr>
              <w:spacing w:line="240" w:lineRule="auto"/>
              <w:rPr>
                <w:lang w:eastAsia="zh-CN"/>
              </w:rPr>
            </w:pPr>
            <w:r>
              <w:rPr>
                <w:lang w:eastAsia="zh-CN"/>
              </w:rPr>
              <w:t>Other option is not precluded</w:t>
            </w:r>
          </w:p>
          <w:p>
            <w:pPr>
              <w:pStyle w:val="48"/>
              <w:widowControl w:val="0"/>
              <w:numPr>
                <w:ilvl w:val="0"/>
                <w:numId w:val="53"/>
              </w:numPr>
              <w:spacing w:line="240" w:lineRule="auto"/>
              <w:rPr>
                <w:lang w:eastAsia="zh-CN"/>
              </w:rPr>
            </w:pPr>
            <w:r>
              <w:rPr>
                <w:lang w:eastAsia="zh-CN"/>
              </w:rPr>
              <w:t>Note the DL (or UL) power consumption can be obtained using a same approach as that obtained from the DL (or UL)-only in TDD model</w:t>
            </w:r>
          </w:p>
          <w:p>
            <w:pPr>
              <w:widowControl w:val="0"/>
              <w:rPr>
                <w:iCs/>
              </w:rPr>
            </w:pPr>
          </w:p>
          <w:p>
            <w:pPr>
              <w:widowControl w:val="0"/>
              <w:rPr>
                <w:iCs/>
              </w:rPr>
            </w:pPr>
            <w:r>
              <w:rPr>
                <w:iCs/>
              </w:rPr>
              <w:t xml:space="preserve">Final summary in </w:t>
            </w:r>
            <w:r>
              <w:fldChar w:fldCharType="begin"/>
            </w:r>
            <w:r>
              <w:instrText xml:space="preserve"> HYPERLINK "file:///C:\\Users\\w00250081\\AppData\\Local\\Temp\\Docs\\R1-2205551.zip" </w:instrText>
            </w:r>
            <w:r>
              <w:fldChar w:fldCharType="separate"/>
            </w:r>
            <w:r>
              <w:rPr>
                <w:rStyle w:val="30"/>
                <w:iCs/>
              </w:rPr>
              <w:t>R1-2205551</w:t>
            </w:r>
            <w:r>
              <w:rPr>
                <w:rStyle w:val="30"/>
                <w:iCs/>
              </w:rPr>
              <w:fldChar w:fldCharType="end"/>
            </w:r>
            <w:r>
              <w:rPr>
                <w:iCs/>
              </w:rPr>
              <w:t>.</w:t>
            </w:r>
          </w:p>
          <w:p>
            <w:pPr>
              <w:widowControl w:val="0"/>
              <w:rPr>
                <w:iCs/>
              </w:rPr>
            </w:pPr>
          </w:p>
          <w:p>
            <w:pPr>
              <w:widowControl w:val="0"/>
            </w:pPr>
            <w:r>
              <w:t>@RAN1#110</w:t>
            </w:r>
          </w:p>
          <w:p>
            <w:pPr>
              <w:widowControl w:val="0"/>
              <w:rPr>
                <w:b/>
                <w:bCs/>
                <w:iCs/>
                <w:highlight w:val="green"/>
              </w:rPr>
            </w:pPr>
            <w:r>
              <w:rPr>
                <w:b/>
                <w:bCs/>
                <w:iCs/>
                <w:highlight w:val="green"/>
              </w:rPr>
              <w:t>Agreement</w:t>
            </w:r>
          </w:p>
          <w:p>
            <w:pPr>
              <w:widowControl w:val="0"/>
              <w:rPr>
                <w:bCs/>
              </w:rPr>
            </w:pPr>
            <w:r>
              <w:rPr>
                <w:bCs/>
              </w:rPr>
              <w:t>For non-sleep mode, the relative power value in power model table for UL reception and/or DL transmission is provided based on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For set 2 FR1 FDD TxRx reference configuration, confirm the WA as 32 in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The total DL power level is 49 dBm for set 2 FR1 FDD reference configuration.</w:t>
            </w:r>
          </w:p>
          <w:p>
            <w:pPr>
              <w:widowControl w:val="0"/>
            </w:pPr>
          </w:p>
          <w:p>
            <w:pPr>
              <w:widowControl w:val="0"/>
              <w:rPr>
                <w:b/>
                <w:highlight w:val="green"/>
              </w:rPr>
            </w:pPr>
            <w:r>
              <w:rPr>
                <w:b/>
                <w:highlight w:val="green"/>
              </w:rPr>
              <w:t>FL2 Proposal 2.1.6-1 –rev2</w:t>
            </w:r>
          </w:p>
          <w:p>
            <w:pPr>
              <w:widowControl w:val="0"/>
              <w:rPr>
                <w:b/>
              </w:rPr>
            </w:pPr>
            <w:r>
              <w:rPr>
                <w:b/>
              </w:rPr>
              <w:t>For the purpose of evaluation, adopt the following as BS power consumption model. These entries for this table is per reference configuration set.</w:t>
            </w:r>
          </w:p>
          <w:p>
            <w:pPr>
              <w:widowControl w:val="0"/>
              <w:numPr>
                <w:ilvl w:val="0"/>
                <w:numId w:val="11"/>
              </w:numPr>
              <w:autoSpaceDE/>
              <w:autoSpaceDN/>
              <w:adjustRightInd/>
              <w:snapToGrid/>
              <w:spacing w:after="0" w:line="240" w:lineRule="auto"/>
              <w:jc w:val="left"/>
              <w:rPr>
                <w:b/>
                <w:color w:val="C00000"/>
              </w:rPr>
            </w:pPr>
            <w:r>
              <w:rPr>
                <w:b/>
              </w:rPr>
              <w:t>FFS: One or multiple values for relative power and transition time.</w:t>
            </w:r>
          </w:p>
          <w:tbl>
            <w:tblPr>
              <w:tblStyle w:val="26"/>
              <w:tblW w:w="9634"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4992"/>
              <w:gridCol w:w="992"/>
              <w:gridCol w:w="1134"/>
              <w:gridCol w:w="1134"/>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Power state</w:t>
                  </w:r>
                </w:p>
              </w:tc>
              <w:tc>
                <w:tcPr>
                  <w:tcW w:w="499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Characteristic</w:t>
                  </w:r>
                </w:p>
              </w:tc>
              <w:tc>
                <w:tcPr>
                  <w:tcW w:w="992"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color="A5A5A5" w:sz="4" w:space="0"/>
                    <w:left w:val="double" w:color="A5A5A5" w:sz="4" w:space="0"/>
                    <w:bottom w:val="double" w:color="A5A5A5" w:sz="4" w:space="0"/>
                    <w:right w:val="double" w:color="A5A5A5" w:sz="4" w:space="0"/>
                  </w:tcBorders>
                  <w:vAlign w:val="center"/>
                </w:tcPr>
                <w:p>
                  <w:pPr>
                    <w:rPr>
                      <w:rFonts w:ascii="Times" w:hAnsi="Times"/>
                      <w:b/>
                      <w:bCs/>
                      <w:szCs w:val="24"/>
                      <w:lang w:val="en-GB"/>
                    </w:rPr>
                  </w:pPr>
                  <w:r>
                    <w:rPr>
                      <w:b/>
                      <w:bCs/>
                    </w:rPr>
                    <w:t>Total transition time</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r>
                    <w:rPr>
                      <w:color w:val="FF0000"/>
                      <w:sz w:val="32"/>
                      <w:vertAlign w:val="superscript"/>
                    </w:rPr>
                    <w:t>1</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 xml:space="preserve">Time interval for the sleep should be larger than the total transition time entering and leaving this state. </w:t>
                  </w:r>
                </w:p>
              </w:tc>
              <w:tc>
                <w:tcPr>
                  <w:tcW w:w="992" w:type="dxa"/>
                  <w:tcBorders>
                    <w:top w:val="double" w:color="A5A5A5" w:sz="4" w:space="0"/>
                    <w:left w:val="double" w:color="A5A5A5" w:sz="4" w:space="0"/>
                    <w:bottom w:val="double" w:color="A5A5A5" w:sz="4" w:space="0"/>
                    <w:right w:val="double" w:color="A5A5A5" w:sz="4" w:space="0"/>
                  </w:tcBorders>
                </w:tcPr>
                <w:p>
                  <w:r>
                    <w:t>P1=1</w:t>
                  </w:r>
                </w:p>
              </w:tc>
              <w:tc>
                <w:tcPr>
                  <w:tcW w:w="1134" w:type="dxa"/>
                  <w:tcBorders>
                    <w:top w:val="double" w:color="A5A5A5" w:sz="4" w:space="0"/>
                    <w:left w:val="double" w:color="A5A5A5" w:sz="4" w:space="0"/>
                    <w:bottom w:val="double" w:color="A5A5A5" w:sz="4" w:space="0"/>
                    <w:right w:val="double" w:color="A5A5A5" w:sz="4" w:space="0"/>
                  </w:tcBorders>
                </w:tcPr>
                <w:p>
                  <w:r>
                    <w:t>E1</w:t>
                  </w:r>
                </w:p>
              </w:tc>
              <w:tc>
                <w:tcPr>
                  <w:tcW w:w="1134" w:type="dxa"/>
                  <w:tcBorders>
                    <w:top w:val="double" w:color="A5A5A5" w:sz="4" w:space="0"/>
                    <w:left w:val="double" w:color="A5A5A5" w:sz="4" w:space="0"/>
                    <w:bottom w:val="double" w:color="A5A5A5" w:sz="4" w:space="0"/>
                    <w:right w:val="double" w:color="A5A5A5" w:sz="4" w:space="0"/>
                  </w:tcBorders>
                </w:tcPr>
                <w:p>
                  <w:r>
                    <w:t xml:space="preserve">T1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Time interval for the sleep should be larger than the total transition time entering and leaving this state.</w:t>
                  </w:r>
                </w:p>
                <w:p>
                  <w:r>
                    <w:t>(P2&gt;P1)</w:t>
                  </w:r>
                </w:p>
              </w:tc>
              <w:tc>
                <w:tcPr>
                  <w:tcW w:w="992" w:type="dxa"/>
                  <w:tcBorders>
                    <w:top w:val="double" w:color="A5A5A5" w:sz="4" w:space="0"/>
                    <w:left w:val="double" w:color="A5A5A5" w:sz="4" w:space="0"/>
                    <w:bottom w:val="double" w:color="A5A5A5" w:sz="4" w:space="0"/>
                    <w:right w:val="double" w:color="A5A5A5" w:sz="4" w:space="0"/>
                  </w:tcBorders>
                </w:tcPr>
                <w:p>
                  <w:r>
                    <w:t>P2</w:t>
                  </w:r>
                </w:p>
              </w:tc>
              <w:tc>
                <w:tcPr>
                  <w:tcW w:w="1134" w:type="dxa"/>
                  <w:tcBorders>
                    <w:top w:val="double" w:color="A5A5A5" w:sz="4" w:space="0"/>
                    <w:left w:val="double" w:color="A5A5A5" w:sz="4" w:space="0"/>
                    <w:bottom w:val="double" w:color="A5A5A5" w:sz="4" w:space="0"/>
                    <w:right w:val="double" w:color="A5A5A5" w:sz="4" w:space="0"/>
                  </w:tcBorders>
                </w:tcPr>
                <w:p>
                  <w:r>
                    <w:t>E2</w:t>
                  </w:r>
                </w:p>
              </w:tc>
              <w:tc>
                <w:tcPr>
                  <w:tcW w:w="1134" w:type="dxa"/>
                  <w:tcBorders>
                    <w:top w:val="double" w:color="A5A5A5" w:sz="4" w:space="0"/>
                    <w:left w:val="double" w:color="A5A5A5" w:sz="4" w:space="0"/>
                    <w:bottom w:val="double" w:color="A5A5A5" w:sz="4" w:space="0"/>
                    <w:right w:val="double" w:color="A5A5A5" w:sz="4" w:space="0"/>
                  </w:tcBorders>
                </w:tcPr>
                <w:p>
                  <w:r>
                    <w:t xml:space="preserve">T2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992" w:type="dxa"/>
                  <w:tcBorders>
                    <w:top w:val="double" w:color="A5A5A5" w:sz="4" w:space="0"/>
                    <w:left w:val="double" w:color="A5A5A5" w:sz="4" w:space="0"/>
                    <w:bottom w:val="double" w:color="A5A5A5" w:sz="4" w:space="0"/>
                    <w:right w:val="double" w:color="A5A5A5" w:sz="4" w:space="0"/>
                  </w:tcBorders>
                </w:tcPr>
                <w:p>
                  <w:r>
                    <w:t>There is neither DL transmission nor UL reception.</w:t>
                  </w:r>
                </w:p>
                <w:p>
                  <w:r>
                    <w:t>Immediate transition is assumed for network energy saving study purpose from or to a non-sleep state.</w:t>
                  </w:r>
                </w:p>
              </w:tc>
              <w:tc>
                <w:tcPr>
                  <w:tcW w:w="992" w:type="dxa"/>
                  <w:tcBorders>
                    <w:top w:val="double" w:color="A5A5A5" w:sz="4" w:space="0"/>
                    <w:left w:val="double" w:color="A5A5A5" w:sz="4" w:space="0"/>
                    <w:bottom w:val="double" w:color="A5A5A5" w:sz="4" w:space="0"/>
                    <w:right w:val="double" w:color="A5A5A5" w:sz="4" w:space="0"/>
                  </w:tcBorders>
                </w:tcPr>
                <w:p>
                  <w:r>
                    <w:t>P3</w:t>
                  </w:r>
                </w:p>
              </w:tc>
              <w:tc>
                <w:tcPr>
                  <w:tcW w:w="1134" w:type="dxa"/>
                  <w:tcBorders>
                    <w:top w:val="double" w:color="A5A5A5" w:sz="4" w:space="0"/>
                    <w:left w:val="double" w:color="A5A5A5" w:sz="4" w:space="0"/>
                    <w:bottom w:val="double" w:color="A5A5A5" w:sz="4" w:space="0"/>
                    <w:right w:val="double" w:color="A5A5A5" w:sz="4" w:space="0"/>
                  </w:tcBorders>
                </w:tcPr>
                <w:p>
                  <w:r>
                    <w:t>0</w:t>
                  </w:r>
                </w:p>
              </w:tc>
              <w:tc>
                <w:tcPr>
                  <w:tcW w:w="1134"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992" w:type="dxa"/>
                  <w:tcBorders>
                    <w:top w:val="double" w:color="A5A5A5" w:sz="4" w:space="0"/>
                    <w:left w:val="double" w:color="A5A5A5" w:sz="4" w:space="0"/>
                    <w:bottom w:val="double" w:color="A5A5A5" w:sz="4" w:space="0"/>
                    <w:right w:val="double" w:color="A5A5A5" w:sz="4" w:space="0"/>
                  </w:tcBorders>
                </w:tcPr>
                <w:p>
                  <w:r>
                    <w:t>There is only DL transmission.</w:t>
                  </w:r>
                </w:p>
              </w:tc>
              <w:tc>
                <w:tcPr>
                  <w:tcW w:w="992" w:type="dxa"/>
                  <w:tcBorders>
                    <w:top w:val="double" w:color="A5A5A5" w:sz="4" w:space="0"/>
                    <w:left w:val="double" w:color="A5A5A5" w:sz="4" w:space="0"/>
                    <w:bottom w:val="double" w:color="A5A5A5" w:sz="4" w:space="0"/>
                    <w:right w:val="double" w:color="A5A5A5" w:sz="4" w:space="0"/>
                  </w:tcBorders>
                </w:tcPr>
                <w:p>
                  <w:r>
                    <w:t>P4</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color w:val="FF0000"/>
                    </w:rPr>
                  </w:pPr>
                  <w:r>
                    <w:rPr>
                      <w:color w:val="000000"/>
                    </w:rPr>
                    <w:t>Active UL</w:t>
                  </w:r>
                </w:p>
              </w:tc>
              <w:tc>
                <w:tcPr>
                  <w:tcW w:w="4992" w:type="dxa"/>
                  <w:tcBorders>
                    <w:top w:val="double" w:color="A5A5A5" w:sz="4" w:space="0"/>
                    <w:left w:val="double" w:color="A5A5A5" w:sz="4" w:space="0"/>
                    <w:bottom w:val="double" w:color="A5A5A5" w:sz="4" w:space="0"/>
                    <w:right w:val="double" w:color="A5A5A5" w:sz="4" w:space="0"/>
                  </w:tcBorders>
                </w:tcPr>
                <w:p>
                  <w:r>
                    <w:t>There is only UL reception.</w:t>
                  </w:r>
                </w:p>
                <w:p>
                  <w:pPr>
                    <w:rPr>
                      <w:strike/>
                    </w:rPr>
                  </w:pPr>
                  <w:r>
                    <w:rPr>
                      <w:strike/>
                      <w:color w:val="FF0000"/>
                    </w:rPr>
                    <w:t>FFS: Whether multiple P5 values are needed to address low power UL mode</w:t>
                  </w:r>
                </w:p>
              </w:tc>
              <w:tc>
                <w:tcPr>
                  <w:tcW w:w="992" w:type="dxa"/>
                  <w:tcBorders>
                    <w:top w:val="double" w:color="A5A5A5" w:sz="4" w:space="0"/>
                    <w:left w:val="double" w:color="A5A5A5" w:sz="4" w:space="0"/>
                    <w:bottom w:val="double" w:color="A5A5A5" w:sz="4" w:space="0"/>
                    <w:right w:val="double" w:color="A5A5A5" w:sz="4" w:space="0"/>
                  </w:tcBorders>
                </w:tcPr>
                <w:p>
                  <w:r>
                    <w:t>P5</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34" w:type="dxa"/>
                  <w:gridSpan w:val="5"/>
                  <w:tcBorders>
                    <w:top w:val="double" w:color="A5A5A5" w:sz="4" w:space="0"/>
                    <w:left w:val="double" w:color="A5A5A5" w:sz="4" w:space="0"/>
                    <w:bottom w:val="double" w:color="A5A5A5" w:sz="4" w:space="0"/>
                    <w:right w:val="double" w:color="A5A5A5" w:sz="4" w:space="0"/>
                  </w:tcBorders>
                  <w:vAlign w:val="center"/>
                </w:tcPr>
                <w:p>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pPr>
                    <w:widowControl w:val="0"/>
                  </w:pPr>
                  <w:r>
                    <w:t>Note 3: Unit in relative power times duration. FFS: Details on how transition energy is defined.</w:t>
                  </w:r>
                </w:p>
              </w:tc>
            </w:tr>
          </w:tbl>
          <w:p>
            <w:pPr>
              <w:widowControl w:val="0"/>
              <w:numPr>
                <w:ilvl w:val="0"/>
                <w:numId w:val="11"/>
              </w:numPr>
              <w:autoSpaceDE/>
              <w:autoSpaceDN/>
              <w:adjustRightInd/>
              <w:snapToGrid/>
              <w:spacing w:after="0" w:line="240" w:lineRule="auto"/>
              <w:jc w:val="left"/>
              <w:rPr>
                <w:rFonts w:ascii="Times" w:hAnsi="Times" w:eastAsia="Batang"/>
                <w:lang w:val="en-GB" w:eastAsia="en-US"/>
              </w:rPr>
            </w:pPr>
            <w:r>
              <w:t xml:space="preserve">For simultaneous DL and UL transmission for FDD, the power for UL reception is neglected in this study. </w:t>
            </w:r>
          </w:p>
          <w:p>
            <w:pPr>
              <w:widowControl w:val="0"/>
              <w:numPr>
                <w:ilvl w:val="0"/>
                <w:numId w:val="11"/>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pPr>
              <w:widowControl w:val="0"/>
              <w:numPr>
                <w:ilvl w:val="0"/>
                <w:numId w:val="11"/>
              </w:numPr>
              <w:autoSpaceDE/>
              <w:autoSpaceDN/>
              <w:adjustRightInd/>
              <w:snapToGrid/>
              <w:spacing w:after="0" w:line="240" w:lineRule="auto"/>
              <w:jc w:val="left"/>
            </w:pPr>
            <w:r>
              <w:rPr>
                <w:iCs/>
                <w:color w:val="FF0000"/>
              </w:rPr>
              <w:t>FFS: Details on how to use the above table for low power uplink reception (e.g. for WUS).</w:t>
            </w:r>
          </w:p>
          <w:p>
            <w:pPr>
              <w:widowControl w:val="0"/>
              <w:rPr>
                <w:iCs/>
              </w:rPr>
            </w:pPr>
          </w:p>
          <w:p>
            <w:pPr>
              <w:widowControl w:val="0"/>
              <w:rPr>
                <w:b/>
                <w:bCs/>
                <w:iCs/>
                <w:highlight w:val="darkYellow"/>
              </w:rPr>
            </w:pPr>
            <w:r>
              <w:rPr>
                <w:b/>
                <w:bCs/>
                <w:iCs/>
                <w:highlight w:val="darkYellow"/>
              </w:rPr>
              <w:t>Working Assumption</w:t>
            </w:r>
          </w:p>
          <w:p>
            <w:pPr>
              <w:widowControl w:val="0"/>
              <w:rPr>
                <w:b/>
              </w:rPr>
            </w:pPr>
            <w:r>
              <w:rPr>
                <w:b/>
              </w:rPr>
              <w:t>For reference configuration set 1, the values are provided as below. FFS set2 and set 3.</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81"/>
              <w:gridCol w:w="1881"/>
              <w:gridCol w:w="1881"/>
              <w:gridCol w:w="1881"/>
              <w:gridCol w:w="18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rPr>
                <w:rFonts w:ascii="Times" w:hAnsi="Times" w:eastAsia="Batang"/>
                <w:lang w:val="en-GB" w:eastAsia="en-US"/>
              </w:rPr>
            </w:pPr>
          </w:p>
          <w:p>
            <w:pPr>
              <w:widowControl w:val="0"/>
              <w:rPr>
                <w:rFonts w:eastAsia="Malgun Gothic"/>
                <w:b/>
                <w:bCs/>
                <w:highlight w:val="green"/>
              </w:rPr>
            </w:pPr>
            <w:r>
              <w:rPr>
                <w:rFonts w:eastAsia="Malgun Gothic"/>
                <w:b/>
                <w:bCs/>
                <w:highlight w:val="green"/>
              </w:rPr>
              <w:t xml:space="preserve">Alternative </w:t>
            </w:r>
            <w:r>
              <w:rPr>
                <w:b/>
                <w:bCs/>
                <w:highlight w:val="green"/>
              </w:rPr>
              <w:t>Proposal 3.1.1.1-1</w:t>
            </w:r>
          </w:p>
          <w:p>
            <w:pPr>
              <w:widowControl w:val="0"/>
              <w:rPr>
                <w:rFonts w:eastAsia="Batang"/>
                <w:bCs/>
              </w:rPr>
            </w:pPr>
            <w:r>
              <w:rPr>
                <w:bCs/>
              </w:rPr>
              <w:t xml:space="preserve">For evaluation purpose, </w:t>
            </w:r>
          </w:p>
          <w:p>
            <w:pPr>
              <w:pStyle w:val="48"/>
              <w:widowControl w:val="0"/>
              <w:numPr>
                <w:ilvl w:val="0"/>
                <w:numId w:val="54"/>
              </w:numPr>
              <w:spacing w:line="256" w:lineRule="auto"/>
              <w:rPr>
                <w:bCs/>
              </w:rPr>
            </w:pPr>
            <w:r>
              <w:rPr>
                <w:bCs/>
              </w:rPr>
              <w:t>a load (L) of a cell is a percentage of resources used for UE specific PDSCH / PUSCH</w:t>
            </w:r>
          </w:p>
          <w:p>
            <w:pPr>
              <w:pStyle w:val="48"/>
              <w:widowControl w:val="0"/>
              <w:numPr>
                <w:ilvl w:val="0"/>
                <w:numId w:val="54"/>
              </w:numPr>
              <w:spacing w:line="256" w:lineRule="auto"/>
              <w:rPr>
                <w:bCs/>
              </w:rPr>
            </w:pPr>
            <w:r>
              <w:rPr>
                <w:bCs/>
              </w:rPr>
              <w:t>The following load scenarios are considered</w:t>
            </w:r>
          </w:p>
          <w:tbl>
            <w:tblPr>
              <w:tblStyle w:val="26"/>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715"/>
              <w:gridCol w:w="585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Load scenario</w:t>
                  </w:r>
                </w:p>
              </w:tc>
              <w:tc>
                <w:tcPr>
                  <w:tcW w:w="5858" w:type="dxa"/>
                  <w:tcBorders>
                    <w:top w:val="double" w:color="A5A5A5" w:sz="4" w:space="0"/>
                    <w:left w:val="double" w:color="A5A5A5" w:sz="4" w:space="0"/>
                    <w:bottom w:val="double" w:color="A5A5A5" w:sz="4" w:space="0"/>
                    <w:right w:val="double" w:color="A5A5A5" w:sz="4" w:space="0"/>
                  </w:tcBorders>
                </w:tcPr>
                <w:p>
                  <w:pPr>
                    <w:rPr>
                      <w:bCs/>
                    </w:rPr>
                  </w:pPr>
                  <w:r>
                    <w:rPr>
                      <w:bCs/>
                    </w:rPr>
                    <w:t>Characteristics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Idle/empty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55"/>
                    </w:numPr>
                    <w:spacing w:line="256" w:lineRule="auto"/>
                    <w:rPr>
                      <w:bCs/>
                    </w:rPr>
                  </w:pPr>
                  <w:r>
                    <w:rPr>
                      <w:bCs/>
                    </w:rPr>
                    <w:t>Include cell-specific signals and channels, and</w:t>
                  </w:r>
                </w:p>
                <w:p>
                  <w:pPr>
                    <w:pStyle w:val="48"/>
                    <w:widowControl w:val="0"/>
                    <w:numPr>
                      <w:ilvl w:val="0"/>
                      <w:numId w:val="55"/>
                    </w:numPr>
                    <w:spacing w:line="256" w:lineRule="auto"/>
                    <w:rPr>
                      <w:bCs/>
                    </w:rPr>
                  </w:pPr>
                  <w:r>
                    <w:rPr>
                      <w:bCs/>
                    </w:rPr>
                    <w:t>L = 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color w:val="FF0000"/>
                    </w:rPr>
                  </w:pPr>
                  <w:r>
                    <w:rPr>
                      <w:bCs/>
                      <w:color w:val="FF0000"/>
                    </w:rPr>
                    <w:t>low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55"/>
                    </w:numPr>
                    <w:spacing w:line="254" w:lineRule="auto"/>
                    <w:rPr>
                      <w:bCs/>
                      <w:color w:val="FF0000"/>
                    </w:rPr>
                  </w:pPr>
                  <w:r>
                    <w:rPr>
                      <w:bCs/>
                      <w:color w:val="FF0000"/>
                    </w:rPr>
                    <w:t>Include cell-specific signals and channels, and</w:t>
                  </w:r>
                </w:p>
                <w:p>
                  <w:pPr>
                    <w:pStyle w:val="48"/>
                    <w:widowControl w:val="0"/>
                    <w:numPr>
                      <w:ilvl w:val="0"/>
                      <w:numId w:val="55"/>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Light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55"/>
                    </w:numPr>
                    <w:spacing w:line="256" w:lineRule="auto"/>
                    <w:rPr>
                      <w:bCs/>
                    </w:rPr>
                  </w:pPr>
                  <w:r>
                    <w:rPr>
                      <w:bCs/>
                    </w:rPr>
                    <w:t>Include cell-specific signals and channels, and</w:t>
                  </w:r>
                </w:p>
                <w:p>
                  <w:pPr>
                    <w:pStyle w:val="48"/>
                    <w:numPr>
                      <w:ilvl w:val="0"/>
                      <w:numId w:val="55"/>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Medium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55"/>
                    </w:numPr>
                    <w:spacing w:line="256" w:lineRule="auto"/>
                    <w:rPr>
                      <w:bCs/>
                    </w:rPr>
                  </w:pPr>
                  <w:r>
                    <w:rPr>
                      <w:bCs/>
                    </w:rPr>
                    <w:t>Include cell-specific signals and channels, and</w:t>
                  </w:r>
                </w:p>
                <w:p>
                  <w:pPr>
                    <w:pStyle w:val="48"/>
                    <w:numPr>
                      <w:ilvl w:val="0"/>
                      <w:numId w:val="5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8573" w:type="dxa"/>
                  <w:gridSpan w:val="2"/>
                  <w:tcBorders>
                    <w:top w:val="double" w:color="A5A5A5" w:sz="4" w:space="0"/>
                    <w:left w:val="double" w:color="A5A5A5" w:sz="4" w:space="0"/>
                    <w:bottom w:val="double" w:color="A5A5A5" w:sz="4" w:space="0"/>
                    <w:right w:val="double" w:color="A5A5A5" w:sz="4" w:space="0"/>
                  </w:tcBorders>
                </w:tcPr>
                <w:p>
                  <w:pPr>
                    <w:rPr>
                      <w:bCs/>
                    </w:rPr>
                  </w:pPr>
                  <w:r>
                    <w:rPr>
                      <w:bCs/>
                    </w:rPr>
                    <w:t>For CA, the companies report whether the load is defined per CC or across all CCs.</w:t>
                  </w:r>
                </w:p>
              </w:tc>
            </w:tr>
          </w:tbl>
          <w:p>
            <w:pPr>
              <w:widowControl w:val="0"/>
              <w:rPr>
                <w:iCs/>
              </w:rPr>
            </w:pPr>
          </w:p>
          <w:p>
            <w:pPr>
              <w:widowControl w:val="0"/>
              <w:spacing w:before="120" w:beforeLines="50"/>
              <w:rPr>
                <w:b/>
                <w:highlight w:val="green"/>
              </w:rPr>
            </w:pPr>
            <w:r>
              <w:rPr>
                <w:b/>
                <w:highlight w:val="green"/>
              </w:rPr>
              <w:t>FL2 Proposal 3.3.1.1-1:</w:t>
            </w:r>
          </w:p>
          <w:p>
            <w:pPr>
              <w:pStyle w:val="48"/>
              <w:widowControl w:val="0"/>
              <w:numPr>
                <w:ilvl w:val="0"/>
                <w:numId w:val="56"/>
              </w:numPr>
              <w:spacing w:line="256" w:lineRule="auto"/>
              <w:rPr>
                <w:b/>
              </w:rPr>
            </w:pPr>
            <w:r>
              <w:rPr>
                <w:b/>
              </w:rPr>
              <w:t>For FR1, urban micro can be optionally considered</w:t>
            </w:r>
            <w:r>
              <w:rPr>
                <w:b/>
                <w:lang w:eastAsia="zh-CN"/>
              </w:rPr>
              <w:t>.</w:t>
            </w:r>
          </w:p>
          <w:p>
            <w:pPr>
              <w:pStyle w:val="48"/>
              <w:widowControl w:val="0"/>
              <w:numPr>
                <w:ilvl w:val="0"/>
                <w:numId w:val="56"/>
              </w:numPr>
              <w:spacing w:line="256" w:lineRule="auto"/>
              <w:rPr>
                <w:b/>
              </w:rPr>
            </w:pPr>
            <w:r>
              <w:rPr>
                <w:b/>
                <w:lang w:eastAsia="zh-CN"/>
              </w:rPr>
              <w:t xml:space="preserve">For FR2, urban micro is prioritized, with ISD=200 m is assumed. </w:t>
            </w:r>
          </w:p>
          <w:p>
            <w:pPr>
              <w:widowControl w:val="0"/>
              <w:spacing w:before="120" w:beforeLines="50"/>
              <w:rPr>
                <w:b/>
                <w:highlight w:val="green"/>
              </w:rPr>
            </w:pPr>
            <w:r>
              <w:rPr>
                <w:b/>
                <w:highlight w:val="green"/>
              </w:rPr>
              <w:t>FL1 Proposal 3.2-1:</w:t>
            </w:r>
          </w:p>
          <w:p>
            <w:pPr>
              <w:widowControl w:val="0"/>
              <w:rPr>
                <w:b/>
              </w:rPr>
            </w:pPr>
            <w:r>
              <w:rPr>
                <w:b/>
              </w:rPr>
              <w:t>It is up to company report which traffic model is used among the agreed three traffic models in their evaluations.</w:t>
            </w:r>
          </w:p>
          <w:p>
            <w:pPr>
              <w:pStyle w:val="48"/>
              <w:widowControl w:val="0"/>
              <w:numPr>
                <w:ilvl w:val="0"/>
                <w:numId w:val="14"/>
              </w:numPr>
              <w:spacing w:line="256" w:lineRule="auto"/>
              <w:rPr>
                <w:b/>
              </w:rPr>
            </w:pPr>
            <w:r>
              <w:rPr>
                <w:b/>
                <w:lang w:eastAsia="zh-CN"/>
              </w:rPr>
              <w:t>Other models may be used as well. Parameter (e.g. packet size and arrival rate) adjustment can be optionally considered and reported.</w:t>
            </w:r>
          </w:p>
          <w:p>
            <w:pPr>
              <w:pStyle w:val="48"/>
              <w:widowControl w:val="0"/>
              <w:spacing w:line="256" w:lineRule="auto"/>
              <w:ind w:left="0"/>
              <w:rPr>
                <w:b/>
              </w:rPr>
            </w:pPr>
          </w:p>
          <w:p>
            <w:pPr>
              <w:widowControl w:val="0"/>
              <w:rPr>
                <w:b/>
                <w:highlight w:val="green"/>
              </w:rPr>
            </w:pPr>
            <w:r>
              <w:rPr>
                <w:b/>
                <w:highlight w:val="green"/>
              </w:rPr>
              <w:t>FL2 Proposal 2.3.1-1:</w:t>
            </w:r>
          </w:p>
          <w:p>
            <w:pPr>
              <w:widowControl w:val="0"/>
              <w:rPr>
                <w:b/>
              </w:rPr>
            </w:pPr>
            <w:r>
              <w:rPr>
                <w:b/>
              </w:rPr>
              <w:t>For set 3 FR2 reference configuration, the total DL power level and EIRP limit is set as 33 dBm and 63 dBm respectively. Note EIRP limit is also scaled with the number of TxRU.</w:t>
            </w:r>
          </w:p>
          <w:p>
            <w:pPr>
              <w:widowControl w:val="0"/>
            </w:pPr>
          </w:p>
          <w:p>
            <w:pPr>
              <w:widowControl w:val="0"/>
              <w:rPr>
                <w:rFonts w:eastAsia="Malgun Gothic"/>
                <w:b/>
                <w:bCs/>
                <w:highlight w:val="green"/>
              </w:rPr>
            </w:pPr>
            <w:r>
              <w:rPr>
                <w:rFonts w:eastAsia="Malgun Gothic"/>
                <w:b/>
                <w:bCs/>
                <w:highlight w:val="green"/>
              </w:rPr>
              <w:t>Alternative Proposal 3.1.3-1:</w:t>
            </w:r>
          </w:p>
          <w:p>
            <w:pPr>
              <w:widowControl w:val="0"/>
              <w:rPr>
                <w:rFonts w:eastAsia="Malgun Gothic"/>
                <w:b/>
              </w:rPr>
            </w:pPr>
            <w:r>
              <w:rPr>
                <w:rFonts w:eastAsia="Malgun Gothic"/>
                <w:b/>
              </w:rPr>
              <w:t>For evaluation purpose, network energy saving gain is computed based on the energy consumptions for a technique and the baseline over the same duration.</w:t>
            </w:r>
          </w:p>
          <w:p>
            <w:pPr>
              <w:widowControl w:val="0"/>
              <w:rPr>
                <w:rFonts w:eastAsia="Malgun Gothic"/>
                <w:b/>
              </w:rPr>
            </w:pPr>
          </w:p>
          <w:p>
            <w:pPr>
              <w:widowControl w:val="0"/>
              <w:autoSpaceDE/>
              <w:jc w:val="left"/>
              <w:rPr>
                <w:rFonts w:ascii="Arial" w:hAnsi="Arial" w:cs="Arial"/>
                <w:b/>
                <w:bCs/>
              </w:rPr>
            </w:pPr>
            <w:r>
              <w:rPr>
                <w:rFonts w:ascii="Arial" w:hAnsi="Arial" w:cs="Arial"/>
                <w:b/>
                <w:bCs/>
                <w:highlight w:val="green"/>
              </w:rPr>
              <w:t>Agreement</w:t>
            </w:r>
          </w:p>
          <w:p>
            <w:pPr>
              <w:widowControl w:val="0"/>
              <w:autoSpaceDE/>
              <w:rPr>
                <w:rFonts w:ascii="Arial" w:hAnsi="Arial" w:cs="Arial"/>
                <w:b/>
                <w:bCs/>
              </w:rPr>
            </w:pPr>
            <w:r>
              <w:rPr>
                <w:rFonts w:ascii="Arial" w:hAnsi="Arial" w:cs="Arial"/>
                <w:b/>
                <w:bCs/>
              </w:rPr>
              <w:t xml:space="preserve">For initial evaluations, there is always a non-sleep mode assumed between adjacent sleep modes. </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pPr>
              <w:widowControl w:val="0"/>
              <w:rPr>
                <w:rFonts w:ascii="Arial" w:hAnsi="Arial" w:cs="Arial"/>
              </w:rPr>
            </w:pPr>
            <w:r>
              <w:rPr>
                <w:rFonts w:ascii="Arial" w:hAnsi="Arial" w:cs="Arial"/>
              </w:rPr>
              <w:t>In the evaluation,</w:t>
            </w:r>
          </w:p>
          <w:p>
            <w:pPr>
              <w:pStyle w:val="48"/>
              <w:widowControl w:val="0"/>
              <w:numPr>
                <w:ilvl w:val="0"/>
                <w:numId w:val="5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pPr>
              <w:pStyle w:val="48"/>
              <w:widowControl w:val="0"/>
              <w:numPr>
                <w:ilvl w:val="0"/>
                <w:numId w:val="54"/>
              </w:numPr>
              <w:adjustRightInd/>
              <w:spacing w:after="0" w:line="240" w:lineRule="auto"/>
              <w:textAlignment w:val="auto"/>
              <w:rPr>
                <w:rFonts w:ascii="Arial" w:hAnsi="Arial" w:cs="Arial"/>
              </w:rPr>
            </w:pPr>
            <w:r>
              <w:rPr>
                <w:rFonts w:ascii="Arial" w:hAnsi="Arial" w:cs="Arial"/>
              </w:rPr>
              <w:t>The following load scenarios are considered.</w:t>
            </w:r>
          </w:p>
          <w:tbl>
            <w:tblPr>
              <w:tblStyle w:val="26"/>
              <w:tblW w:w="0" w:type="auto"/>
              <w:tblInd w:w="0" w:type="dxa"/>
              <w:tblLayout w:type="autofit"/>
              <w:tblCellMar>
                <w:top w:w="0" w:type="dxa"/>
                <w:left w:w="0" w:type="dxa"/>
                <w:bottom w:w="0" w:type="dxa"/>
                <w:right w:w="0" w:type="dxa"/>
              </w:tblCellMar>
            </w:tblPr>
            <w:tblGrid>
              <w:gridCol w:w="2715"/>
              <w:gridCol w:w="5858"/>
            </w:tblGrid>
            <w:tr>
              <w:tblPrEx>
                <w:tblCellMar>
                  <w:top w:w="0" w:type="dxa"/>
                  <w:left w:w="0" w:type="dxa"/>
                  <w:bottom w:w="0" w:type="dxa"/>
                  <w:right w:w="0" w:type="dxa"/>
                </w:tblCellMar>
              </w:tblPrEx>
              <w:tc>
                <w:tcPr>
                  <w:tcW w:w="2715" w:type="dxa"/>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Load scenario</w:t>
                  </w:r>
                </w:p>
              </w:tc>
              <w:tc>
                <w:tcPr>
                  <w:tcW w:w="5858" w:type="dxa"/>
                  <w:tcBorders>
                    <w:top w:val="double" w:color="A5A5A5" w:sz="4" w:space="0"/>
                    <w:left w:val="nil"/>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Characteristics</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Idle/empty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5"/>
                    </w:numPr>
                    <w:adjustRightInd/>
                    <w:spacing w:after="0" w:line="240" w:lineRule="auto"/>
                    <w:contextualSpacing w:val="0"/>
                    <w:textAlignment w:val="auto"/>
                    <w:rPr>
                      <w:rFonts w:ascii="Arial" w:hAnsi="Arial" w:cs="Arial"/>
                      <w:lang w:eastAsia="zh-CN"/>
                    </w:rPr>
                  </w:pPr>
                  <w:r>
                    <w:rPr>
                      <w:rFonts w:ascii="Arial" w:hAnsi="Arial" w:cs="Arial"/>
                    </w:rPr>
                    <w:t>L = 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low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5"/>
                    </w:numPr>
                    <w:adjustRightInd/>
                    <w:spacing w:after="0" w:line="240" w:lineRule="auto"/>
                    <w:contextualSpacing w:val="0"/>
                    <w:textAlignment w:val="auto"/>
                    <w:rPr>
                      <w:rFonts w:ascii="Arial" w:hAnsi="Arial" w:cs="Arial"/>
                      <w:lang w:eastAsia="zh-CN"/>
                    </w:rPr>
                  </w:pPr>
                  <w:r>
                    <w:rPr>
                      <w:rFonts w:ascii="Arial" w:hAnsi="Arial" w:cs="Arial"/>
                    </w:rPr>
                    <w:t>0 &lt; L</w:t>
                  </w:r>
                  <w:r>
                    <w:rPr>
                      <w:rFonts w:hint="eastAsia" w:ascii="Arial" w:hAnsi="Arial" w:cs="Arial"/>
                    </w:rPr>
                    <w:t>≤</w:t>
                  </w:r>
                  <w:r>
                    <w:rPr>
                      <w:rFonts w:ascii="Arial" w:hAnsi="Arial" w:cs="Arial"/>
                    </w:rPr>
                    <w:t>15</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Light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hint="eastAsia" w:ascii="Arial" w:hAnsi="Arial" w:cs="Arial"/>
                    </w:rPr>
                    <w:t>≤</w:t>
                  </w:r>
                  <w:r>
                    <w:rPr>
                      <w:rFonts w:ascii="Arial" w:hAnsi="Arial" w:cs="Arial"/>
                    </w:rPr>
                    <w:t>30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Medium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5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55"/>
                    </w:numPr>
                    <w:adjustRightInd/>
                    <w:spacing w:after="0" w:line="240" w:lineRule="auto"/>
                    <w:contextualSpacing w:val="0"/>
                    <w:textAlignment w:val="auto"/>
                    <w:rPr>
                      <w:rFonts w:ascii="Arial" w:hAnsi="Arial" w:cs="Arial"/>
                      <w:lang w:eastAsia="zh-CN"/>
                    </w:rPr>
                  </w:pPr>
                  <w:r>
                    <w:rPr>
                      <w:rFonts w:ascii="Arial" w:hAnsi="Arial" w:cs="Arial"/>
                    </w:rPr>
                    <w:t>30 &lt; L</w:t>
                  </w:r>
                  <w:r>
                    <w:rPr>
                      <w:rFonts w:hint="eastAsia" w:ascii="Arial" w:hAnsi="Arial" w:cs="Arial"/>
                    </w:rPr>
                    <w:t>≤</w:t>
                  </w:r>
                  <w:r>
                    <w:rPr>
                      <w:rFonts w:ascii="Arial" w:hAnsi="Arial" w:cs="Arial"/>
                    </w:rPr>
                    <w:t>50</w:t>
                  </w:r>
                </w:p>
              </w:tc>
            </w:tr>
            <w:tr>
              <w:tblPrEx>
                <w:tblCellMar>
                  <w:top w:w="0" w:type="dxa"/>
                  <w:left w:w="0" w:type="dxa"/>
                  <w:bottom w:w="0" w:type="dxa"/>
                  <w:right w:w="0" w:type="dxa"/>
                </w:tblCellMar>
              </w:tblPrEx>
              <w:tc>
                <w:tcPr>
                  <w:tcW w:w="8573" w:type="dxa"/>
                  <w:gridSpan w:val="2"/>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For CA, the companies report whether the load is defined per CC or across all CCs.</w:t>
                  </w:r>
                </w:p>
              </w:tc>
            </w:tr>
          </w:tbl>
          <w:p>
            <w:pPr>
              <w:widowControl w:val="0"/>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pPr>
              <w:pStyle w:val="48"/>
              <w:widowControl w:val="0"/>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pPr>
              <w:pStyle w:val="48"/>
              <w:widowControl w:val="0"/>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Style w:val="26"/>
              <w:tblW w:w="4521" w:type="dxa"/>
              <w:jc w:val="center"/>
              <w:tblLayout w:type="autofit"/>
              <w:tblCellMar>
                <w:top w:w="0" w:type="dxa"/>
                <w:left w:w="0" w:type="dxa"/>
                <w:bottom w:w="0" w:type="dxa"/>
                <w:right w:w="0" w:type="dxa"/>
              </w:tblCellMar>
            </w:tblPr>
            <w:tblGrid>
              <w:gridCol w:w="1382"/>
              <w:gridCol w:w="1438"/>
              <w:gridCol w:w="1701"/>
            </w:tblGrid>
            <w:tr>
              <w:tblPrEx>
                <w:tblCellMar>
                  <w:top w:w="0" w:type="dxa"/>
                  <w:left w:w="0" w:type="dxa"/>
                  <w:bottom w:w="0" w:type="dxa"/>
                  <w:right w:w="0" w:type="dxa"/>
                </w:tblCellMar>
              </w:tblPrEx>
              <w:trPr>
                <w:jc w:val="center"/>
              </w:trPr>
              <w:tc>
                <w:tcPr>
                  <w:tcW w:w="1382" w:type="dxa"/>
                  <w:vMerge w:val="restart"/>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color="A5A5A5" w:sz="4" w:space="0"/>
                    <w:left w:val="nil"/>
                    <w:bottom w:val="double" w:color="A5A5A5" w:sz="4" w:space="0"/>
                    <w:right w:val="double" w:color="A5A5A5" w:sz="4" w:space="0"/>
                  </w:tcBorders>
                  <w:tcMar>
                    <w:top w:w="0" w:type="dxa"/>
                    <w:left w:w="108" w:type="dxa"/>
                    <w:bottom w:w="0" w:type="dxa"/>
                    <w:right w:w="108" w:type="dxa"/>
                  </w:tcMar>
                  <w:vAlign w:val="center"/>
                </w:tcPr>
                <w:p>
                  <w:pPr>
                    <w:pStyle w:val="69"/>
                    <w:rPr>
                      <w:rFonts w:cs="Arial"/>
                      <w:b w:val="0"/>
                      <w:strike/>
                      <w:lang w:eastAsia="en-US"/>
                    </w:rPr>
                  </w:pPr>
                  <w:r>
                    <w:rPr>
                      <w:b w:val="0"/>
                      <w:bCs/>
                      <w:strike/>
                      <w:lang w:eastAsia="en-US"/>
                    </w:rPr>
                    <w:t xml:space="preserve">Additional transition energy </w:t>
                  </w:r>
                  <m:oMath>
                    <m:sSub>
                      <m:sSubPr>
                        <m:ctrlPr>
                          <w:rPr>
                            <w:rFonts w:ascii="Cambria Math" w:hAnsi="Cambria Math" w:eastAsia="宋体" w:cs="Arial"/>
                            <w:bCs/>
                            <w:i/>
                            <w:iCs/>
                            <w:strike/>
                            <w:lang w:eastAsia="ja-JP"/>
                          </w:rPr>
                        </m:ctrlPr>
                      </m:sSubPr>
                      <m:e>
                        <m:r>
                          <m:rPr>
                            <m:sty m:val="bi"/>
                          </m:rPr>
                          <w:rPr>
                            <w:rFonts w:ascii="Cambria Math" w:hAnsi="Cambria Math"/>
                            <w:strike/>
                            <w:lang w:eastAsia="en-US"/>
                          </w:rPr>
                          <m:t>E</m:t>
                        </m:r>
                        <m:ctrlPr>
                          <w:rPr>
                            <w:rFonts w:ascii="Cambria Math" w:hAnsi="Cambria Math" w:eastAsia="宋体" w:cs="Arial"/>
                            <w:bCs/>
                            <w:i/>
                            <w:iCs/>
                            <w:strike/>
                            <w:lang w:eastAsia="ja-JP"/>
                          </w:rPr>
                        </m:ctrlPr>
                      </m:e>
                      <m:sub>
                        <m:r>
                          <m:rPr>
                            <m:sty m:val="bi"/>
                          </m:rPr>
                          <w:rPr>
                            <w:rFonts w:ascii="Cambria Math" w:hAnsi="Cambria Math"/>
                            <w:strike/>
                            <w:lang w:eastAsia="en-US"/>
                          </w:rPr>
                          <m:t>i</m:t>
                        </m:r>
                        <m:ctrlPr>
                          <w:rPr>
                            <w:rFonts w:ascii="Cambria Math" w:hAnsi="Cambria Math" w:eastAsia="宋体" w:cs="Arial"/>
                            <w:bCs/>
                            <w:i/>
                            <w:iCs/>
                            <w:strike/>
                            <w:lang w:eastAsia="ja-JP"/>
                          </w:rPr>
                        </m:ctrlPr>
                      </m:sub>
                    </m:sSub>
                  </m:oMath>
                </w:p>
              </w:tc>
            </w:tr>
            <w:tr>
              <w:tblPrEx>
                <w:tblCellMar>
                  <w:top w:w="0" w:type="dxa"/>
                  <w:left w:w="0" w:type="dxa"/>
                  <w:bottom w:w="0" w:type="dxa"/>
                  <w:right w:w="0" w:type="dxa"/>
                </w:tblCellMar>
              </w:tblPrEx>
              <w:trPr>
                <w:jc w:val="center"/>
              </w:trPr>
              <w:tc>
                <w:tcPr>
                  <w:tcW w:w="0" w:type="auto"/>
                  <w:vMerge w:val="continue"/>
                  <w:tcBorders>
                    <w:top w:val="double" w:color="A5A5A5" w:sz="4" w:space="0"/>
                    <w:left w:val="double" w:color="A5A5A5" w:sz="4" w:space="0"/>
                    <w:bottom w:val="double" w:color="A5A5A5" w:sz="4" w:space="0"/>
                    <w:right w:val="double" w:color="A5A5A5" w:sz="4" w:space="0"/>
                  </w:tcBorders>
                  <w:vAlign w:val="center"/>
                </w:tcPr>
                <w:p>
                  <w:pPr>
                    <w:autoSpaceDE/>
                    <w:autoSpaceDN/>
                    <w:jc w:val="left"/>
                    <w:rPr>
                      <w:rFonts w:ascii="Arial" w:hAnsi="Arial" w:eastAsia="Malgun Gothic" w:cs="Arial"/>
                      <w:strike/>
                      <w:lang w:eastAsia="en-US"/>
                    </w:rPr>
                  </w:pP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2</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22500</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1088</w:t>
                  </w:r>
                </w:p>
              </w:tc>
            </w:tr>
          </w:tbl>
          <w:p>
            <w:pPr>
              <w:widowControl w:val="0"/>
              <w:rPr>
                <w:rFonts w:ascii="Arial" w:hAnsi="Arial" w:eastAsia="Malgun Gothic" w:cs="Arial"/>
                <w:color w:val="1F497D"/>
              </w:rPr>
            </w:pPr>
          </w:p>
          <w:p>
            <w:pPr>
              <w:widowControl w:val="0"/>
              <w:rPr>
                <w:rFonts w:ascii="Arial" w:hAnsi="Arial" w:cs="Arial"/>
                <w:b/>
                <w:bCs/>
              </w:rPr>
            </w:pPr>
            <w:r>
              <w:rPr>
                <w:rFonts w:ascii="Arial" w:hAnsi="Arial" w:cs="Arial"/>
                <w:b/>
                <w:bCs/>
                <w:highlight w:val="green"/>
              </w:rPr>
              <w:t>Proposal 2.1.4.2-1-rev1:</w:t>
            </w:r>
          </w:p>
          <w:p>
            <w:pPr>
              <w:pStyle w:val="48"/>
              <w:widowControl w:val="0"/>
              <w:numPr>
                <w:ilvl w:val="0"/>
                <w:numId w:val="57"/>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pPr>
              <w:pStyle w:val="48"/>
              <w:widowControl w:val="0"/>
              <w:numPr>
                <w:ilvl w:val="0"/>
                <w:numId w:val="5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pPr>
              <w:widowControl w:val="0"/>
              <w:overflowPunct w:val="0"/>
              <w:jc w:val="left"/>
              <w:rPr>
                <w:rFonts w:ascii="Arial" w:hAnsi="Arial" w:cs="Arial"/>
                <w:b/>
                <w:bCs/>
              </w:rPr>
            </w:pPr>
          </w:p>
          <w:p>
            <w:pPr>
              <w:widowControl w:val="0"/>
              <w:rPr>
                <w:rFonts w:ascii="Arial" w:hAnsi="Arial" w:cs="Arial"/>
                <w:u w:val="single"/>
              </w:rPr>
            </w:pPr>
            <w:r>
              <w:rPr>
                <w:rFonts w:ascii="Arial" w:hAnsi="Arial" w:cs="Arial"/>
                <w:b/>
                <w:bCs/>
                <w:u w:val="single"/>
              </w:rPr>
              <w:t>Conclusion</w:t>
            </w:r>
          </w:p>
          <w:p>
            <w:pPr>
              <w:pStyle w:val="48"/>
              <w:widowControl w:val="0"/>
              <w:numPr>
                <w:ilvl w:val="0"/>
                <w:numId w:val="58"/>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34"/>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pPr>
              <w:pStyle w:val="48"/>
              <w:widowControl w:val="0"/>
              <w:numPr>
                <w:ilvl w:val="0"/>
                <w:numId w:val="34"/>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pPr>
              <w:pStyle w:val="48"/>
              <w:widowControl w:val="0"/>
              <w:numPr>
                <w:ilvl w:val="0"/>
                <w:numId w:val="34"/>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pPr>
              <w:widowControl w:val="0"/>
              <w:rPr>
                <w:rFonts w:ascii="Arial" w:hAnsi="Arial" w:cs="Arial"/>
                <w:b/>
                <w:bCs/>
              </w:rPr>
            </w:pPr>
            <w:r>
              <w:rPr>
                <w:rFonts w:ascii="Arial" w:hAnsi="Arial" w:cs="Arial"/>
                <w:b/>
                <w:bCs/>
              </w:rPr>
              <w:t>It is up to company report the use of UE C-DRX.</w:t>
            </w:r>
          </w:p>
          <w:p>
            <w:pPr>
              <w:pStyle w:val="48"/>
              <w:widowControl w:val="0"/>
              <w:numPr>
                <w:ilvl w:val="0"/>
                <w:numId w:val="14"/>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pPr>
              <w:pStyle w:val="48"/>
              <w:widowControl w:val="0"/>
              <w:numPr>
                <w:ilvl w:val="0"/>
                <w:numId w:val="14"/>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Style w:val="26"/>
              <w:tblW w:w="5000" w:type="pct"/>
              <w:tblInd w:w="0" w:type="dxa"/>
              <w:tblLayout w:type="autofit"/>
              <w:tblCellMar>
                <w:top w:w="0" w:type="dxa"/>
                <w:left w:w="0" w:type="dxa"/>
                <w:bottom w:w="0" w:type="dxa"/>
                <w:right w:w="0" w:type="dxa"/>
              </w:tblCellMar>
            </w:tblPr>
            <w:tblGrid>
              <w:gridCol w:w="2265"/>
              <w:gridCol w:w="1703"/>
              <w:gridCol w:w="1799"/>
              <w:gridCol w:w="3874"/>
            </w:tblGrid>
            <w:tr>
              <w:tblPrEx>
                <w:tblCellMar>
                  <w:top w:w="0" w:type="dxa"/>
                  <w:left w:w="0" w:type="dxa"/>
                  <w:bottom w:w="0" w:type="dxa"/>
                  <w:right w:w="0" w:type="dxa"/>
                </w:tblCellMar>
              </w:tblPrEx>
              <w:trPr>
                <w:trHeight w:val="20" w:hRule="atLeast"/>
              </w:trPr>
              <w:tc>
                <w:tcPr>
                  <w:tcW w:w="1175"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Traffic type</w:t>
                  </w:r>
                </w:p>
              </w:tc>
              <w:tc>
                <w:tcPr>
                  <w:tcW w:w="8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 xml:space="preserve">FTP </w:t>
                  </w:r>
                </w:p>
              </w:tc>
              <w:tc>
                <w:tcPr>
                  <w:tcW w:w="93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IM</w:t>
                  </w:r>
                </w:p>
              </w:tc>
              <w:tc>
                <w:tcPr>
                  <w:tcW w:w="200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VoIP</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Model</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FTP model 3</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FTP model 3</w:t>
                  </w:r>
                </w:p>
              </w:tc>
              <w:tc>
                <w:tcPr>
                  <w:tcW w:w="2009" w:type="pct"/>
                  <w:vMerge w:val="restar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As defined in R1-070674.</w:t>
                  </w:r>
                </w:p>
                <w:p>
                  <w:pPr>
                    <w:pStyle w:val="71"/>
                    <w:autoSpaceDE w:val="0"/>
                    <w:autoSpaceDN w:val="0"/>
                    <w:rPr>
                      <w:lang w:eastAsia="zh-TW"/>
                    </w:rPr>
                  </w:pPr>
                  <w:r>
                    <w:rPr>
                      <w:lang w:eastAsia="zh-TW"/>
                    </w:rPr>
                    <w:t>Assume max two packets bundled.</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0.5 Mbytes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0.1 Mbytes</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200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2 sec</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160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 xml:space="preserve">320 ms </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40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80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10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FR1: 8 ms</w:t>
                  </w:r>
                </w:p>
                <w:p>
                  <w:pPr>
                    <w:pStyle w:val="71"/>
                    <w:autoSpaceDE w:val="0"/>
                    <w:autoSpaceDN w:val="0"/>
                    <w:rPr>
                      <w:b/>
                      <w:bCs/>
                      <w:lang w:eastAsia="zh-TW"/>
                    </w:rPr>
                  </w:pPr>
                  <w:r>
                    <w:rPr>
                      <w:lang w:eastAsia="zh-TW"/>
                    </w:rPr>
                    <w:t>FR2: 4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10 ms</w:t>
                  </w:r>
                </w:p>
                <w:p>
                  <w:pPr>
                    <w:pStyle w:val="71"/>
                    <w:autoSpaceDE w:val="0"/>
                    <w:autoSpaceDN w:val="0"/>
                    <w:rPr>
                      <w:b/>
                      <w:bCs/>
                      <w:lang w:eastAsia="zh-TW"/>
                    </w:rPr>
                  </w:pPr>
                  <w:r>
                    <w:rPr>
                      <w:lang w:eastAsia="zh-TW"/>
                    </w:rPr>
                    <w:t>FR2: 5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4 ms</w:t>
                  </w:r>
                </w:p>
                <w:p>
                  <w:pPr>
                    <w:pStyle w:val="71"/>
                    <w:autoSpaceDE w:val="0"/>
                    <w:autoSpaceDN w:val="0"/>
                    <w:rPr>
                      <w:lang w:eastAsia="zh-TW"/>
                    </w:rPr>
                  </w:pPr>
                  <w:r>
                    <w:rPr>
                      <w:lang w:eastAsia="zh-TW"/>
                    </w:rPr>
                    <w:t>FR2: 2 ms</w:t>
                  </w:r>
                </w:p>
              </w:tc>
            </w:tr>
          </w:tbl>
          <w:p>
            <w:pPr>
              <w:widowControl w:val="0"/>
              <w:overflowPunct w:val="0"/>
              <w:jc w:val="left"/>
              <w:rPr>
                <w:rFonts w:ascii="Arial" w:hAnsi="Arial" w:eastAsia="Malgun Gothic" w:cs="Arial"/>
                <w:b/>
                <w:bCs/>
              </w:rPr>
            </w:pP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37"/>
              </w:numPr>
              <w:autoSpaceDE/>
              <w:adjustRightInd/>
              <w:spacing w:after="0" w:line="240" w:lineRule="auto"/>
              <w:ind w:left="72" w:leftChars="36"/>
              <w:textAlignment w:val="auto"/>
              <w:rPr>
                <w:rFonts w:ascii="Arial" w:hAnsi="Arial" w:cs="Arial"/>
                <w:b/>
                <w:bCs/>
              </w:rPr>
            </w:pPr>
            <w:r>
              <w:rPr>
                <w:rFonts w:ascii="Arial" w:hAnsi="Arial" w:cs="Arial"/>
                <w:b/>
                <w:bCs/>
              </w:rPr>
              <w:t>For FR1, adopt the Reference SLS configurations in Annex-A in R1-2208312 as baseline SLS assumptions.</w:t>
            </w:r>
          </w:p>
          <w:p>
            <w:pPr>
              <w:pStyle w:val="48"/>
              <w:widowControl w:val="0"/>
              <w:numPr>
                <w:ilvl w:val="1"/>
                <w:numId w:val="14"/>
              </w:numPr>
              <w:autoSpaceDE/>
              <w:adjustRightInd/>
              <w:spacing w:after="0" w:line="240" w:lineRule="auto"/>
              <w:ind w:left="492" w:leftChars="246"/>
              <w:textAlignment w:val="auto"/>
              <w:rPr>
                <w:rFonts w:ascii="Arial" w:hAnsi="Arial" w:cs="Arial"/>
                <w:b/>
                <w:bCs/>
              </w:rPr>
            </w:pPr>
            <w:r>
              <w:rPr>
                <w:rFonts w:ascii="Arial" w:hAnsi="Arial" w:cs="Arial"/>
                <w:b/>
                <w:bCs/>
              </w:rPr>
              <w:t>Other carrier frequencies can be optionally considered.</w:t>
            </w:r>
          </w:p>
          <w:p>
            <w:pPr>
              <w:pStyle w:val="48"/>
              <w:widowControl w:val="0"/>
              <w:numPr>
                <w:ilvl w:val="0"/>
                <w:numId w:val="37"/>
              </w:numPr>
              <w:autoSpaceDE/>
              <w:adjustRightInd/>
              <w:spacing w:after="0" w:line="240" w:lineRule="auto"/>
              <w:ind w:left="72" w:leftChars="36"/>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pPr>
              <w:pStyle w:val="48"/>
              <w:widowControl w:val="0"/>
              <w:numPr>
                <w:ilvl w:val="1"/>
                <w:numId w:val="14"/>
              </w:numPr>
              <w:autoSpaceDE/>
              <w:adjustRightInd/>
              <w:spacing w:after="0" w:line="240" w:lineRule="auto"/>
              <w:ind w:left="492" w:leftChars="246"/>
              <w:textAlignment w:val="auto"/>
              <w:rPr>
                <w:rFonts w:ascii="Arial" w:hAnsi="Arial" w:cs="Arial"/>
                <w:b/>
                <w:bCs/>
              </w:rPr>
            </w:pPr>
            <w:r>
              <w:rPr>
                <w:rFonts w:ascii="Arial" w:hAnsi="Arial" w:cs="Arial"/>
                <w:b/>
                <w:bCs/>
              </w:rPr>
              <w:t>BS antenna configurations</w:t>
            </w:r>
          </w:p>
          <w:p>
            <w:pPr>
              <w:pStyle w:val="48"/>
              <w:widowControl w:val="0"/>
              <w:numPr>
                <w:ilvl w:val="2"/>
                <w:numId w:val="14"/>
              </w:numPr>
              <w:autoSpaceDE/>
              <w:adjustRightInd/>
              <w:spacing w:after="0" w:line="240" w:lineRule="auto"/>
              <w:ind w:left="912" w:leftChars="456"/>
              <w:textAlignment w:val="auto"/>
              <w:rPr>
                <w:rFonts w:ascii="Arial" w:hAnsi="Arial" w:cs="Arial"/>
                <w:b/>
                <w:bCs/>
              </w:rPr>
            </w:pPr>
            <w:r>
              <w:rPr>
                <w:rFonts w:ascii="Arial" w:hAnsi="Arial" w:cs="Arial"/>
                <w:b/>
                <w:bCs/>
              </w:rPr>
              <w:t>2 TxRU (M, N, P, Mg, Ng; Mp, Np) = (4,8,2,2,2;1,1)</w:t>
            </w:r>
          </w:p>
          <w:p>
            <w:pPr>
              <w:pStyle w:val="48"/>
              <w:widowControl w:val="0"/>
              <w:numPr>
                <w:ilvl w:val="2"/>
                <w:numId w:val="14"/>
              </w:numPr>
              <w:autoSpaceDE/>
              <w:adjustRightInd/>
              <w:spacing w:after="0" w:line="240" w:lineRule="auto"/>
              <w:ind w:left="912" w:leftChars="456"/>
              <w:textAlignment w:val="auto"/>
              <w:rPr>
                <w:rFonts w:ascii="Arial" w:hAnsi="Arial" w:cs="Arial"/>
                <w:b/>
                <w:bCs/>
              </w:rPr>
            </w:pPr>
            <w:r>
              <w:rPr>
                <w:rFonts w:ascii="Arial" w:hAnsi="Arial" w:cs="Arial"/>
                <w:b/>
                <w:bCs/>
              </w:rPr>
              <w:t>(dH, dV) = (0.5</w:t>
            </w:r>
            <w:r>
              <w:rPr>
                <w:rFonts w:hint="eastAsia" w:ascii="Arial" w:hAnsi="Arial" w:cs="Arial"/>
                <w:b/>
                <w:bCs/>
              </w:rPr>
              <w:t>λ</w:t>
            </w:r>
            <w:r>
              <w:rPr>
                <w:rFonts w:ascii="Arial" w:hAnsi="Arial" w:cs="Arial"/>
                <w:b/>
                <w:bCs/>
              </w:rPr>
              <w:t>, 0.8</w:t>
            </w:r>
            <w:r>
              <w:rPr>
                <w:rFonts w:hint="eastAsia" w:ascii="Arial" w:hAnsi="Arial" w:cs="Arial"/>
                <w:b/>
                <w:bCs/>
              </w:rPr>
              <w:t>λ</w:t>
            </w:r>
            <w:r>
              <w:rPr>
                <w:rFonts w:ascii="Arial" w:hAnsi="Arial" w:cs="Arial"/>
                <w:b/>
                <w:bCs/>
              </w:rPr>
              <w:t>) (dg,H, dg,V) = (4.0</w:t>
            </w:r>
            <w:r>
              <w:rPr>
                <w:rFonts w:hint="eastAsia" w:ascii="Arial" w:hAnsi="Arial" w:cs="Arial"/>
                <w:b/>
                <w:bCs/>
              </w:rPr>
              <w:t>λ</w:t>
            </w:r>
            <w:r>
              <w:rPr>
                <w:rFonts w:ascii="Arial" w:hAnsi="Arial" w:cs="Arial"/>
                <w:b/>
                <w:bCs/>
              </w:rPr>
              <w:t>, 3.6</w:t>
            </w:r>
            <w:r>
              <w:rPr>
                <w:rFonts w:hint="eastAsia" w:ascii="Arial" w:hAnsi="Arial" w:cs="Arial"/>
                <w:b/>
                <w:bCs/>
              </w:rPr>
              <w:t>λ</w:t>
            </w:r>
            <w:r>
              <w:rPr>
                <w:rFonts w:ascii="Arial" w:hAnsi="Arial" w:cs="Arial"/>
                <w:b/>
                <w:bCs/>
              </w:rPr>
              <w:t>)</w:t>
            </w:r>
          </w:p>
          <w:p>
            <w:pPr>
              <w:pStyle w:val="48"/>
              <w:widowControl w:val="0"/>
              <w:numPr>
                <w:ilvl w:val="1"/>
                <w:numId w:val="14"/>
              </w:numPr>
              <w:autoSpaceDE/>
              <w:adjustRightInd/>
              <w:spacing w:after="0" w:line="240" w:lineRule="auto"/>
              <w:ind w:left="492" w:leftChars="246"/>
              <w:textAlignment w:val="auto"/>
              <w:rPr>
                <w:rFonts w:ascii="Arial" w:hAnsi="Arial" w:cs="Arial"/>
                <w:b/>
                <w:bCs/>
              </w:rPr>
            </w:pPr>
            <w:r>
              <w:rPr>
                <w:rFonts w:ascii="Arial" w:hAnsi="Arial" w:cs="Arial"/>
                <w:b/>
                <w:bCs/>
              </w:rPr>
              <w:t>Traffic model &amp; UE density</w:t>
            </w:r>
          </w:p>
          <w:p>
            <w:pPr>
              <w:pStyle w:val="48"/>
              <w:widowControl w:val="0"/>
              <w:numPr>
                <w:ilvl w:val="2"/>
                <w:numId w:val="14"/>
              </w:numPr>
              <w:autoSpaceDE/>
              <w:adjustRightInd/>
              <w:spacing w:after="0" w:line="240" w:lineRule="auto"/>
              <w:ind w:left="912" w:leftChars="456"/>
              <w:textAlignment w:val="auto"/>
              <w:rPr>
                <w:rFonts w:ascii="Arial" w:hAnsi="Arial" w:cs="Arial"/>
                <w:b/>
                <w:bCs/>
              </w:rPr>
            </w:pPr>
            <w:r>
              <w:rPr>
                <w:rFonts w:ascii="Arial" w:hAnsi="Arial" w:cs="Arial"/>
                <w:b/>
                <w:bCs/>
              </w:rPr>
              <w:t>Follow previous agreements with adjusted UE density</w:t>
            </w:r>
          </w:p>
          <w:p>
            <w:pPr>
              <w:pStyle w:val="48"/>
              <w:widowControl w:val="0"/>
              <w:numPr>
                <w:ilvl w:val="1"/>
                <w:numId w:val="14"/>
              </w:numPr>
              <w:autoSpaceDE/>
              <w:adjustRightInd/>
              <w:spacing w:after="0" w:line="240" w:lineRule="auto"/>
              <w:ind w:left="492" w:leftChars="246"/>
              <w:textAlignment w:val="auto"/>
              <w:rPr>
                <w:rFonts w:ascii="Arial" w:hAnsi="Arial" w:cs="Arial"/>
                <w:b/>
                <w:bCs/>
              </w:rPr>
            </w:pPr>
            <w:r>
              <w:rPr>
                <w:rFonts w:ascii="Arial" w:hAnsi="Arial" w:cs="Arial"/>
                <w:b/>
                <w:bCs/>
              </w:rPr>
              <w:t>Total transmit power per TRxP</w:t>
            </w:r>
          </w:p>
          <w:p>
            <w:pPr>
              <w:pStyle w:val="48"/>
              <w:widowControl w:val="0"/>
              <w:numPr>
                <w:ilvl w:val="2"/>
                <w:numId w:val="14"/>
              </w:numPr>
              <w:autoSpaceDE/>
              <w:adjustRightInd/>
              <w:spacing w:after="0" w:line="240" w:lineRule="auto"/>
              <w:ind w:left="912" w:leftChars="456"/>
              <w:textAlignment w:val="auto"/>
              <w:rPr>
                <w:rFonts w:ascii="Arial" w:hAnsi="Arial" w:cs="Arial"/>
                <w:b/>
                <w:bCs/>
              </w:rPr>
            </w:pPr>
            <w:r>
              <w:rPr>
                <w:rFonts w:ascii="Arial" w:hAnsi="Arial" w:cs="Arial"/>
                <w:b/>
                <w:bCs/>
              </w:rPr>
              <w:t xml:space="preserve">Value scaled from that in set 3 reference configuration considering BW </w:t>
            </w:r>
          </w:p>
          <w:p>
            <w:pPr>
              <w:pStyle w:val="48"/>
              <w:widowControl w:val="0"/>
              <w:numPr>
                <w:ilvl w:val="0"/>
                <w:numId w:val="37"/>
              </w:numPr>
              <w:autoSpaceDE/>
              <w:adjustRightInd/>
              <w:spacing w:after="0" w:line="240" w:lineRule="auto"/>
              <w:ind w:left="72" w:leftChars="36"/>
              <w:textAlignment w:val="auto"/>
              <w:rPr>
                <w:rFonts w:ascii="Arial" w:hAnsi="Arial" w:cs="Arial"/>
                <w:b/>
                <w:bCs/>
                <w:color w:val="FF0000"/>
              </w:rPr>
            </w:pPr>
            <w:r>
              <w:rPr>
                <w:rFonts w:ascii="Arial" w:hAnsi="Arial" w:cs="Arial"/>
                <w:b/>
                <w:bCs/>
                <w:color w:val="FF0000"/>
              </w:rPr>
              <w:t>Further adjustment/clarification can be discussed in the next meeting.</w:t>
            </w:r>
          </w:p>
          <w:p>
            <w:pPr>
              <w:widowControl w:val="0"/>
              <w:rPr>
                <w:iCs/>
                <w:lang w:val="en-GB"/>
              </w:rPr>
            </w:pPr>
          </w:p>
        </w:tc>
      </w:tr>
    </w:tbl>
    <w:p/>
    <w:p>
      <w:pPr>
        <w:pStyle w:val="3"/>
        <w:numPr>
          <w:ilvl w:val="0"/>
          <w:numId w:val="0"/>
        </w:numPr>
      </w:pPr>
      <w:r>
        <w:t>B. Agreed SLS configurations for FR1</w:t>
      </w:r>
    </w:p>
    <w:p>
      <w:pPr>
        <w:jc w:val="center"/>
        <w:rPr>
          <w:b/>
          <w:lang w:val="en-GB"/>
        </w:rPr>
      </w:pPr>
      <w:r>
        <w:rPr>
          <w:b/>
          <w:lang w:val="en-GB"/>
        </w:rPr>
        <w:t>Table A The evaluation assumption for BS power consumption model</w:t>
      </w:r>
    </w:p>
    <w:tbl>
      <w:tblPr>
        <w:tblStyle w:val="27"/>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501"/>
        <w:gridCol w:w="3261"/>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noWrap/>
          </w:tcPr>
          <w:p>
            <w:pPr>
              <w:widowControl w:val="0"/>
            </w:pPr>
          </w:p>
        </w:tc>
        <w:tc>
          <w:tcPr>
            <w:tcW w:w="9040" w:type="dxa"/>
            <w:gridSpan w:val="3"/>
          </w:tcPr>
          <w:p>
            <w:pPr>
              <w:widowControl w:val="0"/>
              <w:jc w:val="center"/>
            </w:pPr>
            <w:r>
              <w:rPr>
                <w:bCs/>
              </w:rPr>
              <w:t>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Basic parameters</w:t>
            </w:r>
          </w:p>
        </w:tc>
        <w:tc>
          <w:tcPr>
            <w:tcW w:w="2501" w:type="dxa"/>
          </w:tcPr>
          <w:p>
            <w:pPr>
              <w:widowControl w:val="0"/>
              <w:rPr>
                <w:bCs/>
              </w:rPr>
            </w:pPr>
            <w:r>
              <w:rPr>
                <w:bCs/>
              </w:rPr>
              <w:t>Channel model</w:t>
            </w:r>
          </w:p>
        </w:tc>
        <w:tc>
          <w:tcPr>
            <w:tcW w:w="3261"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c>
          <w:tcPr>
            <w:tcW w:w="3278"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Device deployment</w:t>
            </w:r>
          </w:p>
        </w:tc>
        <w:tc>
          <w:tcPr>
            <w:tcW w:w="3261" w:type="dxa"/>
          </w:tcPr>
          <w:p>
            <w:pPr>
              <w:widowControl w:val="0"/>
            </w:pPr>
            <w:r>
              <w:t>80% indoor, 20% outdoor</w:t>
            </w:r>
          </w:p>
        </w:tc>
        <w:tc>
          <w:tcPr>
            <w:tcW w:w="3278" w:type="dxa"/>
          </w:tcPr>
          <w:p>
            <w:pPr>
              <w:widowControl w:val="0"/>
            </w:pPr>
            <w:r>
              <w:t>80% indoor, 20%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Inter-site distance</w:t>
            </w:r>
          </w:p>
        </w:tc>
        <w:tc>
          <w:tcPr>
            <w:tcW w:w="3261" w:type="dxa"/>
          </w:tcPr>
          <w:p>
            <w:pPr>
              <w:widowControl w:val="0"/>
            </w:pPr>
            <w:r>
              <w:t>500m</w:t>
            </w:r>
          </w:p>
        </w:tc>
        <w:tc>
          <w:tcPr>
            <w:tcW w:w="3278" w:type="dxa"/>
          </w:tcPr>
          <w:p>
            <w:pPr>
              <w:widowControl w:val="0"/>
            </w:pPr>
            <w: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Network Topology</w:t>
            </w:r>
          </w:p>
        </w:tc>
        <w:tc>
          <w:tcPr>
            <w:tcW w:w="3261" w:type="dxa"/>
          </w:tcPr>
          <w:p>
            <w:pPr>
              <w:widowControl w:val="0"/>
            </w:pPr>
            <w:r>
              <w:t>7*3 Sector</w:t>
            </w:r>
          </w:p>
        </w:tc>
        <w:tc>
          <w:tcPr>
            <w:tcW w:w="3278" w:type="dxa"/>
          </w:tcPr>
          <w:p>
            <w:pPr>
              <w:widowControl w:val="0"/>
            </w:pPr>
            <w:r>
              <w:t>7*3 Sector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Carrier Frequency</w:t>
            </w:r>
          </w:p>
        </w:tc>
        <w:tc>
          <w:tcPr>
            <w:tcW w:w="3261" w:type="dxa"/>
            <w:noWrap/>
          </w:tcPr>
          <w:p>
            <w:pPr>
              <w:widowControl w:val="0"/>
            </w:pPr>
            <w:r>
              <w:t>2.1GHz</w:t>
            </w:r>
          </w:p>
        </w:tc>
        <w:tc>
          <w:tcPr>
            <w:tcW w:w="3278" w:type="dxa"/>
            <w:noWrap/>
          </w:tcPr>
          <w:p>
            <w:pPr>
              <w:widowControl w:val="0"/>
            </w:pPr>
            <w:r>
              <w:rPr>
                <w:rFonts w:eastAsia="MS Mincho"/>
                <w:highlight w:val="yellow"/>
                <w:lang w:eastAsia="ja-JP"/>
              </w:rPr>
              <w:t>4.0GHz or 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Multiple access</w:t>
            </w:r>
          </w:p>
        </w:tc>
        <w:tc>
          <w:tcPr>
            <w:tcW w:w="3261" w:type="dxa"/>
            <w:noWrap/>
          </w:tcPr>
          <w:p>
            <w:pPr>
              <w:widowControl w:val="0"/>
            </w:pPr>
            <w:r>
              <w:t>OFDMA</w:t>
            </w:r>
          </w:p>
        </w:tc>
        <w:tc>
          <w:tcPr>
            <w:tcW w:w="3278" w:type="dxa"/>
            <w:noWrap/>
          </w:tcPr>
          <w:p>
            <w:pPr>
              <w:widowControl w:val="0"/>
            </w:pPr>
            <w:r>
              <w:t>OFDMA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Duplexing</w:t>
            </w:r>
          </w:p>
        </w:tc>
        <w:tc>
          <w:tcPr>
            <w:tcW w:w="3261" w:type="dxa"/>
            <w:noWrap/>
          </w:tcPr>
          <w:p>
            <w:pPr>
              <w:widowControl w:val="0"/>
            </w:pPr>
            <w:r>
              <w:t xml:space="preserve">FDD </w:t>
            </w:r>
            <w:r>
              <w:rPr>
                <w:color w:val="FF0000"/>
              </w:rPr>
              <w:t>(for set 2 ref. config)</w:t>
            </w:r>
          </w:p>
        </w:tc>
        <w:tc>
          <w:tcPr>
            <w:tcW w:w="3278" w:type="dxa"/>
            <w:noWrap/>
          </w:tcPr>
          <w:p>
            <w:pPr>
              <w:widowControl w:val="0"/>
            </w:pPr>
            <w:r>
              <w:t>TDD</w:t>
            </w:r>
            <w:r>
              <w:rPr>
                <w:color w:val="FF0000"/>
              </w:rPr>
              <w:t xml:space="preserve"> (for set 1 ref.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Numerology</w:t>
            </w:r>
          </w:p>
        </w:tc>
        <w:tc>
          <w:tcPr>
            <w:tcW w:w="3261" w:type="dxa"/>
          </w:tcPr>
          <w:p>
            <w:pPr>
              <w:widowControl w:val="0"/>
            </w:pPr>
            <w:r>
              <w:t>15KHz,</w:t>
            </w:r>
          </w:p>
          <w:p>
            <w:pPr>
              <w:widowControl w:val="0"/>
            </w:pPr>
            <w:r>
              <w:t>14 OFDM symbol slot</w:t>
            </w:r>
          </w:p>
        </w:tc>
        <w:tc>
          <w:tcPr>
            <w:tcW w:w="3278" w:type="dxa"/>
          </w:tcPr>
          <w:p>
            <w:pPr>
              <w:widowControl w:val="0"/>
            </w:pPr>
            <w:r>
              <w:t>30kHz,</w:t>
            </w:r>
          </w:p>
          <w:p>
            <w:pPr>
              <w:widowControl w:val="0"/>
            </w:pPr>
            <w:r>
              <w:t>14 OFDM symbol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pPr>
            <w:r>
              <w:t>Guard band ratio on simulation bandwidth</w:t>
            </w:r>
          </w:p>
        </w:tc>
        <w:tc>
          <w:tcPr>
            <w:tcW w:w="3261" w:type="dxa"/>
          </w:tcPr>
          <w:p>
            <w:pPr>
              <w:widowControl w:val="0"/>
            </w:pPr>
            <w:r>
              <w:t>FDD: 6.4% (104RB for 15kHz SCS and 20 MHz BW)</w:t>
            </w:r>
          </w:p>
        </w:tc>
        <w:tc>
          <w:tcPr>
            <w:tcW w:w="3278" w:type="dxa"/>
          </w:tcPr>
          <w:p>
            <w:pPr>
              <w:widowControl w:val="0"/>
            </w:pPr>
            <w:r>
              <w:t>TDD: 2.08% (272 RB for 30kHz SCS and  100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Simulation bandwidth</w:t>
            </w:r>
          </w:p>
        </w:tc>
        <w:tc>
          <w:tcPr>
            <w:tcW w:w="3261" w:type="dxa"/>
            <w:noWrap/>
          </w:tcPr>
          <w:p>
            <w:pPr>
              <w:widowControl w:val="0"/>
            </w:pPr>
            <w:r>
              <w:rPr>
                <w:color w:val="FF0000"/>
              </w:rPr>
              <w:t>Follow reference configuration</w:t>
            </w:r>
            <w:r>
              <w:t>, (</w:t>
            </w:r>
            <w:r>
              <w:rPr>
                <w:highlight w:val="yellow"/>
              </w:rPr>
              <w:t>equal split of 10 MHz for UL and DL</w:t>
            </w:r>
            <w:r>
              <w:t>)</w:t>
            </w:r>
          </w:p>
        </w:tc>
        <w:tc>
          <w:tcPr>
            <w:tcW w:w="3278" w:type="dxa"/>
          </w:tcPr>
          <w:p>
            <w:pPr>
              <w:widowControl w:val="0"/>
            </w:pPr>
            <w:r>
              <w:rPr>
                <w:color w:val="FF0000"/>
              </w:rPr>
              <w:t>Follow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Frame structure</w:t>
            </w:r>
          </w:p>
        </w:tc>
        <w:tc>
          <w:tcPr>
            <w:tcW w:w="3261" w:type="dxa"/>
            <w:noWrap/>
          </w:tcPr>
          <w:p>
            <w:pPr>
              <w:widowControl w:val="0"/>
              <w:rPr>
                <w:strike/>
              </w:rPr>
            </w:pPr>
            <w:r>
              <w:rPr>
                <w:strike/>
                <w:color w:val="FF0000"/>
              </w:rPr>
              <w:t>Full downlink</w:t>
            </w:r>
          </w:p>
        </w:tc>
        <w:tc>
          <w:tcPr>
            <w:tcW w:w="3278" w:type="dxa"/>
            <w:noWrap/>
          </w:tcPr>
          <w:p>
            <w:pPr>
              <w:widowControl w:val="0"/>
            </w:pPr>
            <w:r>
              <w:t>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UT attachment</w:t>
            </w:r>
          </w:p>
        </w:tc>
        <w:tc>
          <w:tcPr>
            <w:tcW w:w="3261" w:type="dxa"/>
          </w:tcPr>
          <w:p>
            <w:pPr>
              <w:widowControl w:val="0"/>
            </w:pPr>
            <w:r>
              <w:t>Based on RSRP</w:t>
            </w:r>
          </w:p>
        </w:tc>
        <w:tc>
          <w:tcPr>
            <w:tcW w:w="3278" w:type="dxa"/>
            <w:noWrap/>
          </w:tcPr>
          <w:p>
            <w:pPr>
              <w:widowControl w:val="0"/>
            </w:pPr>
            <w:r>
              <w:t>Based on RSRP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Wrapping around method</w:t>
            </w:r>
          </w:p>
        </w:tc>
        <w:tc>
          <w:tcPr>
            <w:tcW w:w="3261" w:type="dxa"/>
          </w:tcPr>
          <w:p>
            <w:pPr>
              <w:widowControl w:val="0"/>
            </w:pPr>
            <w:r>
              <w:t>Geographical distance based wrapping</w:t>
            </w:r>
          </w:p>
        </w:tc>
        <w:tc>
          <w:tcPr>
            <w:tcW w:w="3278" w:type="dxa"/>
          </w:tcPr>
          <w:p>
            <w:pPr>
              <w:widowControl w:val="0"/>
            </w:pPr>
            <w:r>
              <w:t>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rPr>
                <w:bCs/>
              </w:rPr>
            </w:pPr>
            <w:r>
              <w:rPr>
                <w:bCs/>
              </w:rPr>
              <w:t>Traffic model</w:t>
            </w:r>
          </w:p>
        </w:tc>
        <w:tc>
          <w:tcPr>
            <w:tcW w:w="3261" w:type="dxa"/>
          </w:tcPr>
          <w:p>
            <w:pPr>
              <w:widowControl w:val="0"/>
              <w:rPr>
                <w:color w:val="FF0000"/>
              </w:rPr>
            </w:pPr>
            <w:r>
              <w:rPr>
                <w:color w:val="FF0000"/>
              </w:rPr>
              <w:t>Follow previous RAN1 agreements</w:t>
            </w:r>
          </w:p>
        </w:tc>
        <w:tc>
          <w:tcPr>
            <w:tcW w:w="3278" w:type="dxa"/>
          </w:tcPr>
          <w:p>
            <w:pPr>
              <w:widowControl w:val="0"/>
              <w:rPr>
                <w:color w:val="FF0000"/>
              </w:rPr>
            </w:pPr>
            <w:r>
              <w:rPr>
                <w:color w:val="FF0000"/>
              </w:rP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BS parameters</w:t>
            </w:r>
          </w:p>
        </w:tc>
        <w:tc>
          <w:tcPr>
            <w:tcW w:w="2501" w:type="dxa"/>
          </w:tcPr>
          <w:p>
            <w:pPr>
              <w:widowControl w:val="0"/>
              <w:rPr>
                <w:bCs/>
              </w:rPr>
            </w:pPr>
            <w:r>
              <w:rPr>
                <w:bCs/>
              </w:rPr>
              <w:t>BS antenna height</w:t>
            </w:r>
          </w:p>
        </w:tc>
        <w:tc>
          <w:tcPr>
            <w:tcW w:w="3261" w:type="dxa"/>
          </w:tcPr>
          <w:p>
            <w:pPr>
              <w:widowControl w:val="0"/>
            </w:pPr>
            <w:r>
              <w:t>25 m</w:t>
            </w:r>
          </w:p>
        </w:tc>
        <w:tc>
          <w:tcPr>
            <w:tcW w:w="3278" w:type="dxa"/>
          </w:tcPr>
          <w:p>
            <w:pPr>
              <w:widowControl w:val="0"/>
            </w:pPr>
            <w:r>
              <w:t>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noise figure</w:t>
            </w:r>
          </w:p>
        </w:tc>
        <w:tc>
          <w:tcPr>
            <w:tcW w:w="3261" w:type="dxa"/>
          </w:tcPr>
          <w:p>
            <w:pPr>
              <w:widowControl w:val="0"/>
            </w:pPr>
            <w:r>
              <w:t>5 dB</w:t>
            </w:r>
          </w:p>
        </w:tc>
        <w:tc>
          <w:tcPr>
            <w:tcW w:w="3278" w:type="dxa"/>
          </w:tcPr>
          <w:p>
            <w:pPr>
              <w:widowControl w:val="0"/>
            </w:pPr>
            <w: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antenna element gain</w:t>
            </w:r>
          </w:p>
        </w:tc>
        <w:tc>
          <w:tcPr>
            <w:tcW w:w="3261" w:type="dxa"/>
          </w:tcPr>
          <w:p>
            <w:pPr>
              <w:widowControl w:val="0"/>
            </w:pPr>
            <w:r>
              <w:t>8 dBi</w:t>
            </w:r>
          </w:p>
        </w:tc>
        <w:tc>
          <w:tcPr>
            <w:tcW w:w="3278" w:type="dxa"/>
          </w:tcPr>
          <w:p>
            <w:pPr>
              <w:widowControl w:val="0"/>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463" w:type="dxa"/>
            <w:vMerge w:val="continue"/>
            <w:noWrap/>
          </w:tcPr>
          <w:p>
            <w:pPr>
              <w:widowControl w:val="0"/>
            </w:pPr>
          </w:p>
        </w:tc>
        <w:tc>
          <w:tcPr>
            <w:tcW w:w="2501" w:type="dxa"/>
          </w:tcPr>
          <w:p>
            <w:pPr>
              <w:widowControl w:val="0"/>
            </w:pPr>
            <w:r>
              <w:t>Antenna configuration at TRxP</w:t>
            </w:r>
          </w:p>
        </w:tc>
        <w:tc>
          <w:tcPr>
            <w:tcW w:w="3261" w:type="dxa"/>
          </w:tcPr>
          <w:p>
            <w:pPr>
              <w:widowControl w:val="0"/>
            </w:pPr>
            <w:r>
              <w:t>For 32T: (M,N,P,Mg,Ng; Mp,Np) = (8,8,2,1,1;2,8)</w:t>
            </w:r>
            <w:r>
              <w:br w:type="textWrapping"/>
            </w:r>
            <w:r>
              <w:t>(dH, dV)=(0.5, 0.8)λ</w:t>
            </w:r>
          </w:p>
        </w:tc>
        <w:tc>
          <w:tcPr>
            <w:tcW w:w="3278" w:type="dxa"/>
          </w:tcPr>
          <w:p>
            <w:pPr>
              <w:widowControl w:val="0"/>
              <w:rPr>
                <w:strike/>
              </w:rPr>
            </w:pPr>
            <w:r>
              <w:t xml:space="preserve">For 64T: </w:t>
            </w:r>
            <w:r>
              <w:rPr>
                <w:strike/>
              </w:rPr>
              <w:t xml:space="preserve"> (M,N,P,Mg,Ng; Mp,Np) = (12,8,2,1,1;4,8)</w:t>
            </w:r>
            <w:r>
              <w:rPr>
                <w:strike/>
              </w:rPr>
              <w:br w:type="textWrapping"/>
            </w:r>
            <w:r>
              <w:rPr>
                <w:strike/>
              </w:rPr>
              <w:t>(dH, dV)=(0.5, 0.8)λ;</w:t>
            </w:r>
          </w:p>
          <w:p>
            <w:pPr>
              <w:widowControl w:val="0"/>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pPr>
              <w:widowControl w:val="0"/>
            </w:pPr>
            <w:r>
              <w:rPr>
                <w:highlight w:val="yellow"/>
              </w:rPr>
              <w:t>based on 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UE parameters</w:t>
            </w:r>
          </w:p>
        </w:tc>
        <w:tc>
          <w:tcPr>
            <w:tcW w:w="2501" w:type="dxa"/>
          </w:tcPr>
          <w:p>
            <w:pPr>
              <w:widowControl w:val="0"/>
              <w:rPr>
                <w:bCs/>
              </w:rPr>
            </w:pPr>
            <w:r>
              <w:rPr>
                <w:bCs/>
              </w:rPr>
              <w:t>UE power class</w:t>
            </w:r>
          </w:p>
        </w:tc>
        <w:tc>
          <w:tcPr>
            <w:tcW w:w="3261" w:type="dxa"/>
          </w:tcPr>
          <w:p>
            <w:pPr>
              <w:widowControl w:val="0"/>
            </w:pPr>
            <w:r>
              <w:t>23dBm</w:t>
            </w:r>
          </w:p>
        </w:tc>
        <w:tc>
          <w:tcPr>
            <w:tcW w:w="3278" w:type="dxa"/>
          </w:tcPr>
          <w:p>
            <w:pPr>
              <w:widowControl w:val="0"/>
            </w:pPr>
            <w: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noise figure</w:t>
            </w:r>
          </w:p>
        </w:tc>
        <w:tc>
          <w:tcPr>
            <w:tcW w:w="3261" w:type="dxa"/>
          </w:tcPr>
          <w:p>
            <w:pPr>
              <w:widowControl w:val="0"/>
            </w:pPr>
            <w:r>
              <w:t>9 dB</w:t>
            </w:r>
          </w:p>
        </w:tc>
        <w:tc>
          <w:tcPr>
            <w:tcW w:w="3278" w:type="dxa"/>
          </w:tcPr>
          <w:p>
            <w:pPr>
              <w:widowControl w:val="0"/>
            </w:pPr>
            <w:r>
              <w:rPr>
                <w:strike/>
              </w:rPr>
              <w:t>7</w:t>
            </w:r>
            <w:r>
              <w:t xml:space="preserve"> </w:t>
            </w:r>
            <w:r>
              <w:rPr>
                <w:highlight w:val="yellow"/>
              </w:rPr>
              <w:t>9</w:t>
            </w:r>
            <w: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element gain</w:t>
            </w:r>
          </w:p>
        </w:tc>
        <w:tc>
          <w:tcPr>
            <w:tcW w:w="3261" w:type="dxa"/>
          </w:tcPr>
          <w:p>
            <w:pPr>
              <w:widowControl w:val="0"/>
            </w:pPr>
            <w:r>
              <w:t>0 dBi</w:t>
            </w:r>
          </w:p>
        </w:tc>
        <w:tc>
          <w:tcPr>
            <w:tcW w:w="3278" w:type="dxa"/>
          </w:tcPr>
          <w:p>
            <w:pPr>
              <w:widowControl w:val="0"/>
            </w:pPr>
            <w:r>
              <w:t>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height</w:t>
            </w:r>
          </w:p>
        </w:tc>
        <w:tc>
          <w:tcPr>
            <w:tcW w:w="3261" w:type="dxa"/>
          </w:tcPr>
          <w:p>
            <w:pPr>
              <w:widowControl w:val="0"/>
            </w:pPr>
            <w:r>
              <w:t>Outdoor UEs: 1.5 m; Indoor Uts: 1.5m or consider floor height</w:t>
            </w:r>
          </w:p>
        </w:tc>
        <w:tc>
          <w:tcPr>
            <w:tcW w:w="3278" w:type="dxa"/>
          </w:tcPr>
          <w:p>
            <w:pPr>
              <w:widowControl w:val="0"/>
            </w:pPr>
            <w:r>
              <w:t>Outdoor UEs: 1.5 m; Indoor Uts: 1.5m or consider floor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3" w:type="dxa"/>
            <w:vMerge w:val="continue"/>
            <w:noWrap/>
          </w:tcPr>
          <w:p>
            <w:pPr>
              <w:widowControl w:val="0"/>
            </w:pPr>
          </w:p>
        </w:tc>
        <w:tc>
          <w:tcPr>
            <w:tcW w:w="2501" w:type="dxa"/>
          </w:tcPr>
          <w:p>
            <w:pPr>
              <w:widowControl w:val="0"/>
            </w:pPr>
            <w:r>
              <w:t>Antenna configuration at UE</w:t>
            </w:r>
          </w:p>
        </w:tc>
        <w:tc>
          <w:tcPr>
            <w:tcW w:w="3261" w:type="dxa"/>
          </w:tcPr>
          <w:p>
            <w:pPr>
              <w:widowControl w:val="0"/>
            </w:pPr>
            <w:r>
              <w:t>For 4R: (M,N,P,Mg,Ng; Mp,Np)= (1,2,2,1,1; 1,2)</w:t>
            </w:r>
          </w:p>
          <w:p>
            <w:pPr>
              <w:widowControl w:val="0"/>
            </w:pPr>
            <w:r>
              <w:t>(dH, dV)=(0.5, N/A)λ</w:t>
            </w:r>
          </w:p>
        </w:tc>
        <w:tc>
          <w:tcPr>
            <w:tcW w:w="3278" w:type="dxa"/>
          </w:tcPr>
          <w:p>
            <w:pPr>
              <w:widowControl w:val="0"/>
            </w:pPr>
            <w:r>
              <w:t>For 4R: (M,N,P,Mg,Ng; Mp,Np)= (1,2,2,1,1; 1,2)</w:t>
            </w:r>
          </w:p>
          <w:p>
            <w:pPr>
              <w:widowControl w:val="0"/>
            </w:pPr>
            <w:r>
              <w:t>(dH, dV)=(0.5,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Transmission parameters</w:t>
            </w:r>
          </w:p>
        </w:tc>
        <w:tc>
          <w:tcPr>
            <w:tcW w:w="2501" w:type="dxa"/>
            <w:noWrap/>
          </w:tcPr>
          <w:p>
            <w:pPr>
              <w:widowControl w:val="0"/>
            </w:pPr>
            <w:r>
              <w:t>Modulation</w:t>
            </w:r>
          </w:p>
        </w:tc>
        <w:tc>
          <w:tcPr>
            <w:tcW w:w="3261" w:type="dxa"/>
            <w:noWrap/>
          </w:tcPr>
          <w:p>
            <w:pPr>
              <w:widowControl w:val="0"/>
            </w:pPr>
            <w:r>
              <w:t>Up to 256 QAM</w:t>
            </w:r>
          </w:p>
        </w:tc>
        <w:tc>
          <w:tcPr>
            <w:tcW w:w="3278" w:type="dxa"/>
            <w:noWrap/>
          </w:tcPr>
          <w:p>
            <w:pPr>
              <w:widowControl w:val="0"/>
            </w:pPr>
            <w:r>
              <w:t>Up to 256 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Transmission scheme</w:t>
            </w:r>
          </w:p>
        </w:tc>
        <w:tc>
          <w:tcPr>
            <w:tcW w:w="3261" w:type="dxa"/>
            <w:noWrap/>
          </w:tcPr>
          <w:p>
            <w:pPr>
              <w:widowControl w:val="0"/>
            </w:pPr>
            <w:r>
              <w:t xml:space="preserve">SU-MIMO </w:t>
            </w:r>
          </w:p>
        </w:tc>
        <w:tc>
          <w:tcPr>
            <w:tcW w:w="3278" w:type="dxa"/>
          </w:tcPr>
          <w:p>
            <w:pPr>
              <w:widowControl w:val="0"/>
            </w:pPr>
            <w:r>
              <w:t xml:space="preserve">SU-MIMO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SU dimension</w:t>
            </w:r>
          </w:p>
        </w:tc>
        <w:tc>
          <w:tcPr>
            <w:tcW w:w="3261" w:type="dxa"/>
          </w:tcPr>
          <w:p>
            <w:pPr>
              <w:widowControl w:val="0"/>
            </w:pPr>
            <w:r>
              <w:t>For 4Rx: Up to 4 layers</w:t>
            </w:r>
          </w:p>
        </w:tc>
        <w:tc>
          <w:tcPr>
            <w:tcW w:w="3278" w:type="dxa"/>
          </w:tcPr>
          <w:p>
            <w:pPr>
              <w:widowControl w:val="0"/>
            </w:pPr>
            <w:r>
              <w:t>For 4Rx: Up to 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CSI measurement</w:t>
            </w:r>
          </w:p>
        </w:tc>
        <w:tc>
          <w:tcPr>
            <w:tcW w:w="3261" w:type="dxa"/>
            <w:noWrap/>
          </w:tcPr>
          <w:p>
            <w:pPr>
              <w:widowControl w:val="0"/>
            </w:pPr>
            <w:r>
              <w:t>Non-precoded CSI-RS  based</w:t>
            </w:r>
          </w:p>
        </w:tc>
        <w:tc>
          <w:tcPr>
            <w:tcW w:w="3278" w:type="dxa"/>
            <w:noWrap/>
          </w:tcPr>
          <w:p>
            <w:pPr>
              <w:widowControl w:val="0"/>
            </w:pPr>
            <w:r>
              <w:t>Precoded CSI-RS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codebook</w:t>
            </w:r>
          </w:p>
        </w:tc>
        <w:tc>
          <w:tcPr>
            <w:tcW w:w="3261" w:type="dxa"/>
            <w:noWrap/>
          </w:tcPr>
          <w:p>
            <w:pPr>
              <w:widowControl w:val="0"/>
            </w:pPr>
            <w:r>
              <w:t>Type I/II codebook</w:t>
            </w:r>
          </w:p>
        </w:tc>
        <w:tc>
          <w:tcPr>
            <w:tcW w:w="3278" w:type="dxa"/>
            <w:noWrap/>
          </w:tcPr>
          <w:p>
            <w:pPr>
              <w:widowControl w:val="0"/>
            </w:pPr>
            <w:r>
              <w:t>non-PMI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SRS transmission</w:t>
            </w:r>
          </w:p>
        </w:tc>
        <w:tc>
          <w:tcPr>
            <w:tcW w:w="3261" w:type="dxa"/>
            <w:noWrap/>
          </w:tcPr>
          <w:p>
            <w:pPr>
              <w:widowControl w:val="0"/>
            </w:pPr>
            <w:r>
              <w:t>N/A</w:t>
            </w:r>
          </w:p>
        </w:tc>
        <w:tc>
          <w:tcPr>
            <w:tcW w:w="3278" w:type="dxa"/>
          </w:tcPr>
          <w:p>
            <w:pPr>
              <w:widowControl w:val="0"/>
            </w:pPr>
            <w:r>
              <w:t>For UE 4 Tx ports: Non-precoded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CSI feedback</w:t>
            </w:r>
          </w:p>
        </w:tc>
        <w:tc>
          <w:tcPr>
            <w:tcW w:w="3261" w:type="dxa"/>
          </w:tcPr>
          <w:p>
            <w:pPr>
              <w:widowControl w:val="0"/>
            </w:pPr>
            <w:r>
              <w:rPr>
                <w:color w:val="FF0000"/>
              </w:rPr>
              <w:t>Company to report the assumptions</w:t>
            </w:r>
          </w:p>
        </w:tc>
        <w:tc>
          <w:tcPr>
            <w:tcW w:w="3278" w:type="dxa"/>
          </w:tcPr>
          <w:p>
            <w:pPr>
              <w:widowControl w:val="0"/>
            </w:pPr>
            <w:r>
              <w:rPr>
                <w:color w:val="FF0000"/>
              </w:rPr>
              <w:t>Company to report the assumptions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Interference measurement</w:t>
            </w:r>
          </w:p>
        </w:tc>
        <w:tc>
          <w:tcPr>
            <w:tcW w:w="3261" w:type="dxa"/>
          </w:tcPr>
          <w:p>
            <w:pPr>
              <w:widowControl w:val="0"/>
            </w:pPr>
            <w:r>
              <w:t>SU-CQI; CSI-IM for inter-cell interference measurement</w:t>
            </w:r>
          </w:p>
        </w:tc>
        <w:tc>
          <w:tcPr>
            <w:tcW w:w="3278" w:type="dxa"/>
          </w:tcPr>
          <w:p>
            <w:pPr>
              <w:widowControl w:val="0"/>
            </w:pPr>
            <w:r>
              <w:t>SU-CQI; CSI-IM for inter-cell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Scheduling</w:t>
            </w:r>
          </w:p>
        </w:tc>
        <w:tc>
          <w:tcPr>
            <w:tcW w:w="3261" w:type="dxa"/>
            <w:noWrap/>
          </w:tcPr>
          <w:p>
            <w:pPr>
              <w:widowControl w:val="0"/>
            </w:pPr>
            <w:r>
              <w:t>PF</w:t>
            </w:r>
          </w:p>
        </w:tc>
        <w:tc>
          <w:tcPr>
            <w:tcW w:w="3278" w:type="dxa"/>
            <w:noWrap/>
          </w:tcPr>
          <w:p>
            <w:pPr>
              <w:widowControl w:val="0"/>
            </w:pPr>
            <w: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Receiver</w:t>
            </w:r>
          </w:p>
        </w:tc>
        <w:tc>
          <w:tcPr>
            <w:tcW w:w="3261" w:type="dxa"/>
            <w:noWrap/>
          </w:tcPr>
          <w:p>
            <w:pPr>
              <w:widowControl w:val="0"/>
            </w:pPr>
            <w:r>
              <w:t>MMSE-IRC</w:t>
            </w:r>
          </w:p>
        </w:tc>
        <w:tc>
          <w:tcPr>
            <w:tcW w:w="3278" w:type="dxa"/>
            <w:noWrap/>
          </w:tcPr>
          <w:p>
            <w:pPr>
              <w:widowControl w:val="0"/>
            </w:pPr>
            <w: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Channel estimation</w:t>
            </w:r>
          </w:p>
        </w:tc>
        <w:tc>
          <w:tcPr>
            <w:tcW w:w="3261" w:type="dxa"/>
            <w:noWrap/>
          </w:tcPr>
          <w:p>
            <w:pPr>
              <w:widowControl w:val="0"/>
            </w:pPr>
            <w:r>
              <w:t>Non-ideal</w:t>
            </w:r>
          </w:p>
        </w:tc>
        <w:tc>
          <w:tcPr>
            <w:tcW w:w="3278" w:type="dxa"/>
            <w:noWrap/>
          </w:tcPr>
          <w:p>
            <w:pPr>
              <w:widowControl w:val="0"/>
            </w:pPr>
            <w:r>
              <w:t>Non-ideal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C</w:t>
            </w:r>
            <w:r>
              <w:rPr>
                <w:rFonts w:hint="eastAsia"/>
              </w:rPr>
              <w:t>ommon</w:t>
            </w:r>
            <w:r>
              <w:t xml:space="preserve"> </w:t>
            </w:r>
            <w:r>
              <w:rPr>
                <w:rFonts w:hint="eastAsia"/>
              </w:rPr>
              <w:t>RS</w:t>
            </w:r>
          </w:p>
        </w:tc>
        <w:tc>
          <w:tcPr>
            <w:tcW w:w="2501" w:type="dxa"/>
            <w:noWrap/>
          </w:tcPr>
          <w:p>
            <w:pPr>
              <w:widowControl w:val="0"/>
            </w:pPr>
            <w:r>
              <w:rPr>
                <w:rFonts w:hint="eastAsia"/>
              </w:rPr>
              <w:t>SSB</w:t>
            </w:r>
            <w:r>
              <w:rPr>
                <w:strike/>
                <w:color w:val="FF0000"/>
              </w:rPr>
              <w:t>/SIB1</w:t>
            </w:r>
            <w:r>
              <w:t xml:space="preserve"> period</w:t>
            </w:r>
          </w:p>
        </w:tc>
        <w:tc>
          <w:tcPr>
            <w:tcW w:w="3261" w:type="dxa"/>
            <w:noWrap/>
          </w:tcPr>
          <w:p>
            <w:pPr>
              <w:widowControl w:val="0"/>
            </w:pPr>
            <w:r>
              <w:rPr>
                <w:rFonts w:hint="eastAsia"/>
              </w:rPr>
              <w:t>2</w:t>
            </w:r>
            <w:r>
              <w:t>0ms</w:t>
            </w:r>
          </w:p>
        </w:tc>
        <w:tc>
          <w:tcPr>
            <w:tcW w:w="3278" w:type="dxa"/>
            <w:noWrap/>
          </w:tcPr>
          <w:p>
            <w:pPr>
              <w:widowControl w:val="0"/>
            </w:pPr>
            <w:r>
              <w:rPr>
                <w:rFonts w:hint="eastAsia"/>
              </w:rPr>
              <w:t>2</w:t>
            </w:r>
            <w:r>
              <w:t>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time resource</w:t>
            </w:r>
          </w:p>
        </w:tc>
        <w:tc>
          <w:tcPr>
            <w:tcW w:w="3261" w:type="dxa"/>
            <w:noWrap/>
          </w:tcPr>
          <w:p>
            <w:pPr>
              <w:widowControl w:val="0"/>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pPr>
              <w:widowControl w:val="0"/>
              <w:rPr>
                <w:strike/>
              </w:rPr>
            </w:pPr>
            <w:r>
              <w:rPr>
                <w:rFonts w:hint="eastAsia"/>
                <w:strike/>
              </w:rPr>
              <w:t>4</w:t>
            </w:r>
            <w:r>
              <w:rPr>
                <w:strike/>
              </w:rPr>
              <w:t xml:space="preserve"> symbols for each SSB</w:t>
            </w:r>
          </w:p>
        </w:tc>
        <w:tc>
          <w:tcPr>
            <w:tcW w:w="3278" w:type="dxa"/>
            <w:noWrap/>
          </w:tcPr>
          <w:p>
            <w:pPr>
              <w:widowControl w:val="0"/>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pPr>
              <w:widowControl w:val="0"/>
              <w:rPr>
                <w:strike/>
              </w:rPr>
            </w:pPr>
            <w:r>
              <w:rPr>
                <w:rFonts w:hint="eastAsia"/>
                <w:strike/>
              </w:rPr>
              <w:t>4</w:t>
            </w:r>
            <w:r>
              <w:rPr>
                <w:strike/>
              </w:rP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frequency resource</w:t>
            </w:r>
          </w:p>
        </w:tc>
        <w:tc>
          <w:tcPr>
            <w:tcW w:w="3261" w:type="dxa"/>
            <w:noWrap/>
          </w:tcPr>
          <w:p>
            <w:pPr>
              <w:widowControl w:val="0"/>
              <w:rPr>
                <w:strike/>
              </w:rPr>
            </w:pPr>
            <w:r>
              <w:rPr>
                <w:rFonts w:hint="eastAsia"/>
                <w:strike/>
              </w:rPr>
              <w:t>2</w:t>
            </w:r>
            <w:r>
              <w:rPr>
                <w:strike/>
              </w:rPr>
              <w:t>0RB</w:t>
            </w:r>
          </w:p>
        </w:tc>
        <w:tc>
          <w:tcPr>
            <w:tcW w:w="3278" w:type="dxa"/>
            <w:noWrap/>
          </w:tcPr>
          <w:p>
            <w:pPr>
              <w:widowControl w:val="0"/>
              <w:rPr>
                <w:strike/>
              </w:rPr>
            </w:pPr>
            <w:r>
              <w:rPr>
                <w:rFonts w:hint="eastAsia"/>
                <w:strike/>
              </w:rPr>
              <w:t>2</w:t>
            </w:r>
            <w:r>
              <w:rPr>
                <w:strike/>
              </w:rPr>
              <w:t>0RB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time resource</w:t>
            </w:r>
          </w:p>
        </w:tc>
        <w:tc>
          <w:tcPr>
            <w:tcW w:w="3261" w:type="dxa"/>
            <w:noWrap/>
          </w:tcPr>
          <w:p>
            <w:pPr>
              <w:widowControl w:val="0"/>
              <w:rPr>
                <w:strike/>
              </w:rPr>
            </w:pPr>
            <w:r>
              <w:rPr>
                <w:strike/>
              </w:rPr>
              <w:t>slot#10 ~ slot#17</w:t>
            </w:r>
          </w:p>
          <w:p>
            <w:pPr>
              <w:widowControl w:val="0"/>
              <w:rPr>
                <w:strike/>
              </w:rPr>
            </w:pPr>
            <w:r>
              <w:rPr>
                <w:strike/>
              </w:rPr>
              <w:t>slot#10 ~ slot#13</w:t>
            </w:r>
          </w:p>
        </w:tc>
        <w:tc>
          <w:tcPr>
            <w:tcW w:w="3278" w:type="dxa"/>
            <w:noWrap/>
          </w:tcPr>
          <w:p>
            <w:pPr>
              <w:widowControl w:val="0"/>
              <w:rPr>
                <w:strike/>
              </w:rPr>
            </w:pPr>
            <w:r>
              <w:rPr>
                <w:strike/>
              </w:rPr>
              <w:t>slot#10 ~ slot#13</w:t>
            </w:r>
          </w:p>
          <w:p>
            <w:pPr>
              <w:widowControl w:val="0"/>
              <w:rPr>
                <w:strike/>
              </w:rPr>
            </w:pPr>
            <w:r>
              <w:rPr>
                <w:strike/>
              </w:rPr>
              <w:t>slot#10 ~ slot#17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frequency resource</w:t>
            </w:r>
          </w:p>
        </w:tc>
        <w:tc>
          <w:tcPr>
            <w:tcW w:w="3261" w:type="dxa"/>
            <w:noWrap/>
          </w:tcPr>
          <w:p>
            <w:pPr>
              <w:widowControl w:val="0"/>
              <w:rPr>
                <w:strike/>
              </w:rPr>
            </w:pPr>
            <w:r>
              <w:rPr>
                <w:rFonts w:hint="eastAsia"/>
                <w:strike/>
              </w:rPr>
              <w:t>4</w:t>
            </w:r>
            <w:r>
              <w:rPr>
                <w:strike/>
              </w:rPr>
              <w:t>0RB</w:t>
            </w:r>
          </w:p>
        </w:tc>
        <w:tc>
          <w:tcPr>
            <w:tcW w:w="3278" w:type="dxa"/>
            <w:noWrap/>
          </w:tcPr>
          <w:p>
            <w:pPr>
              <w:widowControl w:val="0"/>
              <w:rPr>
                <w:strike/>
              </w:rPr>
            </w:pPr>
            <w:r>
              <w:rPr>
                <w:rFonts w:hint="eastAsia"/>
                <w:strike/>
              </w:rPr>
              <w:t>4</w:t>
            </w:r>
            <w:r>
              <w:rPr>
                <w:strike/>
              </w:rPr>
              <w:t>0RB</w:t>
            </w:r>
          </w:p>
        </w:tc>
      </w:tr>
    </w:tbl>
    <w:p/>
    <w:p>
      <w:pPr>
        <w:rPr>
          <w:lang w:val="pl-PL"/>
        </w:rPr>
      </w:pPr>
      <w:r>
        <w:rPr>
          <w:lang w:val="pl-PL"/>
        </w:rPr>
        <w:t>(M, N, P, Mg, Ng; Mp, Np)</w:t>
      </w:r>
    </w:p>
    <w:p>
      <w:r>
        <w:t>- M: Number of vertical antenna elements within a panel, on one polarization</w:t>
      </w:r>
    </w:p>
    <w:p>
      <w:r>
        <w:t>- N: Number of horizontal antenna elements within a panel, on one polarization</w:t>
      </w:r>
    </w:p>
    <w:p>
      <w:r>
        <w:t>- P: Number of polarizations</w:t>
      </w:r>
    </w:p>
    <w:p>
      <w:r>
        <w:t>- Mg: Number of panels in a column;</w:t>
      </w:r>
    </w:p>
    <w:p>
      <w:r>
        <w:t>- Ng: Number of panels in a row;</w:t>
      </w:r>
    </w:p>
    <w:p>
      <w:r>
        <w:t>- Mp: Number of vertical TXRUs within a panel, on one polarization</w:t>
      </w:r>
    </w:p>
    <w:p>
      <w:r>
        <w:t>- Np: Number of horizontal TXRUs within a panel, on one polarization</w:t>
      </w:r>
    </w:p>
    <w:p/>
    <w:p>
      <w:pPr>
        <w:autoSpaceDE/>
        <w:autoSpaceDN/>
        <w:adjustRightInd/>
        <w:snapToGrid/>
        <w:spacing w:after="160"/>
        <w:jc w:val="left"/>
        <w:rPr>
          <w:lang w:eastAsia="en-US"/>
        </w:rPr>
      </w:pPr>
    </w:p>
    <w:p>
      <w:pPr>
        <w:pStyle w:val="3"/>
        <w:numPr>
          <w:ilvl w:val="0"/>
          <w:numId w:val="0"/>
        </w:numPr>
      </w:pPr>
      <w:r>
        <w:t xml:space="preserve">C. </w:t>
      </w:r>
      <w:r>
        <w:rPr>
          <w:rFonts w:hint="eastAsia"/>
        </w:rPr>
        <w:t>S</w:t>
      </w:r>
      <w:r>
        <w:t>ID abstraction</w:t>
      </w:r>
    </w:p>
    <w:p>
      <w:r>
        <w:t>Study Item (SI) for network energy savings for NR is approved in [1].</w:t>
      </w:r>
      <w:r>
        <w:rPr>
          <w:rFonts w:hint="eastAsia"/>
        </w:rPr>
        <w:t xml:space="preserve"> </w:t>
      </w:r>
      <w:r>
        <w:t>For the study of performance evaluation for this SI, the relevant objectives include below</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numPr>
                <w:ilvl w:val="0"/>
                <w:numId w:val="59"/>
              </w:numPr>
              <w:overflowPunct w:val="0"/>
              <w:snapToGrid/>
              <w:spacing w:after="0"/>
              <w:ind w:left="200" w:leftChars="100"/>
              <w:jc w:val="left"/>
              <w:textAlignment w:val="baseline"/>
              <w:rPr>
                <w:bCs/>
                <w:sz w:val="21"/>
              </w:rPr>
            </w:pPr>
            <w:r>
              <w:rPr>
                <w:bCs/>
                <w:sz w:val="21"/>
              </w:rPr>
              <w:t>Definition of a base station energy consumption model [RAN1]</w:t>
            </w:r>
          </w:p>
          <w:p>
            <w:pPr>
              <w:widowControl w:val="0"/>
              <w:numPr>
                <w:ilvl w:val="0"/>
                <w:numId w:val="60"/>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widowControl w:val="0"/>
              <w:spacing w:after="0"/>
              <w:ind w:left="800" w:leftChars="400"/>
              <w:rPr>
                <w:bCs/>
                <w:sz w:val="21"/>
              </w:rPr>
            </w:pPr>
          </w:p>
          <w:p>
            <w:pPr>
              <w:widowControl w:val="0"/>
              <w:numPr>
                <w:ilvl w:val="0"/>
                <w:numId w:val="59"/>
              </w:numPr>
              <w:overflowPunct w:val="0"/>
              <w:snapToGrid/>
              <w:spacing w:after="0"/>
              <w:ind w:left="200" w:leftChars="100"/>
              <w:jc w:val="left"/>
              <w:textAlignment w:val="baseline"/>
              <w:rPr>
                <w:bCs/>
                <w:sz w:val="21"/>
              </w:rPr>
            </w:pPr>
            <w:r>
              <w:rPr>
                <w:bCs/>
                <w:sz w:val="21"/>
              </w:rPr>
              <w:t>Definition of an evaluation methodology and KPIs [RAN1]</w:t>
            </w:r>
          </w:p>
          <w:p>
            <w:pPr>
              <w:widowControl w:val="0"/>
              <w:numPr>
                <w:ilvl w:val="0"/>
                <w:numId w:val="60"/>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pPr>
              <w:widowControl w:val="0"/>
              <w:spacing w:after="0"/>
              <w:ind w:left="709"/>
              <w:rPr>
                <w:bCs/>
                <w:sz w:val="21"/>
              </w:rPr>
            </w:pPr>
            <w:r>
              <w:rPr>
                <w:bCs/>
                <w:sz w:val="21"/>
              </w:rPr>
              <w:t>Note: WGs will decide KPIs to evaluate and how.</w:t>
            </w:r>
          </w:p>
          <w:p>
            <w:pPr>
              <w:widowControl w:val="0"/>
              <w:spacing w:after="0"/>
              <w:rPr>
                <w:bCs/>
                <w:sz w:val="21"/>
              </w:rPr>
            </w:pPr>
          </w:p>
          <w:p>
            <w:pPr>
              <w:widowControl w:val="0"/>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pPr>
              <w:widowControl w:val="0"/>
              <w:spacing w:after="0"/>
              <w:rPr>
                <w:bCs/>
                <w:sz w:val="21"/>
              </w:rPr>
            </w:pPr>
          </w:p>
          <w:p>
            <w:pPr>
              <w:widowControl w:val="0"/>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pPr>
              <w:widowControl w:val="0"/>
              <w:spacing w:after="0"/>
              <w:rPr>
                <w:bCs/>
                <w:sz w:val="21"/>
              </w:rPr>
            </w:pPr>
          </w:p>
          <w:p>
            <w:pPr>
              <w:widowControl w:val="0"/>
              <w:spacing w:after="0"/>
              <w:rPr>
                <w:bCs/>
                <w:sz w:val="21"/>
              </w:rPr>
            </w:pPr>
            <w:r>
              <w:rPr>
                <w:bCs/>
                <w:sz w:val="21"/>
              </w:rPr>
              <w:t>The following example scenarios are listed in no particular order.</w:t>
            </w:r>
          </w:p>
          <w:p>
            <w:pPr>
              <w:widowControl w:val="0"/>
              <w:numPr>
                <w:ilvl w:val="0"/>
                <w:numId w:val="61"/>
              </w:numPr>
              <w:overflowPunct w:val="0"/>
              <w:snapToGrid/>
              <w:spacing w:after="0"/>
              <w:jc w:val="left"/>
              <w:textAlignment w:val="baseline"/>
              <w:rPr>
                <w:bCs/>
                <w:sz w:val="21"/>
              </w:rPr>
            </w:pPr>
            <w:r>
              <w:rPr>
                <w:bCs/>
                <w:sz w:val="21"/>
              </w:rPr>
              <w:t>Urban micro in FR1, including TDD massive MIMO (note: this scenario can also model small cells)</w:t>
            </w:r>
          </w:p>
          <w:p>
            <w:pPr>
              <w:widowControl w:val="0"/>
              <w:numPr>
                <w:ilvl w:val="0"/>
                <w:numId w:val="61"/>
              </w:numPr>
              <w:overflowPunct w:val="0"/>
              <w:snapToGrid/>
              <w:spacing w:after="0"/>
              <w:jc w:val="left"/>
              <w:textAlignment w:val="baseline"/>
              <w:rPr>
                <w:bCs/>
                <w:sz w:val="21"/>
              </w:rPr>
            </w:pPr>
            <w:r>
              <w:rPr>
                <w:bCs/>
                <w:sz w:val="21"/>
              </w:rPr>
              <w:t>FR2 beam-based scenarios (note: this scenario can also model small cells)</w:t>
            </w:r>
          </w:p>
          <w:p>
            <w:pPr>
              <w:widowControl w:val="0"/>
              <w:numPr>
                <w:ilvl w:val="0"/>
                <w:numId w:val="61"/>
              </w:numPr>
              <w:overflowPunct w:val="0"/>
              <w:snapToGrid/>
              <w:spacing w:after="0"/>
              <w:jc w:val="left"/>
              <w:textAlignment w:val="baseline"/>
              <w:rPr>
                <w:bCs/>
                <w:sz w:val="21"/>
              </w:rPr>
            </w:pPr>
            <w:r>
              <w:rPr>
                <w:bCs/>
                <w:sz w:val="21"/>
              </w:rPr>
              <w:t>Urban/Rural macro in FR1 with/without DSS (no impact to LTE expected in case of DSS)</w:t>
            </w:r>
          </w:p>
          <w:p>
            <w:pPr>
              <w:widowControl w:val="0"/>
              <w:numPr>
                <w:ilvl w:val="0"/>
                <w:numId w:val="61"/>
              </w:numPr>
              <w:overflowPunct w:val="0"/>
              <w:snapToGrid/>
              <w:spacing w:after="0"/>
              <w:jc w:val="left"/>
              <w:textAlignment w:val="baseline"/>
              <w:rPr>
                <w:bCs/>
                <w:sz w:val="21"/>
              </w:rPr>
            </w:pPr>
            <w:r>
              <w:rPr>
                <w:bCs/>
                <w:sz w:val="21"/>
              </w:rPr>
              <w:t>EN-DC/NR-DC macro with FDD PCell and TDD/Massive MIMO on higher FR1/FR2 frequency</w:t>
            </w:r>
          </w:p>
          <w:p>
            <w:pPr>
              <w:widowControl w:val="0"/>
              <w:spacing w:after="0"/>
              <w:rPr>
                <w:bCs/>
                <w:sz w:val="21"/>
              </w:rPr>
            </w:pPr>
          </w:p>
          <w:p>
            <w:pPr>
              <w:widowControl w:val="0"/>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pPr>
              <w:widowControl w:val="0"/>
              <w:spacing w:after="0"/>
              <w:rPr>
                <w:bCs/>
                <w:sz w:val="21"/>
              </w:rPr>
            </w:pPr>
          </w:p>
          <w:p>
            <w:pPr>
              <w:widowControl w:val="0"/>
              <w:spacing w:after="0"/>
              <w:rPr>
                <w:bCs/>
                <w:sz w:val="21"/>
              </w:rPr>
            </w:pPr>
            <w:r>
              <w:rPr>
                <w:bCs/>
                <w:sz w:val="21"/>
              </w:rPr>
              <w:t>Note 2: the study of energy savings specifically for IAB is not part of the scope.</w:t>
            </w:r>
          </w:p>
          <w:p>
            <w:pPr>
              <w:widowControl w:val="0"/>
              <w:spacing w:after="0"/>
              <w:rPr>
                <w:bCs/>
                <w:sz w:val="21"/>
              </w:rPr>
            </w:pPr>
          </w:p>
          <w:p>
            <w:pPr>
              <w:widowControl w:val="0"/>
              <w:spacing w:after="0"/>
              <w:rPr>
                <w:bCs/>
              </w:rPr>
            </w:pPr>
            <w:r>
              <w:rPr>
                <w:bCs/>
                <w:sz w:val="21"/>
              </w:rPr>
              <w:t>The</w:t>
            </w:r>
            <w:r>
              <w:rPr>
                <w:rFonts w:hint="eastAsia"/>
                <w:bCs/>
                <w:sz w:val="21"/>
              </w:rPr>
              <w:t xml:space="preserve"> </w:t>
            </w:r>
            <w:r>
              <w:rPr>
                <w:bCs/>
                <w:sz w:val="21"/>
              </w:rPr>
              <w:t>study should coordinate with RAN4 as needed.</w:t>
            </w:r>
          </w:p>
        </w:tc>
      </w:tr>
    </w:tbl>
    <w:p/>
    <w:p>
      <w:pPr>
        <w:pStyle w:val="3"/>
        <w:numPr>
          <w:ilvl w:val="0"/>
          <w:numId w:val="0"/>
        </w:numPr>
      </w:pPr>
      <w:r>
        <w:t xml:space="preserve">D. </w:t>
      </w:r>
      <w:r>
        <w:rPr>
          <w:rFonts w:hint="eastAsia"/>
        </w:rPr>
        <w:t>C</w:t>
      </w:r>
      <w:r>
        <w:t>ontact list per RAN1#109-e</w:t>
      </w:r>
    </w:p>
    <w:tbl>
      <w:tblPr>
        <w:tblStyle w:val="27"/>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83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283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Contact</w:t>
            </w:r>
          </w:p>
        </w:tc>
        <w:tc>
          <w:tcPr>
            <w:tcW w:w="496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 Ye</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sigen_ye@apple.com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 Zheng</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naizheng.zheng@nokia-sbell.com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Malgun Gothic"/>
                <w:lang w:eastAsia="ko-KR"/>
              </w:rPr>
            </w:pPr>
            <w:r>
              <w:rPr>
                <w:rFonts w:hint="eastAsia" w:eastAsia="Malgun Gothic"/>
                <w:lang w:eastAsia="ko-KR"/>
              </w:rPr>
              <w:t>Samsung</w:t>
            </w:r>
          </w:p>
        </w:tc>
        <w:tc>
          <w:tcPr>
            <w:tcW w:w="2835" w:type="dxa"/>
          </w:tcPr>
          <w:p>
            <w:pPr>
              <w:widowControl w:val="0"/>
              <w:spacing w:after="0"/>
              <w:jc w:val="center"/>
              <w:rPr>
                <w:rFonts w:eastAsia="Malgun Gothic"/>
                <w:lang w:eastAsia="ko-KR"/>
              </w:rPr>
            </w:pPr>
            <w:r>
              <w:rPr>
                <w:rFonts w:hint="eastAsia" w:eastAsia="Malgun Gothic"/>
                <w:lang w:eastAsia="ko-KR"/>
              </w:rPr>
              <w:t>Junyung</w:t>
            </w:r>
            <w:r>
              <w:rPr>
                <w:rFonts w:eastAsia="Malgun Gothic"/>
                <w:lang w:eastAsia="ko-KR"/>
              </w:rPr>
              <w:t xml:space="preserve"> Yi</w:t>
            </w:r>
          </w:p>
        </w:tc>
        <w:tc>
          <w:tcPr>
            <w:tcW w:w="4961" w:type="dxa"/>
          </w:tcPr>
          <w:p>
            <w:pPr>
              <w:widowControl w:val="0"/>
              <w:spacing w:after="0"/>
              <w:jc w:val="center"/>
              <w:rPr>
                <w:rFonts w:eastAsia="Malgun Gothic"/>
                <w:lang w:eastAsia="ko-KR"/>
              </w:rPr>
            </w:pPr>
            <w:r>
              <w:rPr>
                <w:rFonts w:eastAsia="Malgun Gothic"/>
                <w:lang w:eastAsia="ko-KR"/>
              </w:rPr>
              <w:t>j</w:t>
            </w:r>
            <w:r>
              <w:rPr>
                <w:rFonts w:hint="eastAsia" w:eastAsia="Malgun Gothic"/>
                <w:lang w:eastAsia="ko-KR"/>
              </w:rPr>
              <w:t>unyung.</w:t>
            </w:r>
            <w:r>
              <w:rPr>
                <w:rFonts w:eastAsia="Malgun Gothic"/>
                <w:lang w:eastAsia="ko-KR"/>
              </w:rPr>
              <w:t>yi@samsung.com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Mengzhu CHEN</w:t>
            </w:r>
          </w:p>
        </w:tc>
        <w:tc>
          <w:tcPr>
            <w:tcW w:w="4961" w:type="dxa"/>
          </w:tcPr>
          <w:p>
            <w:pPr>
              <w:widowControl w:val="0"/>
              <w:spacing w:after="0"/>
              <w:jc w:val="center"/>
              <w:rPr>
                <w:rFonts w:eastAsiaTheme="minorEastAsia"/>
              </w:rPr>
            </w:pPr>
            <w:r>
              <w:rPr>
                <w:rFonts w:hint="eastAsia" w:eastAsiaTheme="minorEastAsia"/>
              </w:rPr>
              <w:t>chen.mengzhu@zte.com.cn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Youjun HU</w:t>
            </w:r>
          </w:p>
        </w:tc>
        <w:tc>
          <w:tcPr>
            <w:tcW w:w="4961" w:type="dxa"/>
          </w:tcPr>
          <w:p>
            <w:pPr>
              <w:widowControl w:val="0"/>
              <w:spacing w:after="0"/>
              <w:jc w:val="center"/>
              <w:rPr>
                <w:rFonts w:eastAsiaTheme="minorEastAsia"/>
              </w:rPr>
            </w:pPr>
            <w:r>
              <w:rPr>
                <w:rFonts w:hint="eastAsia" w:eastAsiaTheme="minorEastAsia"/>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Panasonic</w:t>
            </w:r>
          </w:p>
        </w:tc>
        <w:tc>
          <w:tcPr>
            <w:tcW w:w="2835" w:type="dxa"/>
          </w:tcPr>
          <w:p>
            <w:pPr>
              <w:widowControl w:val="0"/>
              <w:spacing w:after="0"/>
              <w:jc w:val="center"/>
              <w:rPr>
                <w:rFonts w:eastAsiaTheme="minorEastAsia"/>
              </w:rPr>
            </w:pPr>
            <w:r>
              <w:rPr>
                <w:rFonts w:eastAsiaTheme="minorEastAsia"/>
              </w:rPr>
              <w:t>Hongchao LI</w:t>
            </w:r>
          </w:p>
        </w:tc>
        <w:tc>
          <w:tcPr>
            <w:tcW w:w="4961" w:type="dxa"/>
          </w:tcPr>
          <w:p>
            <w:pPr>
              <w:widowControl w:val="0"/>
              <w:spacing w:after="0"/>
              <w:jc w:val="center"/>
              <w:rPr>
                <w:rFonts w:eastAsiaTheme="minorEastAsia"/>
              </w:rPr>
            </w:pPr>
            <w:r>
              <w:rPr>
                <w:rFonts w:eastAsiaTheme="minorEastAsia"/>
              </w:rPr>
              <w:t>Hongchao.Li@eu.panasonic.com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Yi Wang</w:t>
            </w:r>
          </w:p>
        </w:tc>
        <w:tc>
          <w:tcPr>
            <w:tcW w:w="4961" w:type="dxa"/>
          </w:tcPr>
          <w:p>
            <w:pPr>
              <w:widowControl w:val="0"/>
              <w:spacing w:after="0"/>
              <w:jc w:val="center"/>
              <w:rPr>
                <w:rFonts w:eastAsiaTheme="minorEastAsia"/>
              </w:rPr>
            </w:pPr>
            <w:r>
              <w:rPr>
                <w:rFonts w:eastAsiaTheme="minorEastAsia"/>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Xiaolei TIE</w:t>
            </w:r>
          </w:p>
        </w:tc>
        <w:tc>
          <w:tcPr>
            <w:tcW w:w="4961" w:type="dxa"/>
          </w:tcPr>
          <w:p>
            <w:pPr>
              <w:widowControl w:val="0"/>
              <w:spacing w:after="0"/>
              <w:jc w:val="center"/>
              <w:rPr>
                <w:rFonts w:eastAsiaTheme="minorEastAsia"/>
              </w:rPr>
            </w:pPr>
            <w:r>
              <w:rPr>
                <w:rFonts w:eastAsiaTheme="minorEastAsia"/>
              </w:rPr>
              <w:t>tiexiaolei@huawei.com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MediaTek</w:t>
            </w:r>
          </w:p>
        </w:tc>
        <w:tc>
          <w:tcPr>
            <w:tcW w:w="2835" w:type="dxa"/>
          </w:tcPr>
          <w:p>
            <w:pPr>
              <w:widowControl w:val="0"/>
              <w:spacing w:after="0"/>
              <w:jc w:val="center"/>
              <w:rPr>
                <w:rFonts w:eastAsiaTheme="minorEastAsia"/>
              </w:rPr>
            </w:pPr>
            <w:r>
              <w:rPr>
                <w:rFonts w:eastAsiaTheme="minorEastAsia"/>
              </w:rPr>
              <w:t>Weide Wu</w:t>
            </w:r>
          </w:p>
        </w:tc>
        <w:tc>
          <w:tcPr>
            <w:tcW w:w="4961" w:type="dxa"/>
          </w:tcPr>
          <w:p>
            <w:pPr>
              <w:widowControl w:val="0"/>
              <w:spacing w:after="0"/>
              <w:jc w:val="center"/>
              <w:rPr>
                <w:rFonts w:eastAsiaTheme="minorEastAsia"/>
              </w:rPr>
            </w:pPr>
            <w:r>
              <w:rPr>
                <w:rFonts w:eastAsiaTheme="minorEastAsia"/>
              </w:rPr>
              <w:t>weide.wu@mediatek.com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X</w:t>
            </w:r>
            <w:r>
              <w:rPr>
                <w:rFonts w:eastAsiaTheme="minorEastAsia"/>
              </w:rPr>
              <w:t>iaomi</w:t>
            </w:r>
          </w:p>
        </w:tc>
        <w:tc>
          <w:tcPr>
            <w:tcW w:w="2835" w:type="dxa"/>
          </w:tcPr>
          <w:p>
            <w:pPr>
              <w:widowControl w:val="0"/>
              <w:spacing w:after="0"/>
              <w:jc w:val="center"/>
              <w:rPr>
                <w:rFonts w:eastAsiaTheme="minorEastAsia"/>
              </w:rPr>
            </w:pPr>
            <w:r>
              <w:rPr>
                <w:rFonts w:hint="eastAsia" w:eastAsiaTheme="minorEastAsia"/>
              </w:rPr>
              <w:t>F</w:t>
            </w:r>
            <w:r>
              <w:rPr>
                <w:rFonts w:eastAsiaTheme="minorEastAsia"/>
              </w:rPr>
              <w:t>u Ting</w:t>
            </w:r>
          </w:p>
        </w:tc>
        <w:tc>
          <w:tcPr>
            <w:tcW w:w="4961" w:type="dxa"/>
          </w:tcPr>
          <w:p>
            <w:pPr>
              <w:widowControl w:val="0"/>
              <w:spacing w:after="0"/>
              <w:jc w:val="center"/>
              <w:rPr>
                <w:rFonts w:eastAsiaTheme="minorEastAsia"/>
              </w:rPr>
            </w:pPr>
            <w:r>
              <w:rPr>
                <w:rFonts w:hint="eastAsia" w:eastAsiaTheme="minorEastAsia"/>
              </w:rPr>
              <w:t>f</w:t>
            </w:r>
            <w:r>
              <w:rPr>
                <w:rFonts w:eastAsiaTheme="minorEastAsia"/>
              </w:rPr>
              <w:t>uting@xiaomi.com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Y</w:t>
            </w:r>
            <w:r>
              <w:rPr>
                <w:rFonts w:eastAsiaTheme="minorEastAsia"/>
              </w:rPr>
              <w:t>an Li</w:t>
            </w:r>
          </w:p>
        </w:tc>
        <w:tc>
          <w:tcPr>
            <w:tcW w:w="4961" w:type="dxa"/>
          </w:tcPr>
          <w:p>
            <w:pPr>
              <w:widowControl w:val="0"/>
              <w:spacing w:after="0"/>
              <w:jc w:val="center"/>
              <w:rPr>
                <w:rFonts w:eastAsiaTheme="minorEastAsia"/>
              </w:rPr>
            </w:pPr>
            <w:r>
              <w:rPr>
                <w:rFonts w:hint="eastAsia" w:eastAsiaTheme="minorEastAsia"/>
              </w:rPr>
              <w:t>l</w:t>
            </w:r>
            <w:r>
              <w:rPr>
                <w:rFonts w:eastAsiaTheme="minorEastAsia"/>
              </w:rPr>
              <w:t>iyanwx@chinamobile.com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L</w:t>
            </w:r>
            <w:r>
              <w:rPr>
                <w:rFonts w:eastAsiaTheme="minorEastAsia"/>
              </w:rPr>
              <w:t>ijie Hu</w:t>
            </w:r>
          </w:p>
        </w:tc>
        <w:tc>
          <w:tcPr>
            <w:tcW w:w="4961" w:type="dxa"/>
          </w:tcPr>
          <w:p>
            <w:pPr>
              <w:widowControl w:val="0"/>
              <w:spacing w:after="0"/>
              <w:jc w:val="center"/>
              <w:rPr>
                <w:rFonts w:eastAsiaTheme="minorEastAsia"/>
              </w:rPr>
            </w:pPr>
            <w:r>
              <w:rPr>
                <w:rFonts w:hint="eastAsia" w:eastAsiaTheme="minorEastAsia"/>
              </w:rPr>
              <w:t>h</w:t>
            </w:r>
            <w:r>
              <w:rPr>
                <w:rFonts w:eastAsiaTheme="minorEastAsia"/>
              </w:rPr>
              <w:t>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China Telecom</w:t>
            </w:r>
          </w:p>
        </w:tc>
        <w:tc>
          <w:tcPr>
            <w:tcW w:w="2835" w:type="dxa"/>
          </w:tcPr>
          <w:p>
            <w:pPr>
              <w:widowControl w:val="0"/>
              <w:spacing w:after="0"/>
              <w:jc w:val="center"/>
              <w:rPr>
                <w:rFonts w:eastAsiaTheme="minorEastAsia"/>
              </w:rPr>
            </w:pPr>
            <w:r>
              <w:rPr>
                <w:rFonts w:eastAsiaTheme="minorEastAsia"/>
              </w:rPr>
              <w:t>Hang Yin</w:t>
            </w:r>
          </w:p>
        </w:tc>
        <w:tc>
          <w:tcPr>
            <w:tcW w:w="4961" w:type="dxa"/>
          </w:tcPr>
          <w:p>
            <w:pPr>
              <w:widowControl w:val="0"/>
              <w:spacing w:after="0"/>
              <w:jc w:val="center"/>
              <w:rPr>
                <w:color w:val="000000"/>
              </w:rPr>
            </w:pPr>
            <w:r>
              <w:fldChar w:fldCharType="begin"/>
            </w:r>
            <w:r>
              <w:instrText xml:space="preserve"> HYPERLINK "mailto:yinh6@chinatelecom.cn" </w:instrText>
            </w:r>
            <w:r>
              <w:fldChar w:fldCharType="separate"/>
            </w:r>
            <w:r>
              <w:rPr>
                <w:rStyle w:val="30"/>
              </w:rPr>
              <w:t>yinh6@chinatelecom.cn</w:t>
            </w:r>
            <w:r>
              <w:rPr>
                <w:rStyle w:val="3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2835" w:type="dxa"/>
          </w:tcPr>
          <w:p>
            <w:pPr>
              <w:widowControl w:val="0"/>
              <w:spacing w:after="0"/>
              <w:jc w:val="center"/>
              <w:rPr>
                <w:rFonts w:eastAsiaTheme="minorEastAsia"/>
              </w:rPr>
            </w:pPr>
            <w:r>
              <w:rPr>
                <w:rFonts w:hint="eastAsia" w:eastAsiaTheme="minorEastAsia"/>
              </w:rPr>
              <w:t>G</w:t>
            </w:r>
            <w:r>
              <w:rPr>
                <w:rFonts w:eastAsiaTheme="minorEastAsia"/>
              </w:rPr>
              <w:t>en Li</w:t>
            </w:r>
          </w:p>
        </w:tc>
        <w:tc>
          <w:tcPr>
            <w:tcW w:w="4961" w:type="dxa"/>
          </w:tcPr>
          <w:p>
            <w:pPr>
              <w:widowControl w:val="0"/>
              <w:spacing w:after="0"/>
              <w:jc w:val="center"/>
            </w:pPr>
            <w:r>
              <w:fldChar w:fldCharType="begin"/>
            </w:r>
            <w:r>
              <w:instrText xml:space="preserve"> HYPERLINK "mailto:reagan.li@vivo.com" </w:instrText>
            </w:r>
            <w:r>
              <w:fldChar w:fldCharType="separate"/>
            </w:r>
            <w:r>
              <w:rPr>
                <w:rStyle w:val="30"/>
              </w:rPr>
              <w:t>reagan.li@vivo.com</w:t>
            </w:r>
            <w:r>
              <w:rPr>
                <w:rStyle w:val="3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Y</w:t>
            </w:r>
            <w:r>
              <w:rPr>
                <w:rFonts w:eastAsia="MS Mincho"/>
                <w:lang w:eastAsia="ja-JP"/>
              </w:rPr>
              <w:t>ugen Takahashi</w:t>
            </w:r>
          </w:p>
        </w:tc>
        <w:tc>
          <w:tcPr>
            <w:tcW w:w="4961" w:type="dxa"/>
          </w:tcPr>
          <w:p>
            <w:pPr>
              <w:widowControl w:val="0"/>
              <w:spacing w:after="0"/>
              <w:jc w:val="center"/>
              <w:rPr>
                <w:rFonts w:eastAsia="MS Mincho"/>
                <w:lang w:eastAsia="ja-JP"/>
              </w:rPr>
            </w:pPr>
            <w:r>
              <w:rPr>
                <w:rFonts w:eastAsia="MS Mincho"/>
                <w:lang w:eastAsia="ja-JP"/>
              </w:rPr>
              <w:t>yugen.takahashi@docomo-lab.com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 Yu</w:t>
            </w:r>
          </w:p>
        </w:tc>
        <w:tc>
          <w:tcPr>
            <w:tcW w:w="4961"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iangy@docomolabs-beijing.com.cn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QC</w:t>
            </w:r>
          </w:p>
        </w:tc>
        <w:tc>
          <w:tcPr>
            <w:tcW w:w="2835" w:type="dxa"/>
          </w:tcPr>
          <w:p>
            <w:pPr>
              <w:widowControl w:val="0"/>
              <w:spacing w:after="0"/>
              <w:jc w:val="center"/>
              <w:rPr>
                <w:rFonts w:eastAsia="MS Mincho"/>
                <w:lang w:eastAsia="ja-JP"/>
              </w:rPr>
            </w:pPr>
            <w:r>
              <w:rPr>
                <w:rFonts w:eastAsia="MS Mincho"/>
                <w:lang w:eastAsia="ja-JP"/>
              </w:rPr>
              <w:t>Konstantinos Dimou</w:t>
            </w:r>
          </w:p>
        </w:tc>
        <w:tc>
          <w:tcPr>
            <w:tcW w:w="4961" w:type="dxa"/>
          </w:tcPr>
          <w:p>
            <w:pPr>
              <w:widowControl w:val="0"/>
              <w:spacing w:after="0"/>
              <w:jc w:val="center"/>
              <w:rPr>
                <w:rFonts w:eastAsia="MS Mincho"/>
                <w:lang w:eastAsia="ja-JP"/>
              </w:rPr>
            </w:pPr>
            <w:r>
              <w:rPr>
                <w:rFonts w:eastAsia="MS Mincho"/>
                <w:lang w:eastAsia="ja-JP"/>
              </w:rPr>
              <w:t>kdimou@qti.qualcomm.com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InterDigital</w:t>
            </w:r>
          </w:p>
        </w:tc>
        <w:tc>
          <w:tcPr>
            <w:tcW w:w="2835" w:type="dxa"/>
          </w:tcPr>
          <w:p>
            <w:pPr>
              <w:widowControl w:val="0"/>
              <w:spacing w:after="0"/>
              <w:jc w:val="center"/>
              <w:rPr>
                <w:rFonts w:eastAsia="MS Mincho"/>
                <w:lang w:eastAsia="ja-JP"/>
              </w:rPr>
            </w:pPr>
            <w:r>
              <w:rPr>
                <w:rFonts w:eastAsia="MS Mincho"/>
                <w:lang w:eastAsia="ja-JP"/>
              </w:rPr>
              <w:t>Erdem Bala</w:t>
            </w:r>
          </w:p>
        </w:tc>
        <w:tc>
          <w:tcPr>
            <w:tcW w:w="4961" w:type="dxa"/>
          </w:tcPr>
          <w:p>
            <w:pPr>
              <w:widowControl w:val="0"/>
              <w:spacing w:after="0"/>
              <w:jc w:val="center"/>
              <w:rPr>
                <w:rFonts w:eastAsia="MS Mincho"/>
                <w:lang w:eastAsia="ja-JP"/>
              </w:rPr>
            </w:pPr>
            <w:r>
              <w:rPr>
                <w:rFonts w:eastAsia="MS Mincho"/>
                <w:lang w:eastAsia="ja-JP"/>
              </w:rPr>
              <w:t>erdem.bala@interdigital.com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2835" w:type="dxa"/>
          </w:tcPr>
          <w:p>
            <w:pPr>
              <w:widowControl w:val="0"/>
              <w:spacing w:after="0"/>
              <w:jc w:val="center"/>
              <w:rPr>
                <w:rFonts w:eastAsia="MS Mincho"/>
                <w:lang w:eastAsia="ja-JP"/>
              </w:rPr>
            </w:pPr>
            <w:r>
              <w:rPr>
                <w:rFonts w:hint="eastAsia" w:eastAsiaTheme="minorEastAsia"/>
              </w:rPr>
              <w:t>H</w:t>
            </w:r>
            <w:r>
              <w:rPr>
                <w:rFonts w:eastAsiaTheme="minorEastAsia"/>
              </w:rPr>
              <w:t>uayu Zhou</w:t>
            </w:r>
          </w:p>
        </w:tc>
        <w:tc>
          <w:tcPr>
            <w:tcW w:w="4961" w:type="dxa"/>
          </w:tcPr>
          <w:p>
            <w:pPr>
              <w:widowControl w:val="0"/>
              <w:spacing w:after="0"/>
              <w:jc w:val="center"/>
              <w:rPr>
                <w:rFonts w:eastAsia="MS Mincho"/>
                <w:lang w:eastAsia="ja-JP"/>
              </w:rPr>
            </w:pPr>
            <w:r>
              <w:rPr>
                <w:rFonts w:eastAsiaTheme="minorEastAsia"/>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H</w:t>
            </w:r>
            <w:r>
              <w:rPr>
                <w:rFonts w:eastAsiaTheme="minorEastAsia"/>
              </w:rPr>
              <w:t>ao Lin</w:t>
            </w:r>
          </w:p>
        </w:tc>
        <w:tc>
          <w:tcPr>
            <w:tcW w:w="4961" w:type="dxa"/>
          </w:tcPr>
          <w:p>
            <w:pPr>
              <w:widowControl w:val="0"/>
              <w:spacing w:after="0"/>
              <w:jc w:val="center"/>
              <w:rPr>
                <w:rFonts w:eastAsiaTheme="minorEastAsia"/>
              </w:rPr>
            </w:pPr>
            <w:r>
              <w:rPr>
                <w:rFonts w:eastAsia="MS Mincho"/>
                <w:lang w:eastAsia="ja-JP"/>
              </w:rPr>
              <w:t>lin.hao@oppo.com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Z</w:t>
            </w:r>
            <w:r>
              <w:rPr>
                <w:rFonts w:eastAsiaTheme="minorEastAsia"/>
              </w:rPr>
              <w:t>uomin Wu</w:t>
            </w:r>
          </w:p>
        </w:tc>
        <w:tc>
          <w:tcPr>
            <w:tcW w:w="4961" w:type="dxa"/>
          </w:tcPr>
          <w:p>
            <w:pPr>
              <w:widowControl w:val="0"/>
              <w:spacing w:after="0"/>
              <w:jc w:val="center"/>
              <w:rPr>
                <w:rFonts w:eastAsiaTheme="minorEastAsia"/>
              </w:rPr>
            </w:pPr>
            <w:r>
              <w:rPr>
                <w:rFonts w:hint="eastAsia" w:eastAsiaTheme="minorEastAsia"/>
              </w:rPr>
              <w:t>w</w:t>
            </w:r>
            <w:r>
              <w:rPr>
                <w:rFonts w:eastAsiaTheme="minorEastAsia"/>
              </w:rPr>
              <w:t>uzuomin@oppo.com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Fujitsu</w:t>
            </w:r>
          </w:p>
        </w:tc>
        <w:tc>
          <w:tcPr>
            <w:tcW w:w="2835"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suyoshi Shimomura</w:t>
            </w:r>
          </w:p>
        </w:tc>
        <w:tc>
          <w:tcPr>
            <w:tcW w:w="4961"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csimomura@fujitsu.com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Intel</w:t>
            </w:r>
          </w:p>
        </w:tc>
        <w:tc>
          <w:tcPr>
            <w:tcW w:w="2835" w:type="dxa"/>
          </w:tcPr>
          <w:p>
            <w:pPr>
              <w:widowControl w:val="0"/>
              <w:spacing w:after="0"/>
              <w:jc w:val="center"/>
              <w:rPr>
                <w:rFonts w:eastAsia="MS Mincho"/>
                <w:lang w:eastAsia="ja-JP"/>
              </w:rPr>
            </w:pPr>
            <w:r>
              <w:rPr>
                <w:rFonts w:eastAsiaTheme="minorEastAsia"/>
              </w:rPr>
              <w:t>Toufiqul Islam</w:t>
            </w:r>
          </w:p>
        </w:tc>
        <w:tc>
          <w:tcPr>
            <w:tcW w:w="4961" w:type="dxa"/>
          </w:tcPr>
          <w:p>
            <w:pPr>
              <w:widowControl w:val="0"/>
              <w:spacing w:after="0"/>
              <w:jc w:val="center"/>
              <w:rPr>
                <w:rFonts w:eastAsia="MS Mincho"/>
                <w:lang w:eastAsia="ja-JP"/>
              </w:rPr>
            </w:pPr>
            <w:r>
              <w:fldChar w:fldCharType="begin"/>
            </w:r>
            <w:r>
              <w:instrText xml:space="preserve"> HYPERLINK "mailto:toufiqul.islam@intel.com" </w:instrText>
            </w:r>
            <w:r>
              <w:fldChar w:fldCharType="separate"/>
            </w:r>
            <w:r>
              <w:rPr>
                <w:rStyle w:val="30"/>
                <w:rFonts w:eastAsiaTheme="minorEastAsia"/>
              </w:rPr>
              <w:t>toufiqul.islam@intel.com</w:t>
            </w:r>
            <w:r>
              <w:rPr>
                <w:rStyle w:val="30"/>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Ravikiran Nory</w:t>
            </w:r>
          </w:p>
        </w:tc>
        <w:tc>
          <w:tcPr>
            <w:tcW w:w="4961" w:type="dxa"/>
          </w:tcPr>
          <w:p>
            <w:pPr>
              <w:widowControl w:val="0"/>
              <w:spacing w:after="0"/>
              <w:jc w:val="center"/>
              <w:rPr>
                <w:rFonts w:eastAsiaTheme="minorEastAsia"/>
              </w:rPr>
            </w:pPr>
            <w:r>
              <w:fldChar w:fldCharType="begin"/>
            </w:r>
            <w:r>
              <w:instrText xml:space="preserve"> HYPERLINK "mailto:Ravikiran.Nory@ericsson.com" </w:instrText>
            </w:r>
            <w:r>
              <w:fldChar w:fldCharType="separate"/>
            </w:r>
            <w:r>
              <w:rPr>
                <w:rStyle w:val="30"/>
                <w:rFonts w:eastAsiaTheme="minorEastAsia"/>
              </w:rPr>
              <w:t>Ravikiran.Nory@ericsson.com</w:t>
            </w:r>
            <w:r>
              <w:rPr>
                <w:rStyle w:val="30"/>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Ajit Nimbalker</w:t>
            </w:r>
          </w:p>
        </w:tc>
        <w:tc>
          <w:tcPr>
            <w:tcW w:w="4961" w:type="dxa"/>
          </w:tcPr>
          <w:p>
            <w:pPr>
              <w:widowControl w:val="0"/>
              <w:spacing w:after="0"/>
              <w:jc w:val="center"/>
              <w:rPr>
                <w:rFonts w:eastAsiaTheme="minorEastAsia"/>
              </w:rPr>
            </w:pPr>
            <w:r>
              <w:rPr>
                <w:rFonts w:eastAsiaTheme="minorEastAsia"/>
              </w:rPr>
              <w:t>Ajit.Nimbalker@ericsson.com</w:t>
            </w:r>
          </w:p>
        </w:tc>
      </w:tr>
    </w:tbl>
    <w:p/>
    <w:p>
      <w:pPr>
        <w:autoSpaceDE/>
        <w:autoSpaceDN/>
        <w:adjustRightInd/>
        <w:snapToGrid/>
        <w:spacing w:after="160"/>
        <w:jc w:val="left"/>
        <w:rPr>
          <w:lang w:eastAsia="en-US"/>
        </w:rPr>
      </w:pPr>
    </w:p>
    <w:sectPr>
      <w:pgSz w:w="11909" w:h="16834"/>
      <w:pgMar w:top="1418" w:right="1134" w:bottom="1134" w:left="1134" w:header="720" w:footer="72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auto"/>
    <w:pitch w:val="default"/>
    <w:sig w:usb0="00000000" w:usb1="00000000" w:usb2="00000030" w:usb3="00000000" w:csb0="0008009F" w:csb1="00000000"/>
  </w:font>
  <w:font w:name="MS Mincho">
    <w:altName w:val="Yu Gothic UI"/>
    <w:panose1 w:val="02020609040205080304"/>
    <w:charset w:val="80"/>
    <w:family w:val="roman"/>
    <w:pitch w:val="default"/>
    <w:sig w:usb0="00000000" w:usb1="00000000" w:usb2="00000010" w:usb3="00000000" w:csb0="00020000" w:csb1="00000000"/>
  </w:font>
  <w:font w:name="Malgun Gothic">
    <w:panose1 w:val="020B0503020000020004"/>
    <w:charset w:val="81"/>
    <w:family w:val="swiss"/>
    <w:pitch w:val="default"/>
    <w:sig w:usb0="9000002F" w:usb1="29D77CFB" w:usb2="00000012" w:usb3="00000000" w:csb0="00080001" w:csb1="00000000"/>
  </w:font>
  <w:font w:name="Calibri">
    <w:panose1 w:val="020F0502020204030204"/>
    <w:charset w:val="00"/>
    <w:family w:val="swiss"/>
    <w:pitch w:val="default"/>
    <w:sig w:usb0="E0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mn-cs">
    <w:altName w:val="Cambria"/>
    <w:panose1 w:val="00000000000000000000"/>
    <w:charset w:val="00"/>
    <w:family w:val="roman"/>
    <w:pitch w:val="default"/>
    <w:sig w:usb0="00000000" w:usb1="00000000" w:usb2="00000000" w:usb3="00000000" w:csb0="00000000" w:csb1="00000000"/>
  </w:font>
  <w:font w:name="+mn-ea">
    <w:altName w:val="Cambria"/>
    <w:panose1 w:val="00000000000000000000"/>
    <w:charset w:val="00"/>
    <w:family w:val="roman"/>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3AB1DE"/>
    <w:multiLevelType w:val="singleLevel"/>
    <w:tmpl w:val="833AB1DE"/>
    <w:lvl w:ilvl="0" w:tentative="0">
      <w:start w:val="1"/>
      <w:numFmt w:val="decimal"/>
      <w:suff w:val="space"/>
      <w:lvlText w:val="(%1)"/>
      <w:lvlJc w:val="left"/>
    </w:lvl>
  </w:abstractNum>
  <w:abstractNum w:abstractNumId="1">
    <w:nsid w:val="AC12866F"/>
    <w:multiLevelType w:val="singleLevel"/>
    <w:tmpl w:val="AC12866F"/>
    <w:lvl w:ilvl="0" w:tentative="0">
      <w:start w:val="1"/>
      <w:numFmt w:val="bullet"/>
      <w:lvlText w:val=""/>
      <w:lvlJc w:val="left"/>
      <w:pPr>
        <w:ind w:left="420" w:hanging="420"/>
      </w:pPr>
      <w:rPr>
        <w:rFonts w:hint="default" w:ascii="Wingdings" w:hAnsi="Wingdings"/>
      </w:rPr>
    </w:lvl>
  </w:abstractNum>
  <w:abstractNum w:abstractNumId="2">
    <w:nsid w:val="BD0CA652"/>
    <w:multiLevelType w:val="multilevel"/>
    <w:tmpl w:val="BD0CA652"/>
    <w:lvl w:ilvl="0" w:tentative="0">
      <w:start w:val="1"/>
      <w:numFmt w:val="decimal"/>
      <w:pStyle w:val="83"/>
      <w:lvlText w:val="Proposal %1:"/>
      <w:lvlJc w:val="left"/>
      <w:pPr>
        <w:tabs>
          <w:tab w:val="left" w:pos="0"/>
        </w:tabs>
        <w:ind w:left="0" w:firstLine="0"/>
      </w:pPr>
      <w:rPr>
        <w:rFonts w:hint="default" w:ascii="Times New Roman" w:hAnsi="Times New Roman" w:eastAsia="宋体" w:cs="Times New Roman"/>
        <w:b/>
        <w:bCs/>
        <w:i w:val="0"/>
        <w:iCs w:val="0"/>
        <w:highlight w:val="none"/>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CCE53728"/>
    <w:multiLevelType w:val="singleLevel"/>
    <w:tmpl w:val="CCE53728"/>
    <w:lvl w:ilvl="0" w:tentative="0">
      <w:start w:val="1"/>
      <w:numFmt w:val="bullet"/>
      <w:lvlText w:val=""/>
      <w:lvlJc w:val="left"/>
      <w:pPr>
        <w:ind w:left="420" w:hanging="420"/>
      </w:pPr>
      <w:rPr>
        <w:rFonts w:hint="default" w:ascii="Wingdings" w:hAnsi="Wingdings"/>
      </w:rPr>
    </w:lvl>
  </w:abstractNum>
  <w:abstractNum w:abstractNumId="4">
    <w:nsid w:val="DBDEA998"/>
    <w:multiLevelType w:val="singleLevel"/>
    <w:tmpl w:val="DBDEA998"/>
    <w:lvl w:ilvl="0" w:tentative="0">
      <w:start w:val="1"/>
      <w:numFmt w:val="bullet"/>
      <w:lvlText w:val=""/>
      <w:lvlJc w:val="left"/>
      <w:pPr>
        <w:ind w:left="420" w:hanging="420"/>
      </w:pPr>
      <w:rPr>
        <w:rFonts w:hint="default" w:ascii="Wingdings" w:hAnsi="Wingdings"/>
      </w:rPr>
    </w:lvl>
  </w:abstractNum>
  <w:abstractNum w:abstractNumId="5">
    <w:nsid w:val="FFFFFF82"/>
    <w:multiLevelType w:val="singleLevel"/>
    <w:tmpl w:val="FFFFFF82"/>
    <w:lvl w:ilvl="0" w:tentative="0">
      <w:start w:val="1"/>
      <w:numFmt w:val="bullet"/>
      <w:pStyle w:val="15"/>
      <w:lvlText w:val=""/>
      <w:lvlJc w:val="left"/>
      <w:pPr>
        <w:tabs>
          <w:tab w:val="left" w:pos="926"/>
        </w:tabs>
        <w:ind w:left="926" w:hanging="360"/>
      </w:pPr>
      <w:rPr>
        <w:rFonts w:hint="default" w:ascii="Symbol" w:hAnsi="Symbol"/>
      </w:rPr>
    </w:lvl>
  </w:abstractNum>
  <w:abstractNum w:abstractNumId="6">
    <w:nsid w:val="005D118D"/>
    <w:multiLevelType w:val="multilevel"/>
    <w:tmpl w:val="005D11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2B46822"/>
    <w:multiLevelType w:val="multilevel"/>
    <w:tmpl w:val="02B46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66D3FD3"/>
    <w:multiLevelType w:val="multilevel"/>
    <w:tmpl w:val="066D3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747558F"/>
    <w:multiLevelType w:val="multilevel"/>
    <w:tmpl w:val="074755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8D46686"/>
    <w:multiLevelType w:val="singleLevel"/>
    <w:tmpl w:val="08D46686"/>
    <w:lvl w:ilvl="0" w:tentative="0">
      <w:start w:val="1"/>
      <w:numFmt w:val="bullet"/>
      <w:lvlText w:val=""/>
      <w:lvlJc w:val="left"/>
      <w:pPr>
        <w:ind w:left="420" w:hanging="420"/>
      </w:pPr>
      <w:rPr>
        <w:rFonts w:hint="default" w:ascii="Wingdings" w:hAnsi="Wingdings"/>
      </w:rPr>
    </w:lvl>
  </w:abstractNum>
  <w:abstractNum w:abstractNumId="11">
    <w:nsid w:val="0BB149E6"/>
    <w:multiLevelType w:val="multilevel"/>
    <w:tmpl w:val="0BB149E6"/>
    <w:lvl w:ilvl="0" w:tentative="0">
      <w:start w:val="1"/>
      <w:numFmt w:val="bullet"/>
      <w:lvlText w:val="-"/>
      <w:lvlJc w:val="left"/>
      <w:pPr>
        <w:tabs>
          <w:tab w:val="left" w:pos="720"/>
        </w:tabs>
        <w:ind w:left="720" w:hanging="360"/>
      </w:pPr>
      <w:rPr>
        <w:rFonts w:hint="default" w:ascii="Times" w:hAnsi="Times" w:cs="Time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12">
    <w:nsid w:val="106A6B35"/>
    <w:multiLevelType w:val="multilevel"/>
    <w:tmpl w:val="106A6B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141306D"/>
    <w:multiLevelType w:val="multilevel"/>
    <w:tmpl w:val="114130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A154C10"/>
    <w:multiLevelType w:val="multilevel"/>
    <w:tmpl w:val="1A154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B5A0C2D"/>
    <w:multiLevelType w:val="multilevel"/>
    <w:tmpl w:val="1B5A0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E346D2B"/>
    <w:multiLevelType w:val="multilevel"/>
    <w:tmpl w:val="1E346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295795B"/>
    <w:multiLevelType w:val="multilevel"/>
    <w:tmpl w:val="229579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8">
    <w:nsid w:val="28CE0F23"/>
    <w:multiLevelType w:val="multilevel"/>
    <w:tmpl w:val="28CE0F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B314329"/>
    <w:multiLevelType w:val="multilevel"/>
    <w:tmpl w:val="2B314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E813FE2"/>
    <w:multiLevelType w:val="multilevel"/>
    <w:tmpl w:val="2E813FE2"/>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F103042"/>
    <w:multiLevelType w:val="multilevel"/>
    <w:tmpl w:val="2F103042"/>
    <w:lvl w:ilvl="0" w:tentative="0">
      <w:start w:val="1"/>
      <w:numFmt w:val="bullet"/>
      <w:lvlText w:val="•"/>
      <w:lvlJc w:val="left"/>
      <w:pPr>
        <w:ind w:left="360" w:hanging="360"/>
      </w:pPr>
      <w:rPr>
        <w:rFonts w:hint="default"/>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310C6468"/>
    <w:multiLevelType w:val="multilevel"/>
    <w:tmpl w:val="310C64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31CE62B3"/>
    <w:multiLevelType w:val="multilevel"/>
    <w:tmpl w:val="31CE62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2AB7D25"/>
    <w:multiLevelType w:val="multilevel"/>
    <w:tmpl w:val="32AB7D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33591829"/>
    <w:multiLevelType w:val="multilevel"/>
    <w:tmpl w:val="33591829"/>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6">
    <w:nsid w:val="33B557C1"/>
    <w:multiLevelType w:val="multilevel"/>
    <w:tmpl w:val="33B557C1"/>
    <w:lvl w:ilvl="0" w:tentative="0">
      <w:start w:val="1"/>
      <w:numFmt w:val="decimal"/>
      <w:pStyle w:val="2"/>
      <w:lvlText w:val="%1"/>
      <w:lvlJc w:val="left"/>
      <w:pPr>
        <w:tabs>
          <w:tab w:val="left" w:pos="432"/>
        </w:tabs>
        <w:ind w:left="432" w:hanging="432"/>
      </w:pPr>
      <w:rPr>
        <w:rFonts w:hint="default"/>
        <w:i w:val="0"/>
        <w:lang w:val="en-US"/>
      </w:rPr>
    </w:lvl>
    <w:lvl w:ilvl="1" w:tentative="0">
      <w:start w:val="1"/>
      <w:numFmt w:val="decimal"/>
      <w:pStyle w:val="3"/>
      <w:lvlText w:val="%1.%2"/>
      <w:lvlJc w:val="left"/>
      <w:pPr>
        <w:tabs>
          <w:tab w:val="left" w:pos="576"/>
        </w:tabs>
        <w:ind w:left="576" w:hanging="576"/>
      </w:pPr>
      <w:rPr>
        <w:rFonts w:hint="default" w:ascii="Times New Roman" w:hAnsi="Times New Roman"/>
        <w:b/>
        <w:i w:val="0"/>
        <w:sz w:val="24"/>
        <w:lang w:val="en-US"/>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27">
    <w:nsid w:val="34E20E2D"/>
    <w:multiLevelType w:val="multilevel"/>
    <w:tmpl w:val="34E20E2D"/>
    <w:lvl w:ilvl="0" w:tentative="0">
      <w:start w:val="1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A877D64"/>
    <w:multiLevelType w:val="singleLevel"/>
    <w:tmpl w:val="3A877D64"/>
    <w:lvl w:ilvl="0" w:tentative="0">
      <w:start w:val="1"/>
      <w:numFmt w:val="decimal"/>
      <w:pStyle w:val="35"/>
      <w:lvlText w:val="[%1]"/>
      <w:lvlJc w:val="left"/>
      <w:pPr>
        <w:tabs>
          <w:tab w:val="left" w:pos="360"/>
        </w:tabs>
        <w:ind w:left="360" w:hanging="360"/>
      </w:pPr>
      <w:rPr>
        <w:lang w:val="en-GB"/>
      </w:rPr>
    </w:lvl>
  </w:abstractNum>
  <w:abstractNum w:abstractNumId="29">
    <w:nsid w:val="3AA46647"/>
    <w:multiLevelType w:val="multilevel"/>
    <w:tmpl w:val="3AA46647"/>
    <w:lvl w:ilvl="0" w:tentative="0">
      <w:start w:val="1"/>
      <w:numFmt w:val="decimal"/>
      <w:pStyle w:val="87"/>
      <w:lvlText w:val="Proposal %1"/>
      <w:lvlJc w:val="left"/>
      <w:pPr>
        <w:tabs>
          <w:tab w:val="left" w:pos="1304"/>
        </w:tabs>
        <w:ind w:left="1304" w:hanging="1304"/>
      </w:pPr>
      <w:rPr>
        <w:lang w:val="en-G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0">
    <w:nsid w:val="3C5309AB"/>
    <w:multiLevelType w:val="multilevel"/>
    <w:tmpl w:val="3C5309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0CA39DA"/>
    <w:multiLevelType w:val="multilevel"/>
    <w:tmpl w:val="40CA39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10406AC"/>
    <w:multiLevelType w:val="multilevel"/>
    <w:tmpl w:val="410406AC"/>
    <w:lvl w:ilvl="0" w:tentative="0">
      <w:start w:val="1"/>
      <w:numFmt w:val="bullet"/>
      <w:lvlText w:val=""/>
      <w:lvlJc w:val="left"/>
      <w:pPr>
        <w:ind w:left="420" w:hanging="420"/>
      </w:pPr>
      <w:rPr>
        <w:rFonts w:hint="default" w:ascii="Symbol" w:hAnsi="Symbol"/>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412A2FD2"/>
    <w:multiLevelType w:val="multilevel"/>
    <w:tmpl w:val="412A2FD2"/>
    <w:lvl w:ilvl="0" w:tentative="0">
      <w:start w:val="1"/>
      <w:numFmt w:val="bullet"/>
      <w:lvlText w:val="•"/>
      <w:lvlJc w:val="left"/>
      <w:pPr>
        <w:ind w:left="420" w:hanging="420"/>
      </w:pPr>
      <w:rPr>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417F6AFB"/>
    <w:multiLevelType w:val="multilevel"/>
    <w:tmpl w:val="417F6AFB"/>
    <w:lvl w:ilvl="0" w:tentative="0">
      <w:start w:val="1"/>
      <w:numFmt w:val="bullet"/>
      <w:pStyle w:val="58"/>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lang w:val="en-GB"/>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35">
    <w:nsid w:val="41C61260"/>
    <w:multiLevelType w:val="multilevel"/>
    <w:tmpl w:val="41C612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37">
    <w:nsid w:val="4D3F2ED8"/>
    <w:multiLevelType w:val="multilevel"/>
    <w:tmpl w:val="4D3F2ED8"/>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8">
    <w:nsid w:val="4F914025"/>
    <w:multiLevelType w:val="multilevel"/>
    <w:tmpl w:val="4F914025"/>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52485B81"/>
    <w:multiLevelType w:val="multilevel"/>
    <w:tmpl w:val="5248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579A7B1E"/>
    <w:multiLevelType w:val="multilevel"/>
    <w:tmpl w:val="579A7B1E"/>
    <w:lvl w:ilvl="0" w:tentative="0">
      <w:start w:val="6"/>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5E8A2CB9"/>
    <w:multiLevelType w:val="multilevel"/>
    <w:tmpl w:val="5E8A2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60671BE7"/>
    <w:multiLevelType w:val="multilevel"/>
    <w:tmpl w:val="60671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61182FD8"/>
    <w:multiLevelType w:val="multilevel"/>
    <w:tmpl w:val="61182FD8"/>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6134D7F2"/>
    <w:multiLevelType w:val="singleLevel"/>
    <w:tmpl w:val="6134D7F2"/>
    <w:lvl w:ilvl="0" w:tentative="0">
      <w:start w:val="1"/>
      <w:numFmt w:val="decimal"/>
      <w:suff w:val="space"/>
      <w:lvlText w:val="(%1)"/>
      <w:lvlJc w:val="left"/>
    </w:lvl>
  </w:abstractNum>
  <w:abstractNum w:abstractNumId="45">
    <w:nsid w:val="61C4691F"/>
    <w:multiLevelType w:val="multilevel"/>
    <w:tmpl w:val="61C469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64CB166C"/>
    <w:multiLevelType w:val="multilevel"/>
    <w:tmpl w:val="64CB166C"/>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780" w:hanging="360"/>
      </w:pPr>
      <w:rPr>
        <w:rFonts w:hint="default" w:ascii="Symbol" w:hAnsi="Symbol"/>
      </w:rPr>
    </w:lvl>
    <w:lvl w:ilvl="2" w:tentative="0">
      <w:start w:val="1"/>
      <w:numFmt w:val="bullet"/>
      <w:lvlText w:val="o"/>
      <w:lvlJc w:val="left"/>
      <w:pPr>
        <w:ind w:left="1200" w:hanging="360"/>
      </w:pPr>
      <w:rPr>
        <w:rFonts w:hint="default" w:ascii="Courier New" w:hAnsi="Courier New" w:cs="Courier New"/>
      </w:rPr>
    </w:lvl>
    <w:lvl w:ilvl="3" w:tentative="0">
      <w:start w:val="1"/>
      <w:numFmt w:val="bullet"/>
      <w:lvlText w:val="o"/>
      <w:lvlJc w:val="left"/>
      <w:pPr>
        <w:ind w:left="1620" w:hanging="360"/>
      </w:pPr>
      <w:rPr>
        <w:rFonts w:hint="default" w:ascii="Courier New" w:hAnsi="Courier New" w:cs="Courier New"/>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669C2BBF"/>
    <w:multiLevelType w:val="multilevel"/>
    <w:tmpl w:val="669C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66E47392"/>
    <w:multiLevelType w:val="multilevel"/>
    <w:tmpl w:val="66E47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67F908D0"/>
    <w:multiLevelType w:val="multilevel"/>
    <w:tmpl w:val="67F908D0"/>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0">
    <w:nsid w:val="68294799"/>
    <w:multiLevelType w:val="multilevel"/>
    <w:tmpl w:val="68294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6A1C03D5"/>
    <w:multiLevelType w:val="multilevel"/>
    <w:tmpl w:val="6A1C03D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2">
    <w:nsid w:val="6A911DE4"/>
    <w:multiLevelType w:val="multilevel"/>
    <w:tmpl w:val="6A911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6AC636FE"/>
    <w:multiLevelType w:val="singleLevel"/>
    <w:tmpl w:val="6AC636FE"/>
    <w:lvl w:ilvl="0" w:tentative="0">
      <w:start w:val="1"/>
      <w:numFmt w:val="bullet"/>
      <w:lvlText w:val=""/>
      <w:lvlJc w:val="left"/>
      <w:pPr>
        <w:ind w:left="420" w:hanging="420"/>
      </w:pPr>
      <w:rPr>
        <w:rFonts w:hint="default" w:ascii="Wingdings" w:hAnsi="Wingdings"/>
      </w:rPr>
    </w:lvl>
  </w:abstractNum>
  <w:abstractNum w:abstractNumId="54">
    <w:nsid w:val="6D0F203A"/>
    <w:multiLevelType w:val="multilevel"/>
    <w:tmpl w:val="6D0F203A"/>
    <w:lvl w:ilvl="0" w:tentative="0">
      <w:start w:val="1"/>
      <w:numFmt w:val="bullet"/>
      <w:lvlText w:val=""/>
      <w:lvlJc w:val="left"/>
      <w:pPr>
        <w:ind w:left="1040" w:hanging="420"/>
      </w:pPr>
      <w:rPr>
        <w:rFonts w:hint="default" w:ascii="Symbol" w:hAnsi="Symbol"/>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55">
    <w:nsid w:val="730714B5"/>
    <w:multiLevelType w:val="multilevel"/>
    <w:tmpl w:val="730714B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78B21DDA"/>
    <w:multiLevelType w:val="multilevel"/>
    <w:tmpl w:val="78B21DDA"/>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78E7613E"/>
    <w:multiLevelType w:val="singleLevel"/>
    <w:tmpl w:val="78E7613E"/>
    <w:lvl w:ilvl="0" w:tentative="0">
      <w:start w:val="1"/>
      <w:numFmt w:val="bullet"/>
      <w:lvlText w:val=""/>
      <w:lvlJc w:val="left"/>
      <w:pPr>
        <w:ind w:left="420" w:hanging="420"/>
      </w:pPr>
      <w:rPr>
        <w:rFonts w:hint="default" w:ascii="Wingdings" w:hAnsi="Wingdings"/>
      </w:rPr>
    </w:lvl>
  </w:abstractNum>
  <w:abstractNum w:abstractNumId="58">
    <w:nsid w:val="7B5963FA"/>
    <w:multiLevelType w:val="multilevel"/>
    <w:tmpl w:val="7B5963FA"/>
    <w:lvl w:ilvl="0" w:tentative="0">
      <w:start w:val="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7B8E439D"/>
    <w:multiLevelType w:val="multilevel"/>
    <w:tmpl w:val="7B8E439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7F547DFD"/>
    <w:multiLevelType w:val="singleLevel"/>
    <w:tmpl w:val="7F547DFD"/>
    <w:lvl w:ilvl="0" w:tentative="0">
      <w:start w:val="1"/>
      <w:numFmt w:val="bullet"/>
      <w:pStyle w:val="63"/>
      <w:lvlText w:val=""/>
      <w:lvlJc w:val="left"/>
      <w:pPr>
        <w:tabs>
          <w:tab w:val="left" w:pos="1418"/>
        </w:tabs>
        <w:ind w:left="1418" w:hanging="426"/>
      </w:pPr>
      <w:rPr>
        <w:rFonts w:hint="default" w:ascii="Wingdings" w:hAnsi="Wingdings"/>
      </w:rPr>
    </w:lvl>
  </w:abstractNum>
  <w:num w:numId="1">
    <w:abstractNumId w:val="26"/>
  </w:num>
  <w:num w:numId="2">
    <w:abstractNumId w:val="5"/>
  </w:num>
  <w:num w:numId="3">
    <w:abstractNumId w:val="28"/>
  </w:num>
  <w:num w:numId="4">
    <w:abstractNumId w:val="34"/>
  </w:num>
  <w:num w:numId="5">
    <w:abstractNumId w:val="60"/>
  </w:num>
  <w:num w:numId="6">
    <w:abstractNumId w:val="2"/>
  </w:num>
  <w:num w:numId="7">
    <w:abstractNumId w:val="29"/>
  </w:num>
  <w:num w:numId="8">
    <w:abstractNumId w:val="36"/>
  </w:num>
  <w:num w:numId="9">
    <w:abstractNumId w:val="56"/>
  </w:num>
  <w:num w:numId="10">
    <w:abstractNumId w:val="52"/>
  </w:num>
  <w:num w:numId="11">
    <w:abstractNumId w:val="11"/>
  </w:num>
  <w:num w:numId="12">
    <w:abstractNumId w:val="40"/>
  </w:num>
  <w:num w:numId="13">
    <w:abstractNumId w:val="48"/>
  </w:num>
  <w:num w:numId="14">
    <w:abstractNumId w:val="49"/>
  </w:num>
  <w:num w:numId="15">
    <w:abstractNumId w:val="31"/>
  </w:num>
  <w:num w:numId="16">
    <w:abstractNumId w:val="53"/>
  </w:num>
  <w:num w:numId="17">
    <w:abstractNumId w:val="4"/>
  </w:num>
  <w:num w:numId="18">
    <w:abstractNumId w:val="10"/>
  </w:num>
  <w:num w:numId="19">
    <w:abstractNumId w:val="1"/>
  </w:num>
  <w:num w:numId="20">
    <w:abstractNumId w:val="57"/>
  </w:num>
  <w:num w:numId="21">
    <w:abstractNumId w:val="3"/>
  </w:num>
  <w:num w:numId="22">
    <w:abstractNumId w:val="42"/>
  </w:num>
  <w:num w:numId="23">
    <w:abstractNumId w:val="24"/>
  </w:num>
  <w:num w:numId="24">
    <w:abstractNumId w:val="41"/>
  </w:num>
  <w:num w:numId="25">
    <w:abstractNumId w:val="38"/>
  </w:num>
  <w:num w:numId="26">
    <w:abstractNumId w:val="16"/>
  </w:num>
  <w:num w:numId="27">
    <w:abstractNumId w:val="46"/>
  </w:num>
  <w:num w:numId="28">
    <w:abstractNumId w:val="13"/>
  </w:num>
  <w:num w:numId="29">
    <w:abstractNumId w:val="23"/>
  </w:num>
  <w:num w:numId="30">
    <w:abstractNumId w:val="39"/>
  </w:num>
  <w:num w:numId="31">
    <w:abstractNumId w:val="44"/>
  </w:num>
  <w:num w:numId="32">
    <w:abstractNumId w:val="43"/>
  </w:num>
  <w:num w:numId="33">
    <w:abstractNumId w:val="32"/>
  </w:num>
  <w:num w:numId="34">
    <w:abstractNumId w:val="33"/>
  </w:num>
  <w:num w:numId="35">
    <w:abstractNumId w:val="0"/>
  </w:num>
  <w:num w:numId="36">
    <w:abstractNumId w:val="19"/>
  </w:num>
  <w:num w:numId="37">
    <w:abstractNumId w:val="37"/>
  </w:num>
  <w:num w:numId="38">
    <w:abstractNumId w:val="58"/>
  </w:num>
  <w:num w:numId="39">
    <w:abstractNumId w:val="8"/>
  </w:num>
  <w:num w:numId="40">
    <w:abstractNumId w:val="59"/>
  </w:num>
  <w:num w:numId="41">
    <w:abstractNumId w:val="22"/>
  </w:num>
  <w:num w:numId="42">
    <w:abstractNumId w:val="20"/>
  </w:num>
  <w:num w:numId="43">
    <w:abstractNumId w:val="25"/>
  </w:num>
  <w:num w:numId="44">
    <w:abstractNumId w:val="14"/>
  </w:num>
  <w:num w:numId="45">
    <w:abstractNumId w:val="12"/>
  </w:num>
  <w:num w:numId="46">
    <w:abstractNumId w:val="30"/>
  </w:num>
  <w:num w:numId="47">
    <w:abstractNumId w:val="17"/>
  </w:num>
  <w:num w:numId="48">
    <w:abstractNumId w:val="18"/>
  </w:num>
  <w:num w:numId="49">
    <w:abstractNumId w:val="7"/>
  </w:num>
  <w:num w:numId="50">
    <w:abstractNumId w:val="47"/>
  </w:num>
  <w:num w:numId="51">
    <w:abstractNumId w:val="6"/>
  </w:num>
  <w:num w:numId="52">
    <w:abstractNumId w:val="50"/>
  </w:num>
  <w:num w:numId="53">
    <w:abstractNumId w:val="45"/>
  </w:num>
  <w:num w:numId="54">
    <w:abstractNumId w:val="27"/>
  </w:num>
  <w:num w:numId="55">
    <w:abstractNumId w:val="9"/>
  </w:num>
  <w:num w:numId="56">
    <w:abstractNumId w:val="21"/>
  </w:num>
  <w:num w:numId="57">
    <w:abstractNumId w:val="35"/>
  </w:num>
  <w:num w:numId="58">
    <w:abstractNumId w:val="15"/>
  </w:num>
  <w:num w:numId="59">
    <w:abstractNumId w:val="51"/>
  </w:num>
  <w:num w:numId="60">
    <w:abstractNumId w:val="54"/>
  </w:num>
  <w:num w:numId="61">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E02"/>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B50A5F"/>
    <w:rsid w:val="2D856D9C"/>
    <w:rsid w:val="2DB14C0E"/>
    <w:rsid w:val="2E86035A"/>
    <w:rsid w:val="2EA90CD5"/>
    <w:rsid w:val="2EE77E2A"/>
    <w:rsid w:val="2EF93760"/>
    <w:rsid w:val="2F3A420B"/>
    <w:rsid w:val="319A1196"/>
    <w:rsid w:val="31AE4F55"/>
    <w:rsid w:val="329D30E7"/>
    <w:rsid w:val="33012D0B"/>
    <w:rsid w:val="330C0E75"/>
    <w:rsid w:val="33B26032"/>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eastAsia="宋体" w:cs="Times New Roman"/>
      <w:lang w:val="en-US" w:eastAsia="zh-CN" w:bidi="ar-SA"/>
    </w:rPr>
  </w:style>
  <w:style w:type="paragraph" w:styleId="2">
    <w:name w:val="heading 1"/>
    <w:basedOn w:val="1"/>
    <w:next w:val="1"/>
    <w:link w:val="56"/>
    <w:qFormat/>
    <w:uiPriority w:val="0"/>
    <w:pPr>
      <w:keepNext/>
      <w:numPr>
        <w:ilvl w:val="0"/>
        <w:numId w:val="1"/>
      </w:numPr>
      <w:spacing w:before="120"/>
      <w:outlineLvl w:val="0"/>
    </w:pPr>
    <w:rPr>
      <w:b/>
      <w:bCs/>
      <w:sz w:val="28"/>
      <w:szCs w:val="28"/>
    </w:rPr>
  </w:style>
  <w:style w:type="paragraph" w:styleId="3">
    <w:name w:val="heading 2"/>
    <w:basedOn w:val="2"/>
    <w:next w:val="1"/>
    <w:link w:val="55"/>
    <w:qFormat/>
    <w:uiPriority w:val="0"/>
    <w:pPr>
      <w:numPr>
        <w:ilvl w:val="1"/>
      </w:numPr>
      <w:outlineLvl w:val="1"/>
    </w:pPr>
    <w:rPr>
      <w:sz w:val="24"/>
    </w:rPr>
  </w:style>
  <w:style w:type="paragraph" w:styleId="4">
    <w:name w:val="heading 3"/>
    <w:basedOn w:val="3"/>
    <w:next w:val="1"/>
    <w:link w:val="57"/>
    <w:qFormat/>
    <w:uiPriority w:val="0"/>
    <w:pPr>
      <w:numPr>
        <w:ilvl w:val="2"/>
      </w:numPr>
      <w:outlineLvl w:val="2"/>
    </w:pPr>
  </w:style>
  <w:style w:type="paragraph" w:styleId="5">
    <w:name w:val="heading 4"/>
    <w:basedOn w:val="1"/>
    <w:next w:val="1"/>
    <w:link w:val="66"/>
    <w:qFormat/>
    <w:uiPriority w:val="0"/>
    <w:pPr>
      <w:keepNext/>
      <w:numPr>
        <w:ilvl w:val="3"/>
        <w:numId w:val="1"/>
      </w:numPr>
      <w:tabs>
        <w:tab w:val="left" w:pos="432"/>
      </w:tabs>
      <w:spacing w:before="120"/>
      <w:outlineLvl w:val="3"/>
    </w:pPr>
    <w:rPr>
      <w:b/>
      <w:bCs/>
      <w:szCs w:val="28"/>
    </w:rPr>
  </w:style>
  <w:style w:type="paragraph" w:styleId="6">
    <w:name w:val="heading 5"/>
    <w:basedOn w:val="1"/>
    <w:next w:val="1"/>
    <w:qFormat/>
    <w:uiPriority w:val="0"/>
    <w:pPr>
      <w:keepNext/>
      <w:numPr>
        <w:ilvl w:val="4"/>
        <w:numId w:val="1"/>
      </w:numPr>
      <w:spacing w:before="120"/>
      <w:outlineLvl w:val="4"/>
    </w:pPr>
    <w:rPr>
      <w:b/>
      <w:bCs/>
      <w:i/>
      <w:iCs/>
      <w:szCs w:val="26"/>
    </w:rPr>
  </w:style>
  <w:style w:type="paragraph" w:styleId="7">
    <w:name w:val="heading 6"/>
    <w:basedOn w:val="1"/>
    <w:next w:val="1"/>
    <w:qFormat/>
    <w:uiPriority w:val="0"/>
    <w:pPr>
      <w:numPr>
        <w:ilvl w:val="5"/>
        <w:numId w:val="1"/>
      </w:numPr>
      <w:spacing w:before="240" w:after="60"/>
      <w:outlineLvl w:val="5"/>
    </w:pPr>
    <w:rPr>
      <w:b/>
      <w:bCs/>
    </w:rPr>
  </w:style>
  <w:style w:type="paragraph" w:styleId="8">
    <w:name w:val="heading 7"/>
    <w:basedOn w:val="1"/>
    <w:next w:val="1"/>
    <w:qFormat/>
    <w:uiPriority w:val="0"/>
    <w:pPr>
      <w:numPr>
        <w:ilvl w:val="6"/>
        <w:numId w:val="1"/>
      </w:numPr>
      <w:spacing w:before="240" w:after="60"/>
      <w:outlineLvl w:val="6"/>
    </w:pPr>
    <w:rPr>
      <w:sz w:val="24"/>
      <w:szCs w:val="24"/>
    </w:rPr>
  </w:style>
  <w:style w:type="paragraph" w:styleId="9">
    <w:name w:val="heading 8"/>
    <w:basedOn w:val="1"/>
    <w:next w:val="1"/>
    <w:qFormat/>
    <w:uiPriority w:val="0"/>
    <w:pPr>
      <w:numPr>
        <w:ilvl w:val="7"/>
        <w:numId w:val="1"/>
      </w:numPr>
      <w:spacing w:before="240" w:after="60"/>
      <w:outlineLvl w:val="7"/>
    </w:pPr>
    <w:rPr>
      <w:i/>
      <w:iCs/>
      <w:sz w:val="24"/>
      <w:szCs w:val="24"/>
    </w:rPr>
  </w:style>
  <w:style w:type="paragraph" w:styleId="10">
    <w:name w:val="heading 9"/>
    <w:basedOn w:val="1"/>
    <w:next w:val="1"/>
    <w:qFormat/>
    <w:uiPriority w:val="0"/>
    <w:pPr>
      <w:numPr>
        <w:ilvl w:val="8"/>
        <w:numId w:val="1"/>
      </w:numPr>
      <w:spacing w:before="240" w:after="60"/>
      <w:outlineLvl w:val="8"/>
    </w:pPr>
    <w:rPr>
      <w:rFonts w:ascii="Arial" w:hAnsi="Arial" w:cs="Arial"/>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34"/>
    <w:qFormat/>
    <w:uiPriority w:val="0"/>
    <w:pPr>
      <w:jc w:val="center"/>
    </w:pPr>
    <w:rPr>
      <w:b/>
      <w:bCs/>
    </w:rPr>
  </w:style>
  <w:style w:type="paragraph" w:styleId="12">
    <w:name w:val="List Bullet"/>
    <w:basedOn w:val="13"/>
    <w:qFormat/>
    <w:uiPriority w:val="0"/>
    <w:pPr>
      <w:autoSpaceDE/>
      <w:autoSpaceDN/>
      <w:adjustRightInd/>
      <w:spacing w:after="180"/>
      <w:ind w:left="568" w:hanging="284"/>
      <w:jc w:val="left"/>
    </w:pPr>
    <w:rPr>
      <w:lang w:val="en-GB"/>
    </w:rPr>
  </w:style>
  <w:style w:type="paragraph" w:styleId="13">
    <w:name w:val="List"/>
    <w:basedOn w:val="1"/>
    <w:qFormat/>
    <w:uiPriority w:val="0"/>
    <w:pPr>
      <w:ind w:left="360" w:hanging="360"/>
    </w:pPr>
  </w:style>
  <w:style w:type="paragraph" w:styleId="14">
    <w:name w:val="annotation text"/>
    <w:basedOn w:val="1"/>
    <w:link w:val="46"/>
    <w:unhideWhenUsed/>
    <w:qFormat/>
    <w:uiPriority w:val="0"/>
    <w:pPr>
      <w:jc w:val="left"/>
    </w:pPr>
  </w:style>
  <w:style w:type="paragraph" w:styleId="15">
    <w:name w:val="List Bullet 3"/>
    <w:basedOn w:val="1"/>
    <w:semiHidden/>
    <w:unhideWhenUsed/>
    <w:qFormat/>
    <w:uiPriority w:val="0"/>
    <w:pPr>
      <w:numPr>
        <w:ilvl w:val="0"/>
        <w:numId w:val="2"/>
      </w:numPr>
      <w:contextualSpacing/>
    </w:pPr>
  </w:style>
  <w:style w:type="paragraph" w:styleId="16">
    <w:name w:val="Body Text"/>
    <w:basedOn w:val="1"/>
    <w:link w:val="33"/>
    <w:qFormat/>
    <w:uiPriority w:val="0"/>
  </w:style>
  <w:style w:type="paragraph" w:styleId="17">
    <w:name w:val="List 2"/>
    <w:basedOn w:val="13"/>
    <w:qFormat/>
    <w:uiPriority w:val="0"/>
    <w:pPr>
      <w:ind w:left="851"/>
    </w:pPr>
  </w:style>
  <w:style w:type="paragraph" w:styleId="18">
    <w:name w:val="Balloon Text"/>
    <w:basedOn w:val="1"/>
    <w:semiHidden/>
    <w:qFormat/>
    <w:uiPriority w:val="0"/>
    <w:rPr>
      <w:rFonts w:ascii="Tahoma" w:hAnsi="Tahoma" w:cs="Tahoma"/>
      <w:sz w:val="16"/>
      <w:szCs w:val="16"/>
    </w:rPr>
  </w:style>
  <w:style w:type="paragraph" w:styleId="19">
    <w:name w:val="footer"/>
    <w:basedOn w:val="1"/>
    <w:link w:val="41"/>
    <w:qFormat/>
    <w:uiPriority w:val="0"/>
    <w:pPr>
      <w:tabs>
        <w:tab w:val="center" w:pos="4680"/>
        <w:tab w:val="right" w:pos="9360"/>
      </w:tabs>
    </w:pPr>
  </w:style>
  <w:style w:type="paragraph" w:styleId="20">
    <w:name w:val="header"/>
    <w:basedOn w:val="1"/>
    <w:link w:val="40"/>
    <w:qFormat/>
    <w:uiPriority w:val="0"/>
    <w:pPr>
      <w:tabs>
        <w:tab w:val="center" w:pos="4680"/>
        <w:tab w:val="right" w:pos="9360"/>
      </w:tabs>
    </w:pPr>
  </w:style>
  <w:style w:type="paragraph" w:styleId="21">
    <w:name w:val="Subtitle"/>
    <w:basedOn w:val="1"/>
    <w:next w:val="1"/>
    <w:link w:val="60"/>
    <w:qFormat/>
    <w:uiPriority w:val="0"/>
    <w:pPr>
      <w:autoSpaceDE/>
      <w:autoSpaceDN/>
      <w:adjustRightInd/>
      <w:snapToGrid/>
      <w:spacing w:after="180" w:line="256" w:lineRule="auto"/>
      <w:ind w:left="284" w:hanging="284"/>
      <w:jc w:val="left"/>
    </w:pPr>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paragraph" w:styleId="22">
    <w:name w:val="footnote text"/>
    <w:basedOn w:val="1"/>
    <w:semiHidden/>
    <w:qFormat/>
    <w:uiPriority w:val="0"/>
  </w:style>
  <w:style w:type="paragraph" w:styleId="23">
    <w:name w:val="Body Text 2"/>
    <w:basedOn w:val="1"/>
    <w:qFormat/>
    <w:uiPriority w:val="0"/>
    <w:pPr>
      <w:spacing w:after="0"/>
      <w:jc w:val="left"/>
    </w:pPr>
  </w:style>
  <w:style w:type="paragraph" w:styleId="24">
    <w:name w:val="Normal (Web)"/>
    <w:basedOn w:val="1"/>
    <w:unhideWhenUsed/>
    <w:qFormat/>
    <w:uiPriority w:val="99"/>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25">
    <w:name w:val="annotation subject"/>
    <w:basedOn w:val="14"/>
    <w:next w:val="14"/>
    <w:link w:val="47"/>
    <w:semiHidden/>
    <w:unhideWhenUsed/>
    <w:qFormat/>
    <w:uiPriority w:val="0"/>
    <w:rPr>
      <w:b/>
      <w:bCs/>
    </w:rPr>
  </w:style>
  <w:style w:type="table" w:styleId="27">
    <w:name w:val="Table Grid"/>
    <w:basedOn w:val="26"/>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qFormat/>
    <w:uiPriority w:val="0"/>
    <w:rPr>
      <w:color w:val="800080"/>
      <w:u w:val="single"/>
    </w:rPr>
  </w:style>
  <w:style w:type="character" w:styleId="30">
    <w:name w:val="Hyperlink"/>
    <w:basedOn w:val="28"/>
    <w:qFormat/>
    <w:uiPriority w:val="99"/>
    <w:rPr>
      <w:color w:val="0000FF"/>
      <w:u w:val="single"/>
    </w:rPr>
  </w:style>
  <w:style w:type="character" w:styleId="31">
    <w:name w:val="annotation reference"/>
    <w:basedOn w:val="28"/>
    <w:semiHidden/>
    <w:unhideWhenUsed/>
    <w:qFormat/>
    <w:uiPriority w:val="0"/>
    <w:rPr>
      <w:sz w:val="21"/>
      <w:szCs w:val="21"/>
    </w:rPr>
  </w:style>
  <w:style w:type="character" w:styleId="32">
    <w:name w:val="footnote reference"/>
    <w:basedOn w:val="28"/>
    <w:semiHidden/>
    <w:qFormat/>
    <w:uiPriority w:val="0"/>
    <w:rPr>
      <w:vertAlign w:val="superscript"/>
    </w:rPr>
  </w:style>
  <w:style w:type="character" w:customStyle="1" w:styleId="33">
    <w:name w:val="正文文本 字符"/>
    <w:basedOn w:val="28"/>
    <w:link w:val="16"/>
    <w:qFormat/>
    <w:uiPriority w:val="0"/>
  </w:style>
  <w:style w:type="character" w:customStyle="1" w:styleId="34">
    <w:name w:val="题注 字符"/>
    <w:basedOn w:val="28"/>
    <w:link w:val="11"/>
    <w:qFormat/>
    <w:uiPriority w:val="0"/>
    <w:rPr>
      <w:b/>
      <w:bCs/>
    </w:rPr>
  </w:style>
  <w:style w:type="paragraph" w:customStyle="1" w:styleId="35">
    <w:name w:val="References"/>
    <w:basedOn w:val="1"/>
    <w:qFormat/>
    <w:uiPriority w:val="0"/>
    <w:pPr>
      <w:numPr>
        <w:ilvl w:val="0"/>
        <w:numId w:val="3"/>
      </w:numPr>
      <w:adjustRightInd/>
      <w:spacing w:after="60"/>
    </w:pPr>
    <w:rPr>
      <w:szCs w:val="16"/>
    </w:rPr>
  </w:style>
  <w:style w:type="paragraph" w:customStyle="1" w:styleId="36">
    <w:name w:val="_Style 26"/>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37">
    <w:name w:val="Figure"/>
    <w:basedOn w:val="1"/>
    <w:qFormat/>
    <w:uiPriority w:val="0"/>
    <w:pPr>
      <w:keepNext/>
      <w:jc w:val="center"/>
    </w:pPr>
  </w:style>
  <w:style w:type="paragraph" w:customStyle="1" w:styleId="38">
    <w:name w:val="Eqn"/>
    <w:basedOn w:val="1"/>
    <w:qFormat/>
    <w:uiPriority w:val="0"/>
    <w:pPr>
      <w:tabs>
        <w:tab w:val="center" w:pos="4608"/>
        <w:tab w:val="right" w:pos="9216"/>
      </w:tabs>
    </w:pPr>
    <w:rPr>
      <w:lang w:eastAsia="ja-JP"/>
    </w:rPr>
  </w:style>
  <w:style w:type="paragraph" w:customStyle="1" w:styleId="39">
    <w:name w:val="tablecell"/>
    <w:basedOn w:val="1"/>
    <w:qFormat/>
    <w:uiPriority w:val="0"/>
    <w:pPr>
      <w:spacing w:before="20" w:after="20"/>
      <w:jc w:val="left"/>
    </w:pPr>
  </w:style>
  <w:style w:type="character" w:customStyle="1" w:styleId="40">
    <w:name w:val="页眉 字符"/>
    <w:basedOn w:val="28"/>
    <w:link w:val="20"/>
    <w:qFormat/>
    <w:uiPriority w:val="0"/>
    <w:rPr>
      <w:sz w:val="22"/>
      <w:szCs w:val="22"/>
    </w:rPr>
  </w:style>
  <w:style w:type="character" w:customStyle="1" w:styleId="41">
    <w:name w:val="页脚 字符"/>
    <w:basedOn w:val="28"/>
    <w:link w:val="19"/>
    <w:qFormat/>
    <w:uiPriority w:val="0"/>
    <w:rPr>
      <w:sz w:val="22"/>
      <w:szCs w:val="22"/>
    </w:rPr>
  </w:style>
  <w:style w:type="paragraph" w:customStyle="1" w:styleId="42">
    <w:name w:val="tablecol"/>
    <w:basedOn w:val="39"/>
    <w:qFormat/>
    <w:uiPriority w:val="0"/>
    <w:pPr>
      <w:jc w:val="center"/>
    </w:pPr>
    <w:rPr>
      <w:b/>
    </w:rPr>
  </w:style>
  <w:style w:type="paragraph" w:styleId="43">
    <w:name w:val="Intense Quote"/>
    <w:basedOn w:val="1"/>
    <w:next w:val="1"/>
    <w:link w:val="4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4">
    <w:name w:val="明显引用 字符"/>
    <w:basedOn w:val="28"/>
    <w:link w:val="43"/>
    <w:qFormat/>
    <w:uiPriority w:val="30"/>
    <w:rPr>
      <w:i/>
      <w:iCs/>
      <w:color w:val="4F81BD" w:themeColor="accent1"/>
      <w:sz w:val="22"/>
      <w:szCs w:val="22"/>
      <w14:textFill>
        <w14:solidFill>
          <w14:schemeClr w14:val="accent1"/>
        </w14:solidFill>
      </w14:textFill>
    </w:rPr>
  </w:style>
  <w:style w:type="paragraph" w:customStyle="1" w:styleId="45">
    <w:name w:val="Title Text"/>
    <w:basedOn w:val="1"/>
    <w:next w:val="1"/>
    <w:qFormat/>
    <w:uiPriority w:val="0"/>
    <w:pPr>
      <w:autoSpaceDE/>
      <w:autoSpaceDN/>
      <w:adjustRightInd/>
      <w:snapToGrid/>
      <w:spacing w:after="220"/>
      <w:jc w:val="left"/>
    </w:pPr>
    <w:rPr>
      <w:rFonts w:ascii="Arial" w:hAnsi="Arial" w:eastAsia="MS Gothic"/>
      <w:b/>
      <w:szCs w:val="24"/>
      <w:lang w:val="en-GB"/>
    </w:rPr>
  </w:style>
  <w:style w:type="character" w:customStyle="1" w:styleId="46">
    <w:name w:val="批注文字 字符"/>
    <w:basedOn w:val="28"/>
    <w:link w:val="14"/>
    <w:qFormat/>
    <w:uiPriority w:val="0"/>
    <w:rPr>
      <w:sz w:val="22"/>
      <w:szCs w:val="22"/>
    </w:rPr>
  </w:style>
  <w:style w:type="character" w:customStyle="1" w:styleId="47">
    <w:name w:val="批注主题 字符"/>
    <w:basedOn w:val="46"/>
    <w:link w:val="25"/>
    <w:semiHidden/>
    <w:qFormat/>
    <w:uiPriority w:val="0"/>
    <w:rPr>
      <w:b/>
      <w:bCs/>
      <w:sz w:val="22"/>
      <w:szCs w:val="22"/>
    </w:rPr>
  </w:style>
  <w:style w:type="paragraph" w:styleId="48">
    <w:name w:val="List Paragraph"/>
    <w:basedOn w:val="1"/>
    <w:link w:val="49"/>
    <w:qFormat/>
    <w:uiPriority w:val="34"/>
    <w:pPr>
      <w:overflowPunct w:val="0"/>
      <w:snapToGrid/>
      <w:spacing w:after="180"/>
      <w:ind w:left="720"/>
      <w:contextualSpacing/>
      <w:jc w:val="left"/>
      <w:textAlignment w:val="baseline"/>
    </w:pPr>
    <w:rPr>
      <w:lang w:val="en-GB" w:eastAsia="ja-JP"/>
    </w:rPr>
  </w:style>
  <w:style w:type="character" w:customStyle="1" w:styleId="49">
    <w:name w:val="列表段落 字符"/>
    <w:link w:val="48"/>
    <w:qFormat/>
    <w:locked/>
    <w:uiPriority w:val="34"/>
    <w:rPr>
      <w:lang w:val="en-GB" w:eastAsia="ja-JP"/>
    </w:rPr>
  </w:style>
  <w:style w:type="paragraph" w:customStyle="1" w:styleId="50">
    <w:name w:val="LGTdoc_본문"/>
    <w:basedOn w:val="1"/>
    <w:link w:val="51"/>
    <w:qFormat/>
    <w:uiPriority w:val="0"/>
    <w:pPr>
      <w:widowControl w:val="0"/>
      <w:spacing w:afterLines="50" w:line="264" w:lineRule="auto"/>
    </w:pPr>
    <w:rPr>
      <w:rFonts w:eastAsia="Batang"/>
      <w:kern w:val="2"/>
      <w:szCs w:val="24"/>
      <w:lang w:val="en-GB" w:eastAsia="ko-KR"/>
    </w:rPr>
  </w:style>
  <w:style w:type="character" w:customStyle="1" w:styleId="51">
    <w:name w:val="LGTdoc_본문 Char"/>
    <w:link w:val="50"/>
    <w:qFormat/>
    <w:uiPriority w:val="0"/>
    <w:rPr>
      <w:rFonts w:eastAsia="Batang"/>
      <w:kern w:val="2"/>
      <w:sz w:val="22"/>
      <w:szCs w:val="24"/>
      <w:lang w:val="en-GB" w:eastAsia="ko-KR"/>
    </w:rPr>
  </w:style>
  <w:style w:type="paragraph" w:styleId="52">
    <w:name w:val="Quote"/>
    <w:basedOn w:val="1"/>
    <w:next w:val="1"/>
    <w:link w:val="5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引用 字符"/>
    <w:basedOn w:val="28"/>
    <w:link w:val="52"/>
    <w:qFormat/>
    <w:uiPriority w:val="29"/>
    <w:rPr>
      <w:i/>
      <w:iCs/>
      <w:color w:val="404040" w:themeColor="text1" w:themeTint="BF"/>
      <w:sz w:val="22"/>
      <w:szCs w:val="22"/>
      <w14:textFill>
        <w14:solidFill>
          <w14:schemeClr w14:val="tx1">
            <w14:lumMod w14:val="75000"/>
            <w14:lumOff w14:val="25000"/>
          </w14:schemeClr>
        </w14:solidFill>
      </w14:textFill>
    </w:rPr>
  </w:style>
  <w:style w:type="character" w:customStyle="1" w:styleId="54">
    <w:name w:val="Book Title1"/>
    <w:basedOn w:val="28"/>
    <w:qFormat/>
    <w:uiPriority w:val="33"/>
    <w:rPr>
      <w:b/>
      <w:bCs/>
      <w:i/>
      <w:iCs/>
      <w:spacing w:val="5"/>
    </w:rPr>
  </w:style>
  <w:style w:type="character" w:customStyle="1" w:styleId="55">
    <w:name w:val="标题 2 字符"/>
    <w:basedOn w:val="28"/>
    <w:link w:val="3"/>
    <w:qFormat/>
    <w:uiPriority w:val="0"/>
    <w:rPr>
      <w:b/>
      <w:bCs/>
      <w:sz w:val="24"/>
      <w:szCs w:val="28"/>
      <w:lang w:eastAsia="zh-CN"/>
    </w:rPr>
  </w:style>
  <w:style w:type="character" w:customStyle="1" w:styleId="56">
    <w:name w:val="标题 1 字符"/>
    <w:basedOn w:val="28"/>
    <w:link w:val="2"/>
    <w:qFormat/>
    <w:uiPriority w:val="0"/>
    <w:rPr>
      <w:b/>
      <w:bCs/>
      <w:sz w:val="28"/>
      <w:szCs w:val="28"/>
      <w:lang w:eastAsia="zh-CN"/>
    </w:rPr>
  </w:style>
  <w:style w:type="character" w:customStyle="1" w:styleId="57">
    <w:name w:val="标题 3 字符"/>
    <w:basedOn w:val="28"/>
    <w:link w:val="4"/>
    <w:qFormat/>
    <w:uiPriority w:val="0"/>
    <w:rPr>
      <w:b/>
      <w:bCs/>
      <w:sz w:val="24"/>
      <w:szCs w:val="28"/>
      <w:lang w:eastAsia="zh-CN"/>
    </w:rPr>
  </w:style>
  <w:style w:type="paragraph" w:customStyle="1" w:styleId="58">
    <w:name w:val="3GPP Agreements"/>
    <w:basedOn w:val="1"/>
    <w:link w:val="59"/>
    <w:qFormat/>
    <w:uiPriority w:val="0"/>
    <w:pPr>
      <w:numPr>
        <w:ilvl w:val="0"/>
        <w:numId w:val="4"/>
      </w:numPr>
      <w:overflowPunct w:val="0"/>
      <w:snapToGrid/>
      <w:spacing w:before="60" w:after="60"/>
      <w:textAlignment w:val="baseline"/>
    </w:pPr>
  </w:style>
  <w:style w:type="character" w:customStyle="1" w:styleId="59">
    <w:name w:val="3GPP Agreements Char"/>
    <w:link w:val="58"/>
    <w:qFormat/>
    <w:uiPriority w:val="0"/>
    <w:rPr>
      <w:lang w:eastAsia="zh-CN"/>
    </w:rPr>
  </w:style>
  <w:style w:type="character" w:customStyle="1" w:styleId="60">
    <w:name w:val="副标题 字符"/>
    <w:basedOn w:val="28"/>
    <w:link w:val="21"/>
    <w:qFormat/>
    <w:uiPriority w:val="0"/>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character" w:styleId="61">
    <w:name w:val="Placeholder Text"/>
    <w:basedOn w:val="28"/>
    <w:semiHidden/>
    <w:qFormat/>
    <w:uiPriority w:val="99"/>
    <w:rPr>
      <w:color w:val="808080"/>
    </w:rPr>
  </w:style>
  <w:style w:type="paragraph" w:customStyle="1" w:styleId="62">
    <w:name w:val="Revision1"/>
    <w:hidden/>
    <w:semiHidden/>
    <w:qFormat/>
    <w:uiPriority w:val="99"/>
    <w:pPr>
      <w:spacing w:after="160" w:line="259" w:lineRule="auto"/>
      <w:jc w:val="both"/>
    </w:pPr>
    <w:rPr>
      <w:rFonts w:ascii="Times New Roman" w:hAnsi="Times New Roman" w:eastAsia="宋体" w:cs="Times New Roman"/>
      <w:sz w:val="22"/>
      <w:szCs w:val="22"/>
      <w:lang w:val="en-US" w:eastAsia="en-US" w:bidi="ar-SA"/>
    </w:rPr>
  </w:style>
  <w:style w:type="paragraph" w:customStyle="1" w:styleId="63">
    <w:name w:val="text intend 2"/>
    <w:basedOn w:val="1"/>
    <w:qFormat/>
    <w:uiPriority w:val="0"/>
    <w:pPr>
      <w:numPr>
        <w:ilvl w:val="0"/>
        <w:numId w:val="5"/>
      </w:numPr>
      <w:overflowPunct w:val="0"/>
      <w:snapToGrid/>
      <w:textAlignment w:val="baseline"/>
    </w:pPr>
    <w:rPr>
      <w:rFonts w:eastAsia="MS Mincho"/>
      <w:sz w:val="24"/>
      <w:lang w:eastAsia="en-GB"/>
    </w:rPr>
  </w:style>
  <w:style w:type="paragraph" w:customStyle="1" w:styleId="64">
    <w:name w:val="B1"/>
    <w:basedOn w:val="1"/>
    <w:link w:val="65"/>
    <w:qFormat/>
    <w:uiPriority w:val="0"/>
    <w:pPr>
      <w:autoSpaceDE/>
      <w:autoSpaceDN/>
      <w:adjustRightInd/>
      <w:snapToGrid/>
      <w:spacing w:after="180"/>
      <w:ind w:left="568" w:hanging="284"/>
      <w:jc w:val="left"/>
    </w:pPr>
    <w:rPr>
      <w:lang w:val="zh-CN"/>
    </w:rPr>
  </w:style>
  <w:style w:type="character" w:customStyle="1" w:styleId="65">
    <w:name w:val="B1 Zchn"/>
    <w:link w:val="64"/>
    <w:qFormat/>
    <w:uiPriority w:val="0"/>
    <w:rPr>
      <w:lang w:val="zh-CN"/>
    </w:rPr>
  </w:style>
  <w:style w:type="character" w:customStyle="1" w:styleId="66">
    <w:name w:val="标题 4 字符"/>
    <w:basedOn w:val="28"/>
    <w:link w:val="5"/>
    <w:qFormat/>
    <w:uiPriority w:val="0"/>
    <w:rPr>
      <w:b/>
      <w:bCs/>
      <w:szCs w:val="28"/>
      <w:lang w:eastAsia="zh-CN"/>
    </w:rPr>
  </w:style>
  <w:style w:type="character" w:customStyle="1" w:styleId="67">
    <w:name w:val="Caption Char3"/>
    <w:basedOn w:val="28"/>
    <w:qFormat/>
    <w:uiPriority w:val="0"/>
    <w:rPr>
      <w:b/>
      <w:bCs/>
    </w:rPr>
  </w:style>
  <w:style w:type="paragraph" w:customStyle="1" w:styleId="68">
    <w:name w:val="B2"/>
    <w:basedOn w:val="17"/>
    <w:qFormat/>
    <w:uiPriority w:val="0"/>
  </w:style>
  <w:style w:type="paragraph" w:customStyle="1" w:styleId="69">
    <w:name w:val="TAH"/>
    <w:basedOn w:val="1"/>
    <w:link w:val="70"/>
    <w:qFormat/>
    <w:uiPriority w:val="0"/>
    <w:pPr>
      <w:keepNext/>
      <w:keepLines/>
      <w:autoSpaceDE/>
      <w:autoSpaceDN/>
      <w:adjustRightInd/>
      <w:snapToGrid/>
      <w:spacing w:after="0" w:line="240" w:lineRule="auto"/>
      <w:jc w:val="center"/>
    </w:pPr>
    <w:rPr>
      <w:rFonts w:ascii="Arial" w:hAnsi="Arial" w:eastAsia="Malgun Gothic"/>
      <w:b/>
      <w:sz w:val="18"/>
      <w:lang w:val="en-GB"/>
    </w:rPr>
  </w:style>
  <w:style w:type="character" w:customStyle="1" w:styleId="70">
    <w:name w:val="TAH Car"/>
    <w:link w:val="69"/>
    <w:qFormat/>
    <w:uiPriority w:val="0"/>
    <w:rPr>
      <w:rFonts w:ascii="Arial" w:hAnsi="Arial" w:eastAsia="Malgun Gothic"/>
      <w:b/>
      <w:sz w:val="18"/>
      <w:lang w:val="en-GB"/>
    </w:rPr>
  </w:style>
  <w:style w:type="paragraph" w:customStyle="1" w:styleId="71">
    <w:name w:val="TAL"/>
    <w:basedOn w:val="1"/>
    <w:link w:val="72"/>
    <w:qFormat/>
    <w:uiPriority w:val="0"/>
    <w:pPr>
      <w:keepNext/>
      <w:keepLines/>
      <w:autoSpaceDE/>
      <w:autoSpaceDN/>
      <w:adjustRightInd/>
      <w:snapToGrid/>
      <w:spacing w:after="0" w:line="240" w:lineRule="auto"/>
      <w:jc w:val="left"/>
    </w:pPr>
    <w:rPr>
      <w:rFonts w:ascii="Arial" w:hAnsi="Arial" w:eastAsia="Malgun Gothic"/>
      <w:sz w:val="18"/>
      <w:lang w:val="en-GB"/>
    </w:rPr>
  </w:style>
  <w:style w:type="character" w:customStyle="1" w:styleId="72">
    <w:name w:val="TAL Char"/>
    <w:link w:val="71"/>
    <w:qFormat/>
    <w:locked/>
    <w:uiPriority w:val="0"/>
    <w:rPr>
      <w:rFonts w:ascii="Arial" w:hAnsi="Arial" w:eastAsia="Malgun Gothic"/>
      <w:sz w:val="18"/>
      <w:lang w:val="en-GB"/>
    </w:rPr>
  </w:style>
  <w:style w:type="character" w:customStyle="1" w:styleId="73">
    <w:name w:val="@他1"/>
    <w:basedOn w:val="28"/>
    <w:unhideWhenUsed/>
    <w:qFormat/>
    <w:uiPriority w:val="99"/>
    <w:rPr>
      <w:color w:val="2B579A"/>
      <w:shd w:val="clear" w:color="auto" w:fill="E1DFDD"/>
    </w:rPr>
  </w:style>
  <w:style w:type="character" w:customStyle="1" w:styleId="74">
    <w:name w:val="Unresolved Mention1"/>
    <w:basedOn w:val="28"/>
    <w:semiHidden/>
    <w:unhideWhenUsed/>
    <w:qFormat/>
    <w:uiPriority w:val="99"/>
    <w:rPr>
      <w:color w:val="605E5C"/>
      <w:shd w:val="clear" w:color="auto" w:fill="E1DFDD"/>
    </w:rPr>
  </w:style>
  <w:style w:type="character" w:customStyle="1" w:styleId="75">
    <w:name w:val="Unresolved Mention2"/>
    <w:basedOn w:val="28"/>
    <w:semiHidden/>
    <w:unhideWhenUsed/>
    <w:qFormat/>
    <w:uiPriority w:val="99"/>
    <w:rPr>
      <w:color w:val="605E5C"/>
      <w:shd w:val="clear" w:color="auto" w:fill="E1DFDD"/>
    </w:rPr>
  </w:style>
  <w:style w:type="character" w:customStyle="1" w:styleId="76">
    <w:name w:val="Mention1"/>
    <w:basedOn w:val="28"/>
    <w:unhideWhenUsed/>
    <w:qFormat/>
    <w:uiPriority w:val="99"/>
    <w:rPr>
      <w:color w:val="2B579A"/>
      <w:shd w:val="clear" w:color="auto" w:fill="E1DFDD"/>
    </w:rPr>
  </w:style>
  <w:style w:type="character" w:customStyle="1" w:styleId="77">
    <w:name w:val="Mention2"/>
    <w:basedOn w:val="28"/>
    <w:unhideWhenUsed/>
    <w:qFormat/>
    <w:uiPriority w:val="99"/>
    <w:rPr>
      <w:color w:val="2B579A"/>
      <w:shd w:val="clear" w:color="auto" w:fill="E1DFDD"/>
    </w:rPr>
  </w:style>
  <w:style w:type="character" w:customStyle="1" w:styleId="78">
    <w:name w:val="Unresolved Mention3"/>
    <w:basedOn w:val="28"/>
    <w:semiHidden/>
    <w:unhideWhenUsed/>
    <w:qFormat/>
    <w:uiPriority w:val="99"/>
    <w:rPr>
      <w:color w:val="605E5C"/>
      <w:shd w:val="clear" w:color="auto" w:fill="E1DFDD"/>
    </w:rPr>
  </w:style>
  <w:style w:type="paragraph" w:customStyle="1" w:styleId="79">
    <w:name w:val="B3"/>
    <w:basedOn w:val="1"/>
    <w:qFormat/>
    <w:uiPriority w:val="0"/>
    <w:pPr>
      <w:ind w:left="1135" w:hanging="284"/>
    </w:pPr>
  </w:style>
  <w:style w:type="table" w:customStyle="1" w:styleId="80">
    <w:name w:val="网格型1"/>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他2"/>
    <w:basedOn w:val="28"/>
    <w:unhideWhenUsed/>
    <w:qFormat/>
    <w:uiPriority w:val="99"/>
    <w:rPr>
      <w:color w:val="2B579A"/>
      <w:shd w:val="clear" w:color="auto" w:fill="E1DFDD"/>
    </w:rPr>
  </w:style>
  <w:style w:type="character" w:customStyle="1" w:styleId="82">
    <w:name w:val="列出段落 Char1"/>
    <w:qFormat/>
    <w:uiPriority w:val="34"/>
    <w:rPr>
      <w:rFonts w:ascii="Calibri" w:hAnsi="Calibri" w:cs="Calibri"/>
      <w:sz w:val="22"/>
      <w:szCs w:val="22"/>
    </w:rPr>
  </w:style>
  <w:style w:type="paragraph" w:customStyle="1" w:styleId="83">
    <w:name w:val="YJ-Proposal"/>
    <w:basedOn w:val="1"/>
    <w:qFormat/>
    <w:uiPriority w:val="0"/>
    <w:pPr>
      <w:numPr>
        <w:ilvl w:val="0"/>
        <w:numId w:val="6"/>
      </w:numPr>
      <w:autoSpaceDE/>
      <w:autoSpaceDN/>
      <w:adjustRightInd/>
      <w:snapToGrid/>
      <w:spacing w:before="50" w:beforeLines="50" w:after="50" w:afterLines="50" w:line="240" w:lineRule="auto"/>
    </w:pPr>
    <w:rPr>
      <w:rFonts w:eastAsiaTheme="minorEastAsia"/>
      <w:b/>
      <w:bCs/>
      <w:iCs/>
      <w:kern w:val="2"/>
      <w:sz w:val="21"/>
      <w:lang w:val="en-GB" w:eastAsia="en-US"/>
    </w:rPr>
  </w:style>
  <w:style w:type="table" w:customStyle="1" w:styleId="84">
    <w:name w:val="Table Grid2"/>
    <w:basedOn w:val="26"/>
    <w:qFormat/>
    <w:uiPriority w:val="59"/>
    <w:pPr>
      <w:spacing w:after="0" w:line="240" w:lineRule="auto"/>
    </w:pPr>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5">
    <w:name w:val="TH"/>
    <w:basedOn w:val="1"/>
    <w:link w:val="86"/>
    <w:qFormat/>
    <w:uiPriority w:val="0"/>
    <w:pPr>
      <w:keepNext/>
      <w:keepLines/>
      <w:autoSpaceDE/>
      <w:autoSpaceDN/>
      <w:adjustRightInd/>
      <w:snapToGrid/>
      <w:spacing w:before="60" w:after="180" w:line="240" w:lineRule="auto"/>
      <w:jc w:val="center"/>
    </w:pPr>
    <w:rPr>
      <w:rFonts w:ascii="Arial" w:hAnsi="Arial" w:eastAsia="Malgun Gothic"/>
      <w:b/>
      <w:lang w:val="en-GB" w:eastAsia="en-US"/>
    </w:rPr>
  </w:style>
  <w:style w:type="character" w:customStyle="1" w:styleId="86">
    <w:name w:val="TH Char"/>
    <w:link w:val="85"/>
    <w:qFormat/>
    <w:uiPriority w:val="0"/>
    <w:rPr>
      <w:rFonts w:ascii="Arial" w:hAnsi="Arial" w:eastAsia="Malgun Gothic"/>
      <w:b/>
      <w:lang w:val="en-GB"/>
    </w:rPr>
  </w:style>
  <w:style w:type="paragraph" w:customStyle="1" w:styleId="87">
    <w:name w:val="Proposal"/>
    <w:basedOn w:val="16"/>
    <w:qFormat/>
    <w:uiPriority w:val="0"/>
    <w:pPr>
      <w:numPr>
        <w:ilvl w:val="0"/>
        <w:numId w:val="7"/>
      </w:numPr>
      <w:tabs>
        <w:tab w:val="left" w:pos="1701"/>
      </w:tabs>
      <w:autoSpaceDE/>
      <w:autoSpaceDN/>
      <w:adjustRightInd/>
      <w:snapToGrid/>
      <w:spacing w:line="240" w:lineRule="auto"/>
    </w:pPr>
    <w:rPr>
      <w:rFonts w:ascii="Arial" w:hAnsi="Arial" w:eastAsia="Times New Roman"/>
      <w:b/>
      <w:bCs/>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6.xml"/><Relationship Id="rId84" Type="http://schemas.openxmlformats.org/officeDocument/2006/relationships/customXml" Target="../customXml/item5.xml"/><Relationship Id="rId83" Type="http://schemas.openxmlformats.org/officeDocument/2006/relationships/customXml" Target="../customXml/item4.xml"/><Relationship Id="rId82" Type="http://schemas.openxmlformats.org/officeDocument/2006/relationships/customXml" Target="../customXml/item3.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image" Target="media/image5.png"/><Relationship Id="rId79" Type="http://schemas.openxmlformats.org/officeDocument/2006/relationships/customXml" Target="../customXml/item1.xml"/><Relationship Id="rId78" Type="http://schemas.openxmlformats.org/officeDocument/2006/relationships/chart" Target="charts/chart19.xml"/><Relationship Id="rId77" Type="http://schemas.openxmlformats.org/officeDocument/2006/relationships/chart" Target="charts/chart18.xml"/><Relationship Id="rId76" Type="http://schemas.openxmlformats.org/officeDocument/2006/relationships/chart" Target="charts/chart17.xml"/><Relationship Id="rId75" Type="http://schemas.openxmlformats.org/officeDocument/2006/relationships/chart" Target="charts/chart16.xml"/><Relationship Id="rId74" Type="http://schemas.openxmlformats.org/officeDocument/2006/relationships/chart" Target="charts/chart15.xml"/><Relationship Id="rId73" Type="http://schemas.openxmlformats.org/officeDocument/2006/relationships/chart" Target="charts/chart14.xml"/><Relationship Id="rId72" Type="http://schemas.openxmlformats.org/officeDocument/2006/relationships/chart" Target="charts/chart13.xml"/><Relationship Id="rId71" Type="http://schemas.openxmlformats.org/officeDocument/2006/relationships/image" Target="media/image56.png"/><Relationship Id="rId70" Type="http://schemas.openxmlformats.org/officeDocument/2006/relationships/image" Target="media/image55.emf"/><Relationship Id="rId7" Type="http://schemas.openxmlformats.org/officeDocument/2006/relationships/image" Target="media/image4.png"/><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emf"/><Relationship Id="rId66" Type="http://schemas.openxmlformats.org/officeDocument/2006/relationships/image" Target="media/image51.png"/><Relationship Id="rId65" Type="http://schemas.openxmlformats.org/officeDocument/2006/relationships/image" Target="media/image50.emf"/><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emf"/><Relationship Id="rId61" Type="http://schemas.openxmlformats.org/officeDocument/2006/relationships/image" Target="media/image46.emf"/><Relationship Id="rId60" Type="http://schemas.openxmlformats.org/officeDocument/2006/relationships/image" Target="media/image45.emf"/><Relationship Id="rId6" Type="http://schemas.openxmlformats.org/officeDocument/2006/relationships/image" Target="media/image3.png"/><Relationship Id="rId59" Type="http://schemas.openxmlformats.org/officeDocument/2006/relationships/image" Target="media/image44.emf"/><Relationship Id="rId58" Type="http://schemas.openxmlformats.org/officeDocument/2006/relationships/image" Target="media/image43.emf"/><Relationship Id="rId57" Type="http://schemas.openxmlformats.org/officeDocument/2006/relationships/image" Target="media/image42.emf"/><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emf"/><Relationship Id="rId51" Type="http://schemas.openxmlformats.org/officeDocument/2006/relationships/image" Target="media/image36.emf"/><Relationship Id="rId50" Type="http://schemas.openxmlformats.org/officeDocument/2006/relationships/image" Target="media/image35.emf"/><Relationship Id="rId5" Type="http://schemas.openxmlformats.org/officeDocument/2006/relationships/image" Target="media/image2.png"/><Relationship Id="rId49" Type="http://schemas.openxmlformats.org/officeDocument/2006/relationships/image" Target="media/image34.jpeg"/><Relationship Id="rId48" Type="http://schemas.openxmlformats.org/officeDocument/2006/relationships/chart" Target="charts/chart12.xml"/><Relationship Id="rId47" Type="http://schemas.openxmlformats.org/officeDocument/2006/relationships/chart" Target="charts/chart11.xml"/><Relationship Id="rId46" Type="http://schemas.openxmlformats.org/officeDocument/2006/relationships/chart" Target="charts/chart10.xml"/><Relationship Id="rId45" Type="http://schemas.openxmlformats.org/officeDocument/2006/relationships/chart" Target="charts/chart9.xml"/><Relationship Id="rId44" Type="http://schemas.openxmlformats.org/officeDocument/2006/relationships/image" Target="media/image33.jpeg"/><Relationship Id="rId43" Type="http://schemas.openxmlformats.org/officeDocument/2006/relationships/chart" Target="charts/chart8.xml"/><Relationship Id="rId42" Type="http://schemas.openxmlformats.org/officeDocument/2006/relationships/chart" Target="charts/chart7.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image" Target="media/image1.jpeg"/><Relationship Id="rId39" Type="http://schemas.openxmlformats.org/officeDocument/2006/relationships/chart" Target="charts/chart6.xml"/><Relationship Id="rId38" Type="http://schemas.openxmlformats.org/officeDocument/2006/relationships/chart" Target="charts/chart5.xml"/><Relationship Id="rId37" Type="http://schemas.openxmlformats.org/officeDocument/2006/relationships/chart" Target="charts/chart4.xml"/><Relationship Id="rId36" Type="http://schemas.openxmlformats.org/officeDocument/2006/relationships/chart" Target="charts/chart3.xml"/><Relationship Id="rId35" Type="http://schemas.openxmlformats.org/officeDocument/2006/relationships/chart" Target="charts/chart2.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chart" Target="charts/chart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chartUserShapes" Target="../drawings/drawing2.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chartUserShapes" Target="../drawings/drawing4.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1.xlsx"/></Relationships>
</file>

<file path=word/charts/_rels/chart14.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2.xlsx"/></Relationships>
</file>

<file path=word/charts/_rels/chart15.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3.xlsx"/></Relationships>
</file>

<file path=word/charts/_rels/chart16.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5.xlsx"/></Relationships>
</file>

<file path=word/charts/_rels/chart17.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6.xlsx"/></Relationships>
</file>

<file path=word/charts/_rels/chart18.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4.xlsx"/></Relationships>
</file>

<file path=word/charts/_rels/chart19.xml.rels><?xml version="1.0" encoding="UTF-8" standalone="yes"?>
<Relationships xmlns="http://schemas.openxmlformats.org/package/2006/relationships"><Relationship Id="rId1" Type="http://schemas.openxmlformats.org/officeDocument/2006/relationships/oleObject" Target=""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D:\Users\00225584\Desktop\RAN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D:\Users\00225584\Desktop\RAN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D:\Users\00225584\Desktop\RAN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D:\Users\00225584\Desktop\RAN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D:\Users\00225584\Desktop\RAN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chartUserShapes" Target="../drawings/drawing3.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chartUserShapes" Target="../drawings/drawing5.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chartUserShapes" Target="../drawings/drawing6.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
          <c:y val="0"/>
        </c:manualLayout>
      </c:layout>
      <c:overlay val="0"/>
      <c:spPr>
        <a:noFill/>
        <a:ln>
          <a:noFill/>
        </a:ln>
        <a:effectLst/>
      </c:spPr>
    </c:title>
    <c:autoTitleDeleted val="0"/>
    <c:plotArea>
      <c:layout>
        <c:manualLayout>
          <c:layoutTarget val="inner"/>
          <c:xMode val="edge"/>
          <c:yMode val="edge"/>
          <c:x val="0.129114896511819"/>
          <c:y val="0.103613954459996"/>
          <c:w val="0.735985698535449"/>
          <c:h val="0.700107410325537"/>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c:formatCode>
                <c:ptCount val="4"/>
                <c:pt idx="0">
                  <c:v>0</c:v>
                </c:pt>
                <c:pt idx="1" c:formatCode="0.00">
                  <c:v>616.01868984213</c:v>
                </c:pt>
                <c:pt idx="2" c:formatCode="0.00">
                  <c:v>524.031807299818</c:v>
                </c:pt>
                <c:pt idx="3" c:formatCode="0.00">
                  <c:v>436.728528967335</c:v>
                </c:pt>
              </c:numCache>
            </c:numRef>
          </c:val>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c:formatCode>
                <c:ptCount val="4"/>
                <c:pt idx="0">
                  <c:v>0</c:v>
                </c:pt>
                <c:pt idx="1" c:formatCode="0.00">
                  <c:v>541.833941366843</c:v>
                </c:pt>
                <c:pt idx="2" c:formatCode="0.00">
                  <c:v>469.772932740503</c:v>
                </c:pt>
                <c:pt idx="3" c:formatCode="0.00">
                  <c:v>401.097552332707</c:v>
                </c:pt>
              </c:numCache>
            </c:numRef>
          </c:val>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0.0458107206578822"/>
                  <c:y val="-0.01360544217687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06578822"/>
                  <c:y val="-0.02721088435374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663584141177"/>
                  <c:y val="-0.0306122448979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1778622729193"/>
                  <c:y val="-0.03764705882352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c:v>
                </c:pt>
                <c:pt idx="2">
                  <c:v>0.0961796929849618</c:v>
                </c:pt>
                <c:pt idx="3">
                  <c:v>0.0621842551058697</c:v>
                </c:pt>
              </c:numCache>
            </c:numRef>
          </c:val>
          <c:smooth val="0"/>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0.00248262164846077"/>
              <c:y val="0.343765677713098"/>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8"/>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284895296"/>
        <c:crosses val="max"/>
        <c:crossBetween val="between"/>
      </c:valAx>
      <c:spPr>
        <a:noFill/>
        <a:ln>
          <a:noFill/>
        </a:ln>
        <a:effectLst/>
      </c:spPr>
    </c:plotArea>
    <c:legend>
      <c:legendPos val="b"/>
      <c:layout>
        <c:manualLayout>
          <c:xMode val="edge"/>
          <c:yMode val="edge"/>
          <c:x val="0.22891257262157"/>
          <c:y val="0.929123989018816"/>
          <c:w val="0.54217465927484"/>
          <c:h val="0.0708760109811843"/>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endParaRPr lang="en-US" sz="1000" b="1"/>
          </a:p>
        </c:rich>
      </c:tx>
      <c:layout>
        <c:manualLayout>
          <c:xMode val="edge"/>
          <c:yMode val="edge"/>
          <c:x val="0.447456142232902"/>
          <c:y val="0.00144360764773779"/>
        </c:manualLayout>
      </c:layout>
      <c:overlay val="0"/>
      <c:spPr>
        <a:noFill/>
        <a:ln>
          <a:noFill/>
        </a:ln>
        <a:effectLst/>
      </c:spPr>
    </c:title>
    <c:autoTitleDeleted val="0"/>
    <c:plotArea>
      <c:layout>
        <c:manualLayout>
          <c:layoutTarget val="inner"/>
          <c:xMode val="edge"/>
          <c:yMode val="edge"/>
          <c:x val="0.0919142607174103"/>
          <c:y val="0.10770061062006"/>
          <c:w val="0.877530183727034"/>
          <c:h val="0.693814117904862"/>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dLbls>
            <c:delete val="1"/>
          </c:dLbls>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602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
          <c:y val="0.0424710424710425"/>
        </c:manualLayout>
      </c:layout>
      <c:overlay val="0"/>
      <c:spPr>
        <a:noFill/>
        <a:ln>
          <a:noFill/>
        </a:ln>
        <a:effectLst/>
      </c:sp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dLbls>
            <c:delete val="1"/>
          </c:dLbls>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605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endParaRPr lang="en-US" sz="1200"/>
          </a:p>
        </c:rich>
      </c:tx>
      <c:layout>
        <c:manualLayout>
          <c:xMode val="edge"/>
          <c:yMode val="edge"/>
          <c:x val="0.376183886105146"/>
          <c:y val="0.0456539172708952"/>
        </c:manualLayout>
      </c:layout>
      <c:overlay val="0"/>
      <c:spPr>
        <a:noFill/>
        <a:ln>
          <a:noFill/>
        </a:ln>
        <a:effectLst/>
      </c:sp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dLbls>
            <c:delete val="1"/>
          </c:dLbls>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dLbls>
            <c:delete val="1"/>
          </c:dLbls>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600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75.7671</c:v>
                </c:pt>
                <c:pt idx="1" c:formatCode="0.00">
                  <c:v>7.1797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54.2256</c:v>
                </c:pt>
                <c:pt idx="1" c:formatCode="0.00">
                  <c:v>6.4206</c:v>
                </c:pt>
              </c:numCache>
            </c:numRef>
          </c:val>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152.7301</c:v>
                </c:pt>
                <c:pt idx="1" c:formatCode="0.00">
                  <c:v>18.8067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148.146</c:v>
                </c:pt>
                <c:pt idx="1" c:formatCode="0.00">
                  <c:v>18.7901</c:v>
                </c:pt>
              </c:numCache>
            </c:numRef>
          </c:val>
        </c:ser>
        <c:ser>
          <c:idx val="2"/>
          <c:order val="2"/>
          <c:tx>
            <c:strRef>
              <c:f>Sheet1!$D$1</c:f>
              <c:strCache>
                <c:ptCount val="1"/>
                <c:pt idx="0">
                  <c:v>Case 3</c:v>
                </c:pt>
              </c:strCache>
            </c:strRef>
          </c:tx>
          <c:spPr>
            <a:solidFill>
              <a:schemeClr val="accent3"/>
            </a:solidFill>
            <a:ln>
              <a:noFill/>
            </a:ln>
            <a:effectLst/>
          </c:spPr>
          <c:invertIfNegative val="0"/>
          <c:dLbls>
            <c:delete val="1"/>
          </c:dLbls>
          <c:cat>
            <c:strRef>
              <c:f>Sheet1!$A$2:$A$3</c:f>
              <c:strCache>
                <c:ptCount val="2"/>
                <c:pt idx="0">
                  <c:v>Cat 1 BS</c:v>
                </c:pt>
                <c:pt idx="1">
                  <c:v>Cat 2 BS</c:v>
                </c:pt>
              </c:strCache>
            </c:strRef>
          </c:cat>
          <c:val>
            <c:numRef>
              <c:f>Sheet1!$D$2:$D$3</c:f>
              <c:numCache>
                <c:formatCode>0.0</c:formatCode>
                <c:ptCount val="2"/>
                <c:pt idx="0">
                  <c:v>141.3837</c:v>
                </c:pt>
                <c:pt idx="1" c:formatCode="0.00">
                  <c:v>18.7554</c:v>
                </c:pt>
              </c:numCache>
            </c:numRef>
          </c:val>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7.7425</c:v>
                </c:pt>
                <c:pt idx="2">
                  <c:v>52.17</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c:v>
                </c:pt>
                <c:pt idx="1">
                  <c:v>7.1731</c:v>
                </c:pt>
                <c:pt idx="2">
                  <c:v>59.94</c:v>
                </c:pt>
              </c:numCache>
            </c:numRef>
          </c:val>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c:v>
                </c:pt>
                <c:pt idx="1">
                  <c:v>10.3998</c:v>
                </c:pt>
                <c:pt idx="2">
                  <c:v>60.19</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c:v>
                </c:pt>
                <c:pt idx="1">
                  <c:v>9.0055</c:v>
                </c:pt>
                <c:pt idx="2">
                  <c:v>102.02</c:v>
                </c:pt>
              </c:numCache>
            </c:numRef>
          </c:val>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c:v>
                </c:pt>
                <c:pt idx="1">
                  <c:v>8.1597</c:v>
                </c:pt>
                <c:pt idx="2">
                  <c:v>50.83</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61.4394</c:v>
                </c:pt>
                <c:pt idx="1">
                  <c:v>7.6922</c:v>
                </c:pt>
                <c:pt idx="2">
                  <c:v>52.79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61.4599</c:v>
                </c:pt>
                <c:pt idx="1">
                  <c:v>7.602</c:v>
                </c:pt>
                <c:pt idx="2">
                  <c:v>55.83</c:v>
                </c:pt>
              </c:numCache>
            </c:numRef>
          </c:val>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c:v>
                </c:pt>
                <c:pt idx="2">
                  <c:v>58.25</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90.9387</c:v>
                </c:pt>
                <c:pt idx="1">
                  <c:v>10.3273</c:v>
                </c:pt>
                <c:pt idx="2">
                  <c:v>61.89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89.0358</c:v>
                </c:pt>
                <c:pt idx="1">
                  <c:v>9.9579</c:v>
                </c:pt>
                <c:pt idx="2">
                  <c:v>69.98</c:v>
                </c:pt>
              </c:numCache>
            </c:numRef>
          </c:val>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
          <c:y val="0.0418888888888889"/>
          <c:w val="0.718"/>
          <c:h val="0.757"/>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2.3</c:v>
                </c:pt>
              </c:numCache>
            </c:numRef>
          </c:val>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Sheet1!$C$22:$C$26</c:f>
              <c:numCache>
                <c:formatCode>General</c:formatCode>
                <c:ptCount val="4"/>
                <c:pt idx="0">
                  <c:v>0.24152139818587</c:v>
                </c:pt>
                <c:pt idx="1">
                  <c:v>0.168425258441978</c:v>
                </c:pt>
                <c:pt idx="2">
                  <c:v>0.105403029811384</c:v>
                </c:pt>
                <c:pt idx="3">
                  <c:v>0.0649298616768171</c:v>
                </c:pt>
              </c:numCache>
            </c:numRef>
          </c:val>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Sheet1!$D$22:$D$26</c:f>
              <c:numCache>
                <c:formatCode>General</c:formatCode>
                <c:ptCount val="4"/>
                <c:pt idx="0">
                  <c:v>0.0211767511893199</c:v>
                </c:pt>
                <c:pt idx="1">
                  <c:v>0.02215168986399</c:v>
                </c:pt>
                <c:pt idx="2">
                  <c:v>0.0225930331009601</c:v>
                </c:pt>
                <c:pt idx="3">
                  <c:v>0.02706304195519</c:v>
                </c:pt>
              </c:numCache>
            </c:numRef>
          </c:val>
          <c:smooth val="0"/>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284880064"/>
        <c:crosses val="autoZero"/>
        <c:auto val="1"/>
        <c:lblAlgn val="ctr"/>
        <c:lblOffset val="100"/>
        <c:noMultiLvlLbl val="0"/>
      </c:catAx>
      <c:valAx>
        <c:axId val="1284880064"/>
        <c:scaling>
          <c:orientation val="minMax"/>
          <c:max val="0.036"/>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0.0132275132275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Sheet1!$O$22:$O$26</c:f>
              <c:numCache>
                <c:formatCode>0.00_);[Red]\(0.00\)</c:formatCode>
                <c:ptCount val="4"/>
                <c:pt idx="0">
                  <c:v>0.455444982255056</c:v>
                </c:pt>
                <c:pt idx="1">
                  <c:v>0.354721835189306</c:v>
                </c:pt>
                <c:pt idx="2">
                  <c:v>0.25554963435807</c:v>
                </c:pt>
                <c:pt idx="3">
                  <c:v>0.149187043575378</c:v>
                </c:pt>
              </c:numCache>
            </c:numRef>
          </c:val>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Sheet1!$P$22:$P$26</c:f>
              <c:numCache>
                <c:formatCode>0.00_);[Red]\(0.00\)</c:formatCode>
                <c:ptCount val="4"/>
                <c:pt idx="0">
                  <c:v>0.05994339018354</c:v>
                </c:pt>
                <c:pt idx="1">
                  <c:v>0.06417426756065</c:v>
                </c:pt>
                <c:pt idx="2">
                  <c:v>0.0827311720777499</c:v>
                </c:pt>
                <c:pt idx="3">
                  <c:v>0.11657865992333</c:v>
                </c:pt>
              </c:numCache>
            </c:numRef>
          </c:val>
          <c:smooth val="0"/>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68640"/>
        <c:crosses val="max"/>
        <c:crossBetween val="between"/>
        <c:majorUnit val="0.1"/>
      </c:valAx>
      <c:spPr>
        <a:noFill/>
        <a:ln>
          <a:noFill/>
        </a:ln>
        <a:effectLst/>
      </c:spPr>
    </c:plotArea>
    <c:legend>
      <c:legendPos val="b"/>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Sheet1!$C$13:$C$16</c:f>
              <c:numCache>
                <c:formatCode>General</c:formatCode>
                <c:ptCount val="3"/>
                <c:pt idx="0">
                  <c:v>0.148165723934247</c:v>
                </c:pt>
                <c:pt idx="1">
                  <c:v>0.0846072991961443</c:v>
                </c:pt>
                <c:pt idx="2">
                  <c:v>0.049679714260552</c:v>
                </c:pt>
              </c:numCache>
            </c:numRef>
          </c:val>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Sheet1!$D$13:$D$16</c:f>
              <c:numCache>
                <c:formatCode>General</c:formatCode>
                <c:ptCount val="3"/>
                <c:pt idx="0">
                  <c:v>0.015607931089</c:v>
                </c:pt>
                <c:pt idx="1">
                  <c:v>0.01550785325464</c:v>
                </c:pt>
                <c:pt idx="2">
                  <c:v>0.0131991732618399</c:v>
                </c:pt>
              </c:numCache>
            </c:numRef>
          </c:val>
          <c:smooth val="0"/>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284883872"/>
        <c:crosses val="autoZero"/>
        <c:auto val="1"/>
        <c:lblAlgn val="ctr"/>
        <c:lblOffset val="100"/>
        <c:noMultiLvlLbl val="0"/>
      </c:catAx>
      <c:valAx>
        <c:axId val="1284883872"/>
        <c:scaling>
          <c:orientation val="minMax"/>
          <c:max val="0.024"/>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Sheet1!$O$13:$O$16</c:f>
              <c:numCache>
                <c:formatCode>0.00_);[Red]\(0.00\)</c:formatCode>
                <c:ptCount val="3"/>
                <c:pt idx="0">
                  <c:v>0.264151979703783</c:v>
                </c:pt>
                <c:pt idx="1">
                  <c:v>0.162471472561566</c:v>
                </c:pt>
                <c:pt idx="2">
                  <c:v>0.0936509781907154</c:v>
                </c:pt>
              </c:numCache>
            </c:numRef>
          </c:val>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Sheet1!$P$13:$P$16</c:f>
              <c:numCache>
                <c:formatCode>0.00_);[Red]\(0.00\)</c:formatCode>
                <c:ptCount val="3"/>
                <c:pt idx="0">
                  <c:v>0.03564367048119</c:v>
                </c:pt>
                <c:pt idx="1">
                  <c:v>0.03261429658563</c:v>
                </c:pt>
                <c:pt idx="2">
                  <c:v>0.0408850296477801</c:v>
                </c:pt>
              </c:numCache>
            </c:numRef>
          </c:val>
          <c:smooth val="0"/>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81599840"/>
        <c:crosses val="autoZero"/>
        <c:auto val="1"/>
        <c:lblAlgn val="ctr"/>
        <c:lblOffset val="100"/>
        <c:noMultiLvlLbl val="0"/>
      </c:catAx>
      <c:valAx>
        <c:axId val="1481599840"/>
        <c:scaling>
          <c:orientation val="minMax"/>
          <c:max val="0.058"/>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15575939319104"/>
          <c:y val="0.144432194046307"/>
          <c:w val="0.780490386311519"/>
          <c:h val="0.648467475192944"/>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'[SLS results for RAN1#110-0922.xlsx]提案画图'!$A$32:$A$34</c15:sqref>
                        </c15:formulaRef>
                      </c:ext>
                    </c:extLst>
                    <c:numCache>
                      <c:ptCount val="0"/>
                    </c:numCache>
                  </c:numRef>
                </c:cat>
                <c:val>
                  <c:numRef>
                    <c:extLst>
                      <c:ext uri="{02D57815-91ED-43cb-92C2-25804820EDAC}">
                        <c15:formulaRef>
                          <c15:sqref>{0.0959367379546165,0.214724808931351,0.338864833116531}</c15:sqref>
                        </c15:formulaRef>
                      </c:ext>
                    </c:extLst>
                    <c:numCache>
                      <c:formatCode>General</c:formatCode>
                      <c:ptCount val="3"/>
                      <c:pt idx="0">
                        <c:v>0.0959367379546165</c:v>
                      </c:pt>
                      <c:pt idx="1">
                        <c:v>0.214724808931351</c:v>
                      </c:pt>
                      <c:pt idx="2">
                        <c:v>0.338864833116531</c:v>
                      </c:pt>
                    </c:numCache>
                  </c:numRef>
                </c:val>
                <c:smooth val="0"/>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RAN1#110-0922.xlsx]提案画图'!$D$32:$D$34</c:f>
              <c:numCache>
                <c:formatCode>0.00_);[Red]\(0.00\)</c:formatCode>
                <c:ptCount val="3"/>
                <c:pt idx="0">
                  <c:v>0.0368947466379901</c:v>
                </c:pt>
                <c:pt idx="1">
                  <c:v>0.0737870358629615</c:v>
                </c:pt>
                <c:pt idx="2" c:formatCode="General">
                  <c:v>0.109245413183269</c:v>
                </c:pt>
              </c:numCache>
            </c:numRef>
          </c:val>
          <c:smooth val="0"/>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521582122780827"/>
              <c:y val="0.86262559039550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endParaRPr lang="en-US" altLang="zh-CN" sz="800"/>
              </a:p>
            </c:rich>
          </c:tx>
          <c:layout>
            <c:manualLayout>
              <c:xMode val="edge"/>
              <c:yMode val="edge"/>
              <c:x val="0.96160307175426"/>
              <c:y val="0.374868766404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332142857142857"/>
          <c:y val="0.927837089758798"/>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endParaRPr lang="en-US" sz="1000" b="1"/>
          </a:p>
        </c:rich>
      </c:tx>
      <c:layout>
        <c:manualLayout>
          <c:xMode val="edge"/>
          <c:yMode val="edge"/>
          <c:x val="0.273210507725954"/>
          <c:y val="0.00148341068235306"/>
        </c:manualLayout>
      </c:layout>
      <c:overlay val="0"/>
      <c:spPr>
        <a:noFill/>
        <a:ln>
          <a:noFill/>
        </a:ln>
        <a:effectLst/>
      </c:spPr>
    </c:title>
    <c:autoTitleDeleted val="0"/>
    <c:plotArea>
      <c:layout>
        <c:manualLayout>
          <c:layoutTarget val="inner"/>
          <c:xMode val="edge"/>
          <c:yMode val="edge"/>
          <c:x val="0.096127434757297"/>
          <c:y val="0.155057961504812"/>
          <c:w val="0.865032226776896"/>
          <c:h val="0.614984324876057"/>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dLbls>
            <c:delete val="1"/>
          </c:dLbls>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481585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0.0277585010409438"/>
        </c:manualLayout>
      </c:layout>
      <c:overlay val="0"/>
      <c:spPr>
        <a:noFill/>
        <a:ln>
          <a:noFill/>
        </a:ln>
        <a:effectLst/>
      </c:sp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dLbls>
            <c:delete val="1"/>
          </c:dLbls>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81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endParaRPr lang="en-US" sz="1100" b="1"/>
          </a:p>
        </c:rich>
      </c:tx>
      <c:layout>
        <c:manualLayout>
          <c:xMode val="edge"/>
          <c:yMode val="edge"/>
          <c:x val="0.240626123913968"/>
          <c:y val="0"/>
        </c:manualLayout>
      </c:layout>
      <c:overlay val="0"/>
      <c:spPr>
        <a:noFill/>
        <a:ln>
          <a:noFill/>
        </a:ln>
        <a:effectLst/>
      </c:sp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dLbls>
            <c:delete val="1"/>
          </c:dLbls>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481596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0.33167</cdr:x>
      <cdr:y>0.14743</cdr:y>
    </cdr:from>
    <cdr:to>
      <cdr:x>0.42489</cdr:x>
      <cdr:y>0.28651</cdr:y>
    </cdr:to>
    <cdr:sp>
      <cdr:nvSpPr>
        <cdr:cNvPr id="2" name="矩形 1"/>
        <cdr:cNvSpPr/>
      </cdr:nvSpPr>
      <cdr:spPr xmlns:a="http://schemas.openxmlformats.org/drawingml/2006/main">
        <a:xfrm xmlns:a="http://schemas.openxmlformats.org/drawingml/2006/main">
          <a:off x="1518285" y="40386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10%</a:t>
          </a:r>
          <a:endParaRPr lang="en-US" sz="1100" b="1">
            <a:solidFill>
              <a:srgbClr val="FF0000"/>
            </a:solidFill>
          </a:endParaRPr>
        </a:p>
      </cdr:txBody>
    </cdr:sp>
  </cdr:relSizeAnchor>
  <cdr:relSizeAnchor xmlns:cdr="http://schemas.openxmlformats.org/drawingml/2006/chartDrawing">
    <cdr:from>
      <cdr:x>0.76779</cdr:x>
      <cdr:y>0.22809</cdr:y>
    </cdr:from>
    <cdr:to>
      <cdr:x>0.86101</cdr:x>
      <cdr:y>0.36718</cdr:y>
    </cdr:to>
    <cdr:sp>
      <cdr:nvSpPr>
        <cdr:cNvPr id="3" name="矩形 2"/>
        <cdr:cNvSpPr/>
      </cdr:nvSpPr>
      <cdr:spPr xmlns:a="http://schemas.openxmlformats.org/drawingml/2006/main">
        <a:xfrm xmlns:a="http://schemas.openxmlformats.org/drawingml/2006/main">
          <a:off x="3514725" y="62484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0.32046</cdr:x>
      <cdr:y>0.02824</cdr:y>
    </cdr:from>
    <cdr:to>
      <cdr:x>0.43505</cdr:x>
      <cdr:y>0.13304</cdr:y>
    </cdr:to>
    <cdr:sp>
      <cdr:nvSpPr>
        <cdr:cNvPr id="2" name="矩形 1"/>
        <cdr:cNvSpPr/>
      </cdr:nvSpPr>
      <cdr:spPr xmlns:a="http://schemas.openxmlformats.org/drawingml/2006/main">
        <a:xfrm xmlns:a="http://schemas.openxmlformats.org/drawingml/2006/main">
          <a:off x="896173" y="61784"/>
          <a:ext cx="320455" cy="22925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dr:relSizeAnchor xmlns:cdr="http://schemas.openxmlformats.org/drawingml/2006/chartDrawing">
    <cdr:from>
      <cdr:x>0.78047</cdr:x>
      <cdr:y>0.09414</cdr:y>
    </cdr:from>
    <cdr:to>
      <cdr:x>0.89505</cdr:x>
      <cdr:y>0.19894</cdr:y>
    </cdr:to>
    <cdr:sp>
      <cdr:nvSpPr>
        <cdr:cNvPr id="3" name="矩形 2"/>
        <cdr:cNvSpPr/>
      </cdr:nvSpPr>
      <cdr:spPr xmlns:a="http://schemas.openxmlformats.org/drawingml/2006/main">
        <a:xfrm xmlns:a="http://schemas.openxmlformats.org/drawingml/2006/main">
          <a:off x="2166756" y="194349"/>
          <a:ext cx="318100" cy="216347"/>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22%</a:t>
          </a:r>
          <a:endParaRPr lang="en-US" sz="1100" b="1">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0.7783</cdr:x>
      <cdr:y>0.07969</cdr:y>
    </cdr:from>
    <cdr:to>
      <cdr:x>0.8582</cdr:x>
      <cdr:y>0.17691</cdr:y>
    </cdr:to>
    <cdr:sp>
      <cdr:nvSpPr>
        <cdr:cNvPr id="2" name="矩形 1"/>
        <cdr:cNvSpPr/>
      </cdr:nvSpPr>
      <cdr:spPr xmlns:a="http://schemas.openxmlformats.org/drawingml/2006/main">
        <a:xfrm xmlns:a="http://schemas.openxmlformats.org/drawingml/2006/main">
          <a:off x="2181477" y="150841"/>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21%</a:t>
          </a:r>
          <a:endParaRPr lang="en-US" sz="1000" b="1">
            <a:solidFill>
              <a:srgbClr val="00B050"/>
            </a:solidFill>
          </a:endParaRPr>
        </a:p>
      </cdr:txBody>
    </cdr:sp>
  </cdr:relSizeAnchor>
  <cdr:relSizeAnchor xmlns:cdr="http://schemas.openxmlformats.org/drawingml/2006/chartDrawing">
    <cdr:from>
      <cdr:x>0.35292</cdr:x>
      <cdr:y>0.19109</cdr:y>
    </cdr:from>
    <cdr:to>
      <cdr:x>0.43282</cdr:x>
      <cdr:y>0.28831</cdr:y>
    </cdr:to>
    <cdr:sp>
      <cdr:nvSpPr>
        <cdr:cNvPr id="3" name="矩形 2"/>
        <cdr:cNvSpPr/>
      </cdr:nvSpPr>
      <cdr:spPr xmlns:a="http://schemas.openxmlformats.org/drawingml/2006/main">
        <a:xfrm xmlns:a="http://schemas.openxmlformats.org/drawingml/2006/main">
          <a:off x="989188" y="361726"/>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22%</a:t>
          </a:r>
          <a:endParaRPr lang="en-US" sz="1000" b="1">
            <a:solidFill>
              <a:srgbClr val="00B05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0.34468</cdr:x>
      <cdr:y>0.23904</cdr:y>
    </cdr:from>
    <cdr:to>
      <cdr:x>0.45598</cdr:x>
      <cdr:y>0.3643</cdr:y>
    </cdr:to>
    <cdr:sp>
      <cdr:nvSpPr>
        <cdr:cNvPr id="2" name="矩形 1"/>
        <cdr:cNvSpPr/>
      </cdr:nvSpPr>
      <cdr:spPr xmlns:a="http://schemas.openxmlformats.org/drawingml/2006/main">
        <a:xfrm xmlns:a="http://schemas.openxmlformats.org/drawingml/2006/main">
          <a:off x="1581150" y="87249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9%</a:t>
          </a:r>
          <a:endParaRPr lang="en-US" sz="1200" b="1">
            <a:solidFill>
              <a:srgbClr val="00B050"/>
            </a:solidFill>
          </a:endParaRPr>
        </a:p>
      </cdr:txBody>
    </cdr:sp>
  </cdr:relSizeAnchor>
  <cdr:relSizeAnchor xmlns:cdr="http://schemas.openxmlformats.org/drawingml/2006/chartDrawing">
    <cdr:from>
      <cdr:x>0.77824</cdr:x>
      <cdr:y>0.11169</cdr:y>
    </cdr:from>
    <cdr:to>
      <cdr:x>0.88953</cdr:x>
      <cdr:y>0.23695</cdr:y>
    </cdr:to>
    <cdr:sp>
      <cdr:nvSpPr>
        <cdr:cNvPr id="3" name="矩形 2"/>
        <cdr:cNvSpPr/>
      </cdr:nvSpPr>
      <cdr:spPr xmlns:a="http://schemas.openxmlformats.org/drawingml/2006/main">
        <a:xfrm xmlns:a="http://schemas.openxmlformats.org/drawingml/2006/main">
          <a:off x="3569970" y="40767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6%</a:t>
          </a:r>
          <a:endParaRPr lang="en-US" sz="1200" b="1">
            <a:solidFill>
              <a:srgbClr val="00B05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0.34291</cdr:x>
      <cdr:y>0.13552</cdr:y>
    </cdr:from>
    <cdr:to>
      <cdr:x>0.43779</cdr:x>
      <cdr:y>0.25211</cdr:y>
    </cdr:to>
    <cdr:sp>
      <cdr:nvSpPr>
        <cdr:cNvPr id="2" name="矩形 1"/>
        <cdr:cNvSpPr/>
      </cdr:nvSpPr>
      <cdr:spPr xmlns:a="http://schemas.openxmlformats.org/drawingml/2006/main">
        <a:xfrm xmlns:a="http://schemas.openxmlformats.org/drawingml/2006/main">
          <a:off x="984661" y="297656"/>
          <a:ext cx="272445" cy="25608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31%</a:t>
          </a:r>
          <a:endParaRPr lang="en-US" sz="1200" b="1">
            <a:solidFill>
              <a:srgbClr val="FF0000"/>
            </a:solidFill>
          </a:endParaRPr>
        </a:p>
      </cdr:txBody>
    </cdr:sp>
  </cdr:relSizeAnchor>
  <cdr:relSizeAnchor xmlns:cdr="http://schemas.openxmlformats.org/drawingml/2006/chartDrawing">
    <cdr:from>
      <cdr:x>0.74291</cdr:x>
      <cdr:y>0.22346</cdr:y>
    </cdr:from>
    <cdr:to>
      <cdr:x>0.83779</cdr:x>
      <cdr:y>0.34004</cdr:y>
    </cdr:to>
    <cdr:sp>
      <cdr:nvSpPr>
        <cdr:cNvPr id="3" name="矩形 2"/>
        <cdr:cNvSpPr/>
      </cdr:nvSpPr>
      <cdr:spPr xmlns:a="http://schemas.openxmlformats.org/drawingml/2006/main">
        <a:xfrm xmlns:a="http://schemas.openxmlformats.org/drawingml/2006/main">
          <a:off x="2133252" y="490822"/>
          <a:ext cx="272445" cy="256064"/>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30%</a:t>
          </a:r>
          <a:endParaRPr lang="en-US" sz="1200" b="1">
            <a:solidFill>
              <a:srgbClr val="FF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0.33125</cdr:x>
      <cdr:y>0.1684</cdr:y>
    </cdr:from>
    <cdr:to>
      <cdr:x>0.42917</cdr:x>
      <cdr:y>0.27951</cdr:y>
    </cdr:to>
    <cdr:sp>
      <cdr:nvSpPr>
        <cdr:cNvPr id="2" name="矩形 1"/>
        <cdr:cNvSpPr/>
      </cdr:nvSpPr>
      <cdr:spPr xmlns:a="http://schemas.openxmlformats.org/drawingml/2006/main">
        <a:xfrm xmlns:a="http://schemas.openxmlformats.org/drawingml/2006/main">
          <a:off x="1514474" y="461963"/>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40%</a:t>
          </a:r>
          <a:endParaRPr lang="en-US" sz="1200" b="1">
            <a:solidFill>
              <a:srgbClr val="00B050"/>
            </a:solidFill>
          </a:endParaRPr>
        </a:p>
      </cdr:txBody>
    </cdr:sp>
  </cdr:relSizeAnchor>
  <cdr:relSizeAnchor xmlns:cdr="http://schemas.openxmlformats.org/drawingml/2006/chartDrawing">
    <cdr:from>
      <cdr:x>0.76667</cdr:x>
      <cdr:y>0.17188</cdr:y>
    </cdr:from>
    <cdr:to>
      <cdr:x>0.86458</cdr:x>
      <cdr:y>0.28299</cdr:y>
    </cdr:to>
    <cdr:sp>
      <cdr:nvSpPr>
        <cdr:cNvPr id="3" name="矩形 2"/>
        <cdr:cNvSpPr/>
      </cdr:nvSpPr>
      <cdr:spPr xmlns:a="http://schemas.openxmlformats.org/drawingml/2006/main">
        <a:xfrm xmlns:a="http://schemas.openxmlformats.org/drawingml/2006/main">
          <a:off x="3505199" y="471488"/>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24%</a:t>
          </a:r>
          <a:endParaRPr lang="en-US" sz="1200" b="1">
            <a:solidFill>
              <a:srgbClr val="00B05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4E2514-CC7B-444A-88E0-62B95854D3A7}">
  <ds:schemaRefs/>
</ds:datastoreItem>
</file>

<file path=customXml/itemProps3.xml><?xml version="1.0" encoding="utf-8"?>
<ds:datastoreItem xmlns:ds="http://schemas.openxmlformats.org/officeDocument/2006/customXml" ds:itemID="{CF3391B1-20AD-42A1-86A8-6283BE7FA079}">
  <ds:schemaRefs/>
</ds:datastoreItem>
</file>

<file path=customXml/itemProps4.xml><?xml version="1.0" encoding="utf-8"?>
<ds:datastoreItem xmlns:ds="http://schemas.openxmlformats.org/officeDocument/2006/customXml" ds:itemID="{058631BB-7396-47DC-A8B8-C6726FC441E5}">
  <ds:schemaRefs/>
</ds:datastoreItem>
</file>

<file path=customXml/itemProps5.xml><?xml version="1.0" encoding="utf-8"?>
<ds:datastoreItem xmlns:ds="http://schemas.openxmlformats.org/officeDocument/2006/customXml" ds:itemID="{B3535AF9-40BD-4BD6-A9B1-366578AAEFB8}">
  <ds:schemaRefs/>
</ds:datastoreItem>
</file>

<file path=customXml/itemProps6.xml><?xml version="1.0" encoding="utf-8"?>
<ds:datastoreItem xmlns:ds="http://schemas.openxmlformats.org/officeDocument/2006/customXml" ds:itemID="{D0FFC81C-72D0-4A61-A955-2BFA8BF8117F}">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Company>
  <Pages>61</Pages>
  <Words>16609</Words>
  <Characters>94675</Characters>
  <Lines>788</Lines>
  <Paragraphs>222</Paragraphs>
  <TotalTime>1</TotalTime>
  <ScaleCrop>false</ScaleCrop>
  <LinksUpToDate>false</LinksUpToDate>
  <CharactersWithSpaces>111062</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2022-10-10T11:14:00Z</dcterms:created>
  <dc:creator>David mazzarese</dc:creator>
  <cp:lastModifiedBy>ZTE</cp:lastModifiedBy>
  <cp:lastPrinted>2007-06-19T04:08:00Z</cp:lastPrinted>
  <dcterms:modified xsi:type="dcterms:W3CDTF">2022-10-10T11:26:05Z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2052-11.8.2.9022</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67d8ee7a-e332-4d9c-889d-f1fc44b0e444</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