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ZTE, Sanechips</w:t>
            </w:r>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r>
              <w:rPr>
                <w:rFonts w:eastAsia="Yu Mincho"/>
                <w:lang w:val="en-US" w:eastAsia="ja-JP"/>
              </w:rPr>
              <w:t>Zhisong Zuo</w:t>
            </w:r>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ZTE, Sanechips</w:t>
            </w:r>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r>
              <w:rPr>
                <w:rFonts w:eastAsiaTheme="minorEastAsia" w:hint="eastAsia"/>
                <w:lang w:eastAsia="zh-CN"/>
              </w:rPr>
              <w:t>Spreadtrum</w:t>
            </w:r>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r>
              <w:rPr>
                <w:rFonts w:eastAsia="Yu Mincho"/>
                <w:lang w:val="en-US" w:eastAsia="ja-JP"/>
              </w:rPr>
              <w:t>Spreadtrum</w:t>
            </w:r>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r w:rsidRPr="00C641F0">
              <w:rPr>
                <w:rFonts w:eastAsia="PMingLiU"/>
                <w:b/>
                <w:bCs/>
                <w:lang w:val="en-US" w:eastAsia="zh-TW"/>
              </w:rPr>
              <w:t>st-FFT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ZTE, Sanechips</w:t>
            </w:r>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r w:rsidRPr="00C641F0">
              <w:rPr>
                <w:rFonts w:eastAsiaTheme="minorEastAsia"/>
                <w:lang w:val="en-US" w:eastAsia="zh-CN"/>
              </w:rPr>
              <w:t>Spreadtrum</w:t>
            </w:r>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We prefer the specification to support the eRedCap UEs assuming only 5 MHz post-FFT buffering for maximum cost/complexity reduction. Some performance loss may be expected for those UEs but should be acceptable according to the eRedCap study. The same assumption on post-FFT buffering should be reasonable. Therefore, we think the specification should take into account the eRedCap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strong concern on complexity/cost saving gain for Rel-18 eRedCap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lastRenderedPageBreak/>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lastRenderedPageBreak/>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r>
              <w:rPr>
                <w:rFonts w:eastAsia="Yu Mincho"/>
                <w:lang w:val="en-US" w:eastAsia="ja-JP"/>
              </w:rPr>
              <w:t>Spreadtrum</w:t>
            </w:r>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ZTE, Sanechips</w:t>
            </w:r>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lastRenderedPageBreak/>
              <w:t>Theoretically,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ZTE, Sanechips</w:t>
            </w:r>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eRedCap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duplex+Rx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lastRenderedPageBreak/>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Rel-18 eRedCap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gNB either needs to confine Msg3 to 5MHz for ALL UEs in the cell or a separate Msg1 early indication needs to be supported and enabled for Rel-18 eRedCap</w:t>
            </w:r>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We think the assumption if to restrict it for all PUSCH. Even based on current proposal, UL grant in RAR is not included. For Msg 3 retx,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gNB’s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We also prefer the same handling for Msg3 PUSCH but we are fine with the proposal for now.</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lastRenderedPageBreak/>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r>
              <w:rPr>
                <w:rFonts w:eastAsiaTheme="minorEastAsia"/>
                <w:lang w:val="en-US" w:eastAsia="zh-CN"/>
              </w:rPr>
              <w:t>Spreadtrum</w:t>
            </w:r>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lastRenderedPageBreak/>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w:t>
            </w:r>
            <w:r>
              <w:rPr>
                <w:rFonts w:eastAsiaTheme="minorEastAsia"/>
                <w:lang w:val="en-US" w:eastAsia="zh-CN"/>
              </w:rPr>
              <w:lastRenderedPageBreak/>
              <w:t xml:space="preserve">reduced considering other DL transmissions can be within 20MHz BW. If it is cannot be further reduced, we do not see the need to restrict gNB’s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eRedCap (5 MHz) UE is better than bottleneck channel in most scenarios. Even if performance is concerned, the eRedCap UE can perform combining </w:t>
            </w:r>
            <w:r>
              <w:rPr>
                <w:rFonts w:eastAsia="Yu Mincho"/>
                <w:lang w:val="en-US" w:eastAsia="ja-JP"/>
              </w:rPr>
              <w:lastRenderedPageBreak/>
              <w:t>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lastRenderedPageBreak/>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lastRenderedPageBreak/>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lastRenderedPageBreak/>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w:t>
            </w:r>
            <w:r>
              <w:rPr>
                <w:rFonts w:eastAsia="Yu Mincho"/>
                <w:lang w:val="en-US" w:eastAsia="ja-JP"/>
              </w:rPr>
              <w:lastRenderedPageBreak/>
              <w:t xml:space="preserve">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lastRenderedPageBreak/>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r>
              <w:rPr>
                <w:rFonts w:eastAsiaTheme="minorEastAsia"/>
                <w:lang w:val="en-US" w:eastAsia="zh-CN"/>
              </w:rPr>
              <w:t>Spreadtrum</w:t>
            </w:r>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w:t>
            </w:r>
            <w:r>
              <w:rPr>
                <w:rFonts w:eastAsia="Yu Mincho"/>
                <w:lang w:val="en-US" w:eastAsia="ja-JP"/>
              </w:rPr>
              <w:lastRenderedPageBreak/>
              <w:t>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lastRenderedPageBreak/>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gNB does not know the target UE type of </w:t>
                  </w:r>
                  <w:r>
                    <w:rPr>
                      <w:rFonts w:eastAsia="SimSun"/>
                      <w:color w:val="000000"/>
                      <w:lang w:val="en-US" w:eastAsia="zh-CN" w:bidi="ar"/>
                    </w:rPr>
                    <w:lastRenderedPageBreak/>
                    <w:t>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lastRenderedPageBreak/>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r>
                  <w:r>
                    <w:rPr>
                      <w:rFonts w:eastAsia="SimSun"/>
                      <w:color w:val="000000"/>
                      <w:lang w:val="en-US" w:eastAsia="zh-CN" w:bidi="ar"/>
                    </w:rPr>
                    <w:lastRenderedPageBreak/>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lastRenderedPageBreak/>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eRedCap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w:t>
            </w:r>
            <w:r>
              <w:rPr>
                <w:rFonts w:eastAsiaTheme="minorEastAsia"/>
                <w:lang w:val="en-US" w:eastAsia="zh-CN"/>
              </w:rPr>
              <w:lastRenderedPageBreak/>
              <w:t xml:space="preserve">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eRedCap,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Assuming that gNB is aware of the eRedCap device type already, we think the paging can be transmitted within 5 MHz. Whether it is shared with non-eRedCap, or it is a separate paging for eRedCap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lastRenderedPageBreak/>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lastRenderedPageBreak/>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 xml:space="preserve">For broadcast PDSCH except Msg2/Msg4/MsgB, we prefer option 2. For Msg2/Msg2/MsgB, we prefer option 1. Regarding the OSI PDSCH here, </w:t>
            </w:r>
            <w:r>
              <w:rPr>
                <w:rFonts w:eastAsiaTheme="minorEastAsia"/>
                <w:lang w:val="en-US" w:eastAsia="zh-CN"/>
              </w:rPr>
              <w:lastRenderedPageBreak/>
              <w:t>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lastRenderedPageBreak/>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lastRenderedPageBreak/>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Secondly, gNB may have chance to learn the UE capability, if Msg 1 report is supported. Even R17 and R18 redcap share the same Msg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Therefore, we don’t accept Opt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lastRenderedPageBreak/>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w:t>
            </w:r>
            <w:r>
              <w:rPr>
                <w:rFonts w:eastAsiaTheme="minorEastAsia"/>
                <w:lang w:val="en-US" w:eastAsia="zh-CN"/>
              </w:rPr>
              <w:lastRenderedPageBreak/>
              <w:t xml:space="preserve">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lastRenderedPageBreak/>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 xml:space="preserve">If BW3 (i.e. PDSCH resource allocation confining within 5MHz) is to be agreed, our view is that semi-static indication or pre-defined in spec should be supported. </w:t>
            </w:r>
            <w:r>
              <w:rPr>
                <w:rFonts w:eastAsiaTheme="minorEastAsia"/>
                <w:lang w:val="en-US" w:eastAsia="zh-CN"/>
              </w:rPr>
              <w:lastRenderedPageBreak/>
              <w:t>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lastRenderedPageBreak/>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lastRenderedPageBreak/>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lastRenderedPageBreak/>
              <w:t>ZTE, Sanechips</w:t>
            </w:r>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lastRenderedPageBreak/>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Proposal: RAN1 discuss and decide whether bandwidth span of PDSCH resource allocation can be larger than 5MHz for eRedCap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lastRenderedPageBreak/>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Msg2/Msg4/MsgB,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w:t>
            </w:r>
            <w:r>
              <w:rPr>
                <w:rFonts w:eastAsiaTheme="minorEastAsia"/>
                <w:lang w:val="en-US" w:eastAsia="zh-CN"/>
              </w:rPr>
              <w:lastRenderedPageBreak/>
              <w:t xml:space="preserve">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lastRenderedPageBreak/>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Since we already agree with the hard limit of 5MHz processing capability for eRedCap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Such much better granularity increases scheduling flexibility for eRedCap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ListParagraph"/>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lastRenderedPageBreak/>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lastRenderedPageBreak/>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lastRenderedPageBreak/>
              <w:t>ZTE, Sanechips</w:t>
            </w:r>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lastRenderedPageBreak/>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A446E14" w14:textId="77777777" w:rsidR="00D12078" w:rsidRDefault="00B72C81">
            <w:pPr>
              <w:rPr>
                <w:rFonts w:eastAsiaTheme="minorEastAsia"/>
                <w:lang w:val="en-US" w:eastAsia="zh-CN"/>
              </w:rPr>
            </w:pPr>
            <w:r>
              <w:rPr>
                <w:rFonts w:eastAsiaTheme="minorEastAsia"/>
                <w:lang w:val="en-US" w:eastAsia="zh-CN"/>
              </w:rPr>
              <w:lastRenderedPageBreak/>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r>
              <w:rPr>
                <w:rFonts w:eastAsiaTheme="minorEastAsia"/>
                <w:lang w:val="en-US" w:eastAsia="zh-CN"/>
              </w:rPr>
              <w:t>Spreadtrum</w:t>
            </w:r>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lastRenderedPageBreak/>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ZTE, Sanechips</w:t>
            </w:r>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We have a similar view as ZTE and Spreadtrum.</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lastRenderedPageBreak/>
              <w:t xml:space="preserve">If we are aiming to have two type of eRedcap,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eRedcap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lastRenderedPageBreak/>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lastRenderedPageBreak/>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Msg1/MsgA PRACH</w:t>
      </w:r>
    </w:p>
    <w:p w14:paraId="3EC26871" w14:textId="77777777" w:rsidR="00D12078" w:rsidRDefault="00B72C8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Msg3/MsgA PUSCH</w:t>
      </w:r>
    </w:p>
    <w:p w14:paraId="4EC7A892" w14:textId="77777777" w:rsidR="00D12078" w:rsidRDefault="00B72C8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ZTE, Sanechips</w:t>
            </w:r>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lastRenderedPageBreak/>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Early indication can be discussed after more eRedCap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000000">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000000">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000000">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000000">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lastRenderedPageBreak/>
              <w:t>[5]</w:t>
            </w:r>
          </w:p>
        </w:tc>
        <w:tc>
          <w:tcPr>
            <w:tcW w:w="1456" w:type="dxa"/>
            <w:tcMar>
              <w:top w:w="0" w:type="dxa"/>
              <w:left w:w="70" w:type="dxa"/>
              <w:bottom w:w="0" w:type="dxa"/>
              <w:right w:w="70" w:type="dxa"/>
            </w:tcMar>
          </w:tcPr>
          <w:p w14:paraId="13A39F16" w14:textId="77777777" w:rsidR="00D12078" w:rsidRDefault="00000000">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000000">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000000">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000000">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000000">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000000">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r>
              <w:t>Spreadtrum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000000">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000000">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000000">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000000">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Discussion on further complexity reduction for eRedCap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000000">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000000">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Discussion on complexity reduction for eRedCap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000000">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000000">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000000">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r>
              <w:t>Transsion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000000">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ZTE, Sanechips</w:t>
            </w:r>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000000">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000000">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Discussion on further complexity reduction for eRedCap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000000">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000000">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000000">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000000">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000000">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000000">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000000">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Further UE complexity reduction for eRedCap</w:t>
            </w:r>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000000">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UE complexity reduction for eRedCap</w:t>
            </w:r>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000000">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6A24011E" w14:textId="77777777" w:rsidR="00D12078" w:rsidRDefault="00000000">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Discussion on further UE complexity reduction for eRedCap</w:t>
            </w:r>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000000">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UE complexity reduction for eRedCap</w:t>
            </w:r>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000000">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000000">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000000">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000000">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000000">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1AD3" w14:textId="77777777" w:rsidR="00845200" w:rsidRDefault="00845200">
      <w:pPr>
        <w:spacing w:line="240" w:lineRule="auto"/>
      </w:pPr>
      <w:r>
        <w:separator/>
      </w:r>
    </w:p>
  </w:endnote>
  <w:endnote w:type="continuationSeparator" w:id="0">
    <w:p w14:paraId="6EE389FD" w14:textId="77777777" w:rsidR="00845200" w:rsidRDefault="00845200">
      <w:pPr>
        <w:spacing w:line="240" w:lineRule="auto"/>
      </w:pPr>
      <w:r>
        <w:continuationSeparator/>
      </w:r>
    </w:p>
  </w:endnote>
  <w:endnote w:type="continuationNotice" w:id="1">
    <w:p w14:paraId="4E7C8444" w14:textId="77777777" w:rsidR="00845200" w:rsidRDefault="00845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571F" w14:textId="77777777" w:rsidR="00845200" w:rsidRDefault="00845200">
      <w:pPr>
        <w:spacing w:after="0"/>
      </w:pPr>
      <w:r>
        <w:separator/>
      </w:r>
    </w:p>
  </w:footnote>
  <w:footnote w:type="continuationSeparator" w:id="0">
    <w:p w14:paraId="0520123F" w14:textId="77777777" w:rsidR="00845200" w:rsidRDefault="00845200">
      <w:pPr>
        <w:spacing w:after="0"/>
      </w:pPr>
      <w:r>
        <w:continuationSeparator/>
      </w:r>
    </w:p>
  </w:footnote>
  <w:footnote w:type="continuationNotice" w:id="1">
    <w:p w14:paraId="5DD06DA0" w14:textId="77777777" w:rsidR="00845200" w:rsidRDefault="008452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1157547">
    <w:abstractNumId w:val="3"/>
  </w:num>
  <w:num w:numId="2" w16cid:durableId="1599290129">
    <w:abstractNumId w:val="10"/>
  </w:num>
  <w:num w:numId="3" w16cid:durableId="1704860018">
    <w:abstractNumId w:val="2"/>
  </w:num>
  <w:num w:numId="4" w16cid:durableId="588655433">
    <w:abstractNumId w:val="1"/>
  </w:num>
  <w:num w:numId="5" w16cid:durableId="1540630856">
    <w:abstractNumId w:val="18"/>
  </w:num>
  <w:num w:numId="6" w16cid:durableId="668171991">
    <w:abstractNumId w:val="23"/>
    <w:lvlOverride w:ilvl="0">
      <w:startOverride w:val="1"/>
    </w:lvlOverride>
  </w:num>
  <w:num w:numId="7" w16cid:durableId="585115393">
    <w:abstractNumId w:val="24"/>
  </w:num>
  <w:num w:numId="8" w16cid:durableId="2061443008">
    <w:abstractNumId w:val="34"/>
  </w:num>
  <w:num w:numId="9" w16cid:durableId="854340759">
    <w:abstractNumId w:val="44"/>
  </w:num>
  <w:num w:numId="10" w16cid:durableId="1702247952">
    <w:abstractNumId w:val="37"/>
  </w:num>
  <w:num w:numId="11" w16cid:durableId="12197517">
    <w:abstractNumId w:val="19"/>
  </w:num>
  <w:num w:numId="12" w16cid:durableId="270749526">
    <w:abstractNumId w:val="29"/>
  </w:num>
  <w:num w:numId="13" w16cid:durableId="2074351592">
    <w:abstractNumId w:val="13"/>
  </w:num>
  <w:num w:numId="14" w16cid:durableId="234585792">
    <w:abstractNumId w:val="39"/>
  </w:num>
  <w:num w:numId="15" w16cid:durableId="60760498">
    <w:abstractNumId w:val="21"/>
  </w:num>
  <w:num w:numId="16" w16cid:durableId="1185364529">
    <w:abstractNumId w:val="14"/>
  </w:num>
  <w:num w:numId="17" w16cid:durableId="591428560">
    <w:abstractNumId w:val="25"/>
  </w:num>
  <w:num w:numId="18" w16cid:durableId="1927687087">
    <w:abstractNumId w:val="17"/>
  </w:num>
  <w:num w:numId="19" w16cid:durableId="91636317">
    <w:abstractNumId w:val="38"/>
  </w:num>
  <w:num w:numId="20" w16cid:durableId="2053535487">
    <w:abstractNumId w:val="35"/>
  </w:num>
  <w:num w:numId="21" w16cid:durableId="2118208753">
    <w:abstractNumId w:val="4"/>
  </w:num>
  <w:num w:numId="22" w16cid:durableId="518659454">
    <w:abstractNumId w:val="46"/>
  </w:num>
  <w:num w:numId="23" w16cid:durableId="96221225">
    <w:abstractNumId w:val="12"/>
  </w:num>
  <w:num w:numId="24" w16cid:durableId="610940021">
    <w:abstractNumId w:val="42"/>
  </w:num>
  <w:num w:numId="25" w16cid:durableId="951942112">
    <w:abstractNumId w:val="20"/>
  </w:num>
  <w:num w:numId="26" w16cid:durableId="1973754312">
    <w:abstractNumId w:val="16"/>
  </w:num>
  <w:num w:numId="27" w16cid:durableId="1427340678">
    <w:abstractNumId w:val="7"/>
  </w:num>
  <w:num w:numId="28" w16cid:durableId="1102534437">
    <w:abstractNumId w:val="31"/>
  </w:num>
  <w:num w:numId="29" w16cid:durableId="876085882">
    <w:abstractNumId w:val="47"/>
  </w:num>
  <w:num w:numId="30" w16cid:durableId="901019665">
    <w:abstractNumId w:val="27"/>
  </w:num>
  <w:num w:numId="31" w16cid:durableId="1259219326">
    <w:abstractNumId w:val="33"/>
  </w:num>
  <w:num w:numId="32" w16cid:durableId="914633752">
    <w:abstractNumId w:val="43"/>
  </w:num>
  <w:num w:numId="33" w16cid:durableId="440343094">
    <w:abstractNumId w:val="26"/>
  </w:num>
  <w:num w:numId="34" w16cid:durableId="1934315045">
    <w:abstractNumId w:val="36"/>
  </w:num>
  <w:num w:numId="35" w16cid:durableId="461120705">
    <w:abstractNumId w:val="8"/>
  </w:num>
  <w:num w:numId="36" w16cid:durableId="1583222195">
    <w:abstractNumId w:val="5"/>
  </w:num>
  <w:num w:numId="37" w16cid:durableId="1862546399">
    <w:abstractNumId w:val="28"/>
  </w:num>
  <w:num w:numId="38" w16cid:durableId="1785349354">
    <w:abstractNumId w:val="0"/>
  </w:num>
  <w:num w:numId="39" w16cid:durableId="246772127">
    <w:abstractNumId w:val="11"/>
  </w:num>
  <w:num w:numId="40" w16cid:durableId="915744760">
    <w:abstractNumId w:val="41"/>
  </w:num>
  <w:num w:numId="41" w16cid:durableId="265621672">
    <w:abstractNumId w:val="30"/>
  </w:num>
  <w:num w:numId="42" w16cid:durableId="1310010997">
    <w:abstractNumId w:val="32"/>
  </w:num>
  <w:num w:numId="43" w16cid:durableId="796725207">
    <w:abstractNumId w:val="40"/>
  </w:num>
  <w:num w:numId="44" w16cid:durableId="1052463018">
    <w:abstractNumId w:val="22"/>
  </w:num>
  <w:num w:numId="45" w16cid:durableId="1644240310">
    <w:abstractNumId w:val="6"/>
  </w:num>
  <w:num w:numId="46" w16cid:durableId="1141729535">
    <w:abstractNumId w:val="9"/>
  </w:num>
  <w:num w:numId="47" w16cid:durableId="561258993">
    <w:abstractNumId w:val="15"/>
  </w:num>
  <w:num w:numId="48" w16cid:durableId="1771049006">
    <w:abstractNumId w:val="45"/>
  </w:num>
  <w:num w:numId="49" w16cid:durableId="101653697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86F3F-4CD4-4D41-99D1-1FEA643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39093</Words>
  <Characters>222833</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4</cp:revision>
  <dcterms:created xsi:type="dcterms:W3CDTF">2022-10-18T17:25:00Z</dcterms:created>
  <dcterms:modified xsi:type="dcterms:W3CDTF">2022-10-18T17:27:00Z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