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新細明體"/>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新細明體" w:hint="eastAsia"/>
                <w:lang w:eastAsia="zh-TW"/>
              </w:rPr>
              <w:t>M</w:t>
            </w:r>
            <w:r>
              <w:rPr>
                <w:rFonts w:eastAsia="新細明體"/>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新細明體"/>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新細明體"/>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新細明體" w:hint="eastAsia"/>
                <w:lang w:val="en-US" w:eastAsia="zh-TW"/>
              </w:rPr>
              <w:lastRenderedPageBreak/>
              <w:t>M</w:t>
            </w:r>
            <w:r>
              <w:rPr>
                <w:rFonts w:eastAsia="新細明體"/>
                <w:lang w:val="en-US" w:eastAsia="zh-TW"/>
              </w:rPr>
              <w:t>ediaTek</w:t>
            </w:r>
          </w:p>
        </w:tc>
        <w:tc>
          <w:tcPr>
            <w:tcW w:w="8199" w:type="dxa"/>
            <w:gridSpan w:val="2"/>
          </w:tcPr>
          <w:p w14:paraId="4337667D" w14:textId="77777777" w:rsidR="00334C91" w:rsidRDefault="0079699C">
            <w:pPr>
              <w:rPr>
                <w:rFonts w:eastAsia="新細明體"/>
                <w:lang w:val="en-US" w:eastAsia="zh-TW"/>
              </w:rPr>
            </w:pPr>
            <w:r>
              <w:rPr>
                <w:rFonts w:eastAsia="新細明體" w:hint="eastAsia"/>
                <w:lang w:val="en-US" w:eastAsia="zh-TW"/>
              </w:rPr>
              <w:t>T</w:t>
            </w:r>
            <w:r>
              <w:rPr>
                <w:rFonts w:eastAsia="新細明體"/>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新細明體" w:hint="eastAsia"/>
                <w:lang w:val="en-US" w:eastAsia="zh-TW"/>
              </w:rPr>
              <w:t>T</w:t>
            </w:r>
            <w:r>
              <w:rPr>
                <w:rFonts w:eastAsia="新細明體"/>
                <w:lang w:val="en-US" w:eastAsia="zh-TW"/>
              </w:rPr>
              <w:t xml:space="preserve">hen we can discuss </w:t>
            </w:r>
            <w:r>
              <w:rPr>
                <w:rFonts w:eastAsia="新細明體" w:hint="eastAsia"/>
                <w:lang w:val="en-US" w:eastAsia="zh-TW"/>
              </w:rPr>
              <w:t>BW3</w:t>
            </w:r>
            <w:r>
              <w:rPr>
                <w:rFonts w:eastAsia="新細明體"/>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新細明體"/>
                <w:lang w:val="en-US" w:eastAsia="zh-TW"/>
              </w:rPr>
              <w:t>Huawei, HiSilicon</w:t>
            </w:r>
          </w:p>
        </w:tc>
        <w:tc>
          <w:tcPr>
            <w:tcW w:w="8199" w:type="dxa"/>
            <w:gridSpan w:val="2"/>
          </w:tcPr>
          <w:p w14:paraId="43376681" w14:textId="77777777" w:rsidR="00334C91" w:rsidRDefault="0079699C">
            <w:pPr>
              <w:rPr>
                <w:rFonts w:eastAsia="新細明體"/>
                <w:lang w:val="en-US" w:eastAsia="zh-TW"/>
              </w:rPr>
            </w:pPr>
            <w:r>
              <w:rPr>
                <w:rFonts w:eastAsia="新細明體"/>
                <w:lang w:val="en-US" w:eastAsia="zh-TW"/>
              </w:rPr>
              <w:t>Support “process” or “process per slot”</w:t>
            </w:r>
          </w:p>
          <w:p w14:paraId="43376682" w14:textId="77777777" w:rsidR="00334C91" w:rsidRDefault="0079699C">
            <w:pPr>
              <w:rPr>
                <w:rFonts w:eastAsiaTheme="minorEastAsia"/>
                <w:lang w:val="en-US" w:eastAsia="zh-CN"/>
              </w:rPr>
            </w:pPr>
            <w:r>
              <w:rPr>
                <w:rFonts w:eastAsia="新細明體"/>
                <w:lang w:val="en-US" w:eastAsia="zh-TW"/>
              </w:rPr>
              <w:t xml:space="preserve">Similar view as MediaTek and vivo that UE </w:t>
            </w:r>
            <w:proofErr w:type="spellStart"/>
            <w:r>
              <w:rPr>
                <w:rFonts w:eastAsia="新細明體"/>
                <w:lang w:val="en-US" w:eastAsia="zh-TW"/>
              </w:rPr>
              <w:t>receving</w:t>
            </w:r>
            <w:proofErr w:type="spellEnd"/>
            <w:r>
              <w:rPr>
                <w:rFonts w:eastAsia="新細明體"/>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新細明體"/>
                <w:lang w:val="en-US" w:eastAsia="zh-TW"/>
              </w:rPr>
            </w:pPr>
            <w:r>
              <w:rPr>
                <w:rFonts w:eastAsia="新細明體"/>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新細明體"/>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新細明體"/>
                <w:lang w:eastAsia="zh-TW"/>
              </w:rPr>
              <w:t xml:space="preserve">Nordic </w:t>
            </w:r>
          </w:p>
        </w:tc>
        <w:tc>
          <w:tcPr>
            <w:tcW w:w="8199" w:type="dxa"/>
            <w:gridSpan w:val="2"/>
          </w:tcPr>
          <w:p w14:paraId="43376689" w14:textId="77777777" w:rsidR="00334C91" w:rsidRDefault="0079699C">
            <w:pPr>
              <w:rPr>
                <w:rFonts w:eastAsia="新細明體"/>
                <w:lang w:val="en-US" w:eastAsia="zh-TW"/>
              </w:rPr>
            </w:pPr>
            <w:r>
              <w:rPr>
                <w:rFonts w:eastAsia="新細明體"/>
                <w:lang w:val="en-US" w:eastAsia="zh-TW"/>
              </w:rPr>
              <w:t xml:space="preserve">The issue of buffering has been on the table in Toulouse, and it occurred again in RAN#97-e without being solved.  Post FFT </w:t>
            </w:r>
            <w:proofErr w:type="spellStart"/>
            <w:r>
              <w:rPr>
                <w:rFonts w:eastAsia="新細明體"/>
                <w:lang w:val="en-US" w:eastAsia="zh-TW"/>
              </w:rPr>
              <w:t>bufferting</w:t>
            </w:r>
            <w:proofErr w:type="spellEnd"/>
            <w:r>
              <w:rPr>
                <w:rFonts w:eastAsia="新細明體"/>
                <w:lang w:val="en-US" w:eastAsia="zh-TW"/>
              </w:rPr>
              <w:t xml:space="preserve"> reduction is not about PR3 and BW3. This because </w:t>
            </w:r>
            <w:proofErr w:type="spellStart"/>
            <w:r>
              <w:rPr>
                <w:rFonts w:eastAsia="新細明體"/>
                <w:lang w:val="en-US" w:eastAsia="zh-TW"/>
              </w:rPr>
              <w:t>sami</w:t>
            </w:r>
            <w:proofErr w:type="spellEnd"/>
            <w:r>
              <w:rPr>
                <w:rFonts w:eastAsia="新細明體"/>
                <w:lang w:val="en-US" w:eastAsia="zh-TW"/>
              </w:rPr>
              <w:t xml:space="preserve">-static “narrow-bands” could be also defined within distributed VRB to PRB mapping. </w:t>
            </w:r>
          </w:p>
          <w:p w14:paraId="4337668A" w14:textId="77777777" w:rsidR="00334C91" w:rsidRDefault="0079699C">
            <w:pPr>
              <w:rPr>
                <w:rFonts w:eastAsia="新細明體"/>
                <w:lang w:val="en-US" w:eastAsia="zh-TW"/>
              </w:rPr>
            </w:pPr>
            <w:r>
              <w:rPr>
                <w:rFonts w:eastAsia="新細明體"/>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新細明體"/>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新細明體"/>
                <w:lang w:val="en-US" w:eastAsia="zh-TW"/>
              </w:rPr>
            </w:pPr>
            <w:r>
              <w:rPr>
                <w:rFonts w:eastAsia="Yu Mincho"/>
                <w:color w:val="000000"/>
                <w:lang w:eastAsia="ja-JP"/>
              </w:rPr>
              <w:t xml:space="preserve">We tend to agree that </w:t>
            </w:r>
            <w:r>
              <w:rPr>
                <w:rFonts w:eastAsia="新細明體" w:hint="eastAsia"/>
                <w:lang w:val="en-US" w:eastAsia="zh-TW"/>
              </w:rPr>
              <w:t>BW3</w:t>
            </w:r>
            <w:r>
              <w:rPr>
                <w:rFonts w:eastAsia="新細明體"/>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新細明體"/>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lastRenderedPageBreak/>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新細明體" w:hint="eastAsia"/>
                <w:lang w:val="en-US" w:eastAsia="zh-TW"/>
              </w:rPr>
              <w:lastRenderedPageBreak/>
              <w:t>M</w:t>
            </w:r>
            <w:r>
              <w:rPr>
                <w:rFonts w:eastAsia="新細明體"/>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新細明體"/>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w:t>
            </w:r>
          </w:p>
        </w:tc>
        <w:tc>
          <w:tcPr>
            <w:tcW w:w="6846" w:type="dxa"/>
            <w:gridSpan w:val="2"/>
          </w:tcPr>
          <w:p w14:paraId="43376788" w14:textId="77777777" w:rsidR="00334C91" w:rsidRDefault="0079699C">
            <w:pPr>
              <w:rPr>
                <w:rFonts w:eastAsia="新細明體"/>
                <w:bCs/>
                <w:lang w:val="en-US" w:eastAsia="zh-TW"/>
              </w:rPr>
            </w:pPr>
            <w:r>
              <w:rPr>
                <w:rFonts w:eastAsia="新細明體"/>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新細明體"/>
                <w:bCs/>
                <w:color w:val="C00000"/>
                <w:lang w:val="en-US" w:eastAsia="zh-TW"/>
              </w:rPr>
              <w:t>red color</w:t>
            </w:r>
            <w:r>
              <w:rPr>
                <w:rFonts w:eastAsia="新細明體"/>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新細明體"/>
                <w:lang w:val="en-US" w:eastAsia="zh-TW"/>
              </w:rPr>
            </w:pPr>
            <w:r>
              <w:rPr>
                <w:rFonts w:eastAsia="新細明體"/>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新細明體"/>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新細明體"/>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Pr>
                <w:rFonts w:eastAsia="Yu Mincho"/>
                <w:lang w:val="en-US" w:eastAsia="ja-JP"/>
              </w:rPr>
              <w:t>RedCap</w:t>
            </w:r>
            <w:proofErr w:type="gramEnd"/>
            <w:r>
              <w:rPr>
                <w:rFonts w:eastAsia="Yu Mincho"/>
                <w:lang w:val="en-US" w:eastAsia="ja-JP"/>
              </w:rPr>
              <w:t xml:space="preserve">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新細明體" w:hint="eastAsia"/>
                <w:lang w:val="en-US" w:eastAsia="zh-TW"/>
              </w:rPr>
              <w:lastRenderedPageBreak/>
              <w:t>M</w:t>
            </w:r>
            <w:r>
              <w:rPr>
                <w:rFonts w:eastAsia="新細明體"/>
                <w:lang w:val="en-US" w:eastAsia="zh-TW"/>
              </w:rPr>
              <w:t>ediaTek</w:t>
            </w:r>
          </w:p>
        </w:tc>
        <w:tc>
          <w:tcPr>
            <w:tcW w:w="8241" w:type="dxa"/>
            <w:gridSpan w:val="2"/>
          </w:tcPr>
          <w:p w14:paraId="442C1C4F" w14:textId="77777777" w:rsidR="00DA19AE" w:rsidRDefault="00DA19AE" w:rsidP="00DA19AE">
            <w:pPr>
              <w:rPr>
                <w:rFonts w:eastAsia="新細明體"/>
                <w:lang w:val="en-US" w:eastAsia="zh-TW"/>
              </w:rPr>
            </w:pPr>
            <w:r w:rsidRPr="008E4A4B">
              <w:rPr>
                <w:rFonts w:eastAsia="新細明體"/>
                <w:b/>
                <w:bCs/>
                <w:lang w:eastAsia="zh-TW"/>
              </w:rPr>
              <w:t>Po</w:t>
            </w:r>
            <w:proofErr w:type="spellStart"/>
            <w:r w:rsidRPr="008E4A4B">
              <w:rPr>
                <w:rFonts w:eastAsia="新細明體"/>
                <w:b/>
                <w:bCs/>
                <w:lang w:val="en-US" w:eastAsia="zh-TW"/>
              </w:rPr>
              <w:t>st</w:t>
            </w:r>
            <w:proofErr w:type="spellEnd"/>
            <w:r w:rsidRPr="008E4A4B">
              <w:rPr>
                <w:rFonts w:eastAsia="新細明體"/>
                <w:b/>
                <w:bCs/>
                <w:lang w:val="en-US" w:eastAsia="zh-TW"/>
              </w:rPr>
              <w:t>-FFT buffering of 20MHz</w:t>
            </w:r>
            <w:r>
              <w:rPr>
                <w:rFonts w:eastAsia="新細明體"/>
                <w:lang w:val="en-US" w:eastAsia="zh-TW"/>
              </w:rPr>
              <w:t xml:space="preserve"> is more reasonable and </w:t>
            </w:r>
            <w:r w:rsidRPr="008E4A4B">
              <w:rPr>
                <w:rFonts w:eastAsia="新細明體"/>
                <w:b/>
                <w:bCs/>
                <w:lang w:val="en-US" w:eastAsia="zh-TW"/>
              </w:rPr>
              <w:t>should be assumed for UE</w:t>
            </w:r>
            <w:r>
              <w:rPr>
                <w:rFonts w:eastAsia="新細明體"/>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新細明體"/>
                <w:lang w:val="en-US" w:eastAsia="zh-TW"/>
              </w:rPr>
            </w:pPr>
            <w:r>
              <w:rPr>
                <w:rFonts w:eastAsia="新細明體" w:hint="eastAsia"/>
                <w:lang w:val="en-US" w:eastAsia="zh-TW"/>
              </w:rPr>
              <w:t>A</w:t>
            </w:r>
            <w:r>
              <w:rPr>
                <w:rFonts w:eastAsia="新細明體"/>
                <w:lang w:val="en-US" w:eastAsia="zh-TW"/>
              </w:rPr>
              <w:t>gain, the assumption for UE to receive only 5MHz out of a 20MHz SIB1 (</w:t>
            </w:r>
            <w:proofErr w:type="gramStart"/>
            <w:r>
              <w:rPr>
                <w:rFonts w:eastAsia="新細明體"/>
                <w:lang w:val="en-US" w:eastAsia="zh-TW"/>
              </w:rPr>
              <w:t>i.e.</w:t>
            </w:r>
            <w:proofErr w:type="gramEnd"/>
            <w:r>
              <w:rPr>
                <w:rFonts w:eastAsia="新細明體"/>
                <w:lang w:val="en-US" w:eastAsia="zh-TW"/>
              </w:rPr>
              <w:t xml:space="preserve"> partial SIB1 receptions) and performs soft combing of multiple partial SIB1 receptions (with RF retuning for better performance) is </w:t>
            </w:r>
            <w:r w:rsidRPr="008E4A4B">
              <w:rPr>
                <w:rFonts w:eastAsia="新細明體"/>
                <w:b/>
                <w:bCs/>
                <w:lang w:val="en-US" w:eastAsia="zh-TW"/>
              </w:rPr>
              <w:t>unreasonable</w:t>
            </w:r>
            <w:r>
              <w:rPr>
                <w:rFonts w:eastAsia="新細明體"/>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新細明體"/>
                <w:lang w:val="en-US" w:eastAsia="zh-TW"/>
              </w:rPr>
              <w:t>eRedcap</w:t>
            </w:r>
            <w:proofErr w:type="spellEnd"/>
            <w:r>
              <w:rPr>
                <w:rFonts w:eastAsia="新細明體"/>
                <w:lang w:val="en-US" w:eastAsia="zh-TW"/>
              </w:rPr>
              <w:t xml:space="preserve"> UE implementation is based on Rel-17 RedCap UE implementation.  </w:t>
            </w:r>
          </w:p>
          <w:p w14:paraId="51950E62" w14:textId="77777777" w:rsidR="00DA19AE" w:rsidRDefault="00DA19AE" w:rsidP="00DA19AE">
            <w:pPr>
              <w:rPr>
                <w:rFonts w:eastAsia="新細明體"/>
                <w:lang w:val="en-US" w:eastAsia="zh-TW"/>
              </w:rPr>
            </w:pPr>
          </w:p>
          <w:p w14:paraId="432E8F2E" w14:textId="4209A3F3" w:rsidR="00DA19AE" w:rsidRDefault="00DA19AE" w:rsidP="00DA19AE">
            <w:pPr>
              <w:rPr>
                <w:rFonts w:eastAsia="新細明體"/>
                <w:lang w:val="en-US" w:eastAsia="zh-TW"/>
              </w:rPr>
            </w:pPr>
            <w:r>
              <w:rPr>
                <w:rFonts w:eastAsia="新細明體" w:hint="eastAsia"/>
                <w:lang w:val="en-US" w:eastAsia="zh-TW"/>
              </w:rPr>
              <w:t>@</w:t>
            </w:r>
            <w:r>
              <w:rPr>
                <w:rFonts w:eastAsia="新細明體"/>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新細明體"/>
                <w:b/>
                <w:bCs/>
                <w:lang w:val="en-US" w:eastAsia="zh-TW"/>
              </w:rPr>
              <w:t xml:space="preserve">it is still </w:t>
            </w:r>
            <w:r w:rsidR="00985D95" w:rsidRPr="00985D95">
              <w:rPr>
                <w:rFonts w:eastAsia="新細明體"/>
                <w:b/>
                <w:bCs/>
                <w:lang w:val="en-US" w:eastAsia="zh-TW"/>
              </w:rPr>
              <w:t>questionable</w:t>
            </w:r>
            <w:r w:rsidRPr="00985D95">
              <w:rPr>
                <w:rFonts w:eastAsia="新細明體"/>
                <w:b/>
                <w:bCs/>
                <w:lang w:val="en-US" w:eastAsia="zh-TW"/>
              </w:rPr>
              <w:t xml:space="preserve"> to us whether UE can actually reduce its post-FFT buffering to 5MHz for most of the symbols in a slot. </w:t>
            </w:r>
            <w:r>
              <w:rPr>
                <w:rFonts w:eastAsia="新細明體"/>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新細明體" w:hAnsi="Times New Roman" w:cs="Times New Roman"/>
                <w:sz w:val="20"/>
                <w:szCs w:val="20"/>
                <w:lang w:val="en-US" w:eastAsia="zh-TW"/>
              </w:rPr>
            </w:pPr>
            <w:r w:rsidRPr="001818C2">
              <w:rPr>
                <w:rFonts w:ascii="Times New Roman" w:eastAsia="新細明體" w:hAnsi="Times New Roman" w:cs="Times New Roman"/>
                <w:sz w:val="20"/>
                <w:szCs w:val="20"/>
                <w:lang w:val="en-US" w:eastAsia="zh-TW"/>
              </w:rPr>
              <w:t>Semi-static or dynamic indication (via DCI) of which 5MHz sub-band is allocated</w:t>
            </w:r>
            <w:r w:rsidR="00BC50C7" w:rsidRPr="001818C2">
              <w:rPr>
                <w:rFonts w:ascii="Times New Roman" w:eastAsia="新細明體"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新細明體" w:hAnsi="Times New Roman" w:cs="Times New Roman"/>
                <w:sz w:val="20"/>
                <w:szCs w:val="20"/>
                <w:lang w:val="en-US" w:eastAsia="zh-TW"/>
              </w:rPr>
            </w:pPr>
            <w:r w:rsidRPr="001818C2">
              <w:rPr>
                <w:rFonts w:ascii="Times New Roman" w:eastAsia="新細明體"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新細明體"/>
                <w:lang w:val="en-US" w:eastAsia="zh-TW"/>
              </w:rPr>
            </w:pPr>
            <w:r w:rsidRPr="001818C2">
              <w:rPr>
                <w:rFonts w:ascii="Times New Roman" w:eastAsia="新細明體" w:hAnsi="Times New Roman" w:cs="Times New Roman"/>
                <w:sz w:val="20"/>
                <w:szCs w:val="20"/>
                <w:lang w:val="en-US" w:eastAsia="zh-TW"/>
              </w:rPr>
              <w:t xml:space="preserve">CSI-RS receptions with BW3 </w:t>
            </w:r>
          </w:p>
        </w:tc>
      </w:tr>
    </w:tbl>
    <w:p w14:paraId="433767ED" w14:textId="78027139" w:rsidR="00334C91"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 xml:space="preserve">from the </w:t>
            </w:r>
            <w:r>
              <w:rPr>
                <w:rFonts w:eastAsiaTheme="minorEastAsia"/>
                <w:u w:val="single"/>
                <w:lang w:val="en-US" w:eastAsia="zh-CN"/>
              </w:rPr>
              <w:lastRenderedPageBreak/>
              <w:t>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新細明體"/>
                <w:lang w:val="en-US" w:eastAsia="zh-TW"/>
              </w:rPr>
            </w:pPr>
            <w:r>
              <w:rPr>
                <w:rFonts w:eastAsia="新細明體" w:hint="eastAsia"/>
                <w:lang w:val="en-US" w:eastAsia="zh-TW"/>
              </w:rPr>
              <w:t>M</w:t>
            </w:r>
            <w:r>
              <w:rPr>
                <w:rFonts w:eastAsia="新細明體"/>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新細明體"/>
                <w:lang w:val="en-US" w:eastAsia="zh-TW"/>
              </w:rPr>
            </w:pPr>
            <w:r>
              <w:rPr>
                <w:rFonts w:eastAsia="新細明體"/>
                <w:lang w:val="en-US" w:eastAsia="zh-TW"/>
              </w:rPr>
              <w:t xml:space="preserve">Before jumping into the intra-slot FH discussion, more important questions to us are: </w:t>
            </w:r>
          </w:p>
          <w:p w14:paraId="43376821" w14:textId="77777777" w:rsidR="00334C91" w:rsidRDefault="0079699C">
            <w:pPr>
              <w:rPr>
                <w:rFonts w:eastAsia="新細明體"/>
                <w:b/>
                <w:bCs/>
                <w:lang w:eastAsia="zh-TW"/>
              </w:rPr>
            </w:pPr>
            <w:r>
              <w:rPr>
                <w:rFonts w:eastAsia="新細明體"/>
                <w:b/>
                <w:bCs/>
                <w:lang w:val="en-US" w:eastAsia="zh-TW"/>
              </w:rPr>
              <w:t>Question 1: What</w:t>
            </w:r>
            <w:r>
              <w:rPr>
                <w:rFonts w:eastAsia="新細明體"/>
                <w:b/>
                <w:bCs/>
                <w:lang w:eastAsia="zh-TW"/>
              </w:rPr>
              <w:t xml:space="preserve"> benefits can Option 1 provide? In what aspects? (</w:t>
            </w:r>
            <w:proofErr w:type="gramStart"/>
            <w:r>
              <w:rPr>
                <w:rFonts w:eastAsia="新細明體"/>
                <w:b/>
                <w:bCs/>
                <w:lang w:eastAsia="zh-TW"/>
              </w:rPr>
              <w:t>e.g.</w:t>
            </w:r>
            <w:proofErr w:type="gramEnd"/>
            <w:r>
              <w:rPr>
                <w:rFonts w:eastAsia="新細明體"/>
                <w:b/>
                <w:bCs/>
                <w:lang w:eastAsia="zh-TW"/>
              </w:rPr>
              <w:t xml:space="preserve"> UE complexity, gNB scheduling flexibility, etc.)</w:t>
            </w:r>
          </w:p>
          <w:p w14:paraId="43376823" w14:textId="0D158353" w:rsidR="00334C91" w:rsidRPr="00145214" w:rsidRDefault="0079699C">
            <w:pPr>
              <w:rPr>
                <w:rFonts w:eastAsia="新細明體"/>
                <w:b/>
                <w:bCs/>
                <w:lang w:eastAsia="zh-TW"/>
              </w:rPr>
            </w:pPr>
            <w:r>
              <w:rPr>
                <w:rFonts w:eastAsia="新細明體"/>
                <w:b/>
                <w:bCs/>
                <w:lang w:eastAsia="zh-TW"/>
              </w:rPr>
              <w:t>Question 2: Can current specifications for Rel-17 RedCap achieve Option</w:t>
            </w:r>
            <w:r w:rsidR="00E95E70">
              <w:rPr>
                <w:rFonts w:eastAsia="新細明體"/>
                <w:b/>
                <w:bCs/>
                <w:lang w:eastAsia="zh-TW"/>
              </w:rPr>
              <w:t xml:space="preserve"> </w:t>
            </w:r>
            <w:r>
              <w:rPr>
                <w:rFonts w:eastAsia="新細明體"/>
                <w:b/>
                <w:bCs/>
                <w:lang w:eastAsia="zh-TW"/>
              </w:rPr>
              <w:t xml:space="preserve">1? If not, why not? Please elaborate more details. </w:t>
            </w:r>
          </w:p>
          <w:p w14:paraId="43376824" w14:textId="77777777" w:rsidR="00334C91" w:rsidRDefault="0079699C">
            <w:pPr>
              <w:rPr>
                <w:rFonts w:eastAsia="新細明體"/>
                <w:lang w:eastAsia="zh-TW"/>
              </w:rPr>
            </w:pPr>
            <w:r>
              <w:rPr>
                <w:rFonts w:eastAsia="新細明體" w:hint="eastAsia"/>
                <w:lang w:eastAsia="zh-TW"/>
              </w:rPr>
              <w:t>W</w:t>
            </w:r>
            <w:r>
              <w:rPr>
                <w:rFonts w:eastAsia="新細明體"/>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新細明體"/>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新細明體"/>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lastRenderedPageBreak/>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lastRenderedPageBreak/>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w:t>
            </w:r>
            <w:r>
              <w:rPr>
                <w:rFonts w:eastAsiaTheme="minorEastAsia"/>
                <w:lang w:val="en-US" w:eastAsia="zh-CN"/>
              </w:rPr>
              <w:lastRenderedPageBreak/>
              <w:t>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lastRenderedPageBreak/>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t>
            </w:r>
            <w:r>
              <w:rPr>
                <w:rFonts w:ascii="Times New Roman" w:eastAsiaTheme="minorEastAsia" w:hAnsi="Times New Roman" w:cs="Times New Roman"/>
                <w:sz w:val="20"/>
                <w:szCs w:val="20"/>
                <w:lang w:val="en-US" w:eastAsia="zh-CN"/>
              </w:rPr>
              <w:lastRenderedPageBreak/>
              <w:t xml:space="preserve">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新細明體"/>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新細明體"/>
                <w:lang w:val="en-US" w:eastAsia="zh-TW"/>
              </w:rPr>
            </w:pPr>
            <w:r>
              <w:rPr>
                <w:rFonts w:eastAsia="新細明體" w:hint="eastAsia"/>
                <w:lang w:val="en-US" w:eastAsia="zh-TW"/>
              </w:rPr>
              <w:t>F</w:t>
            </w:r>
            <w:r>
              <w:rPr>
                <w:rFonts w:eastAsia="新細明體"/>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新細明體" w:hint="eastAsia"/>
                <w:b/>
                <w:bCs/>
                <w:lang w:val="en-US" w:eastAsia="zh-TW"/>
              </w:rPr>
              <w:t>N</w:t>
            </w:r>
            <w:r>
              <w:rPr>
                <w:rFonts w:eastAsia="新細明體"/>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新細明體" w:hint="eastAsia"/>
                <w:lang w:val="en-US" w:eastAsia="zh-TW"/>
              </w:rPr>
              <w:lastRenderedPageBreak/>
              <w:t>M</w:t>
            </w:r>
            <w:r>
              <w:rPr>
                <w:rFonts w:eastAsia="新細明體"/>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新細明體"/>
                <w:lang w:val="en-US" w:eastAsia="zh-TW"/>
              </w:rPr>
            </w:pPr>
            <w:r>
              <w:rPr>
                <w:rFonts w:eastAsia="新細明體"/>
                <w:lang w:val="en-US" w:eastAsia="zh-TW"/>
              </w:rPr>
              <w:t xml:space="preserve">We would like to update our proposed Note as follows: </w:t>
            </w:r>
          </w:p>
          <w:p w14:paraId="4337693F" w14:textId="77777777" w:rsidR="00334C91" w:rsidRDefault="0079699C">
            <w:pPr>
              <w:rPr>
                <w:rFonts w:eastAsia="新細明體"/>
                <w:b/>
                <w:bCs/>
                <w:color w:val="C00000"/>
                <w:lang w:val="en-US" w:eastAsia="zh-TW"/>
              </w:rPr>
            </w:pPr>
            <w:r>
              <w:rPr>
                <w:rFonts w:eastAsia="新細明體"/>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新細明體"/>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新細明體"/>
                <w:lang w:val="en-US" w:eastAsia="zh-TW"/>
              </w:rPr>
            </w:pPr>
            <w:r>
              <w:rPr>
                <w:rFonts w:eastAsia="新細明體"/>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新細明體"/>
                <w:lang w:val="en-US" w:eastAsia="zh-TW"/>
              </w:rPr>
            </w:pPr>
            <w:r>
              <w:rPr>
                <w:rFonts w:eastAsia="新細明體"/>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新細明體"/>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新細明體"/>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新細明體"/>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新細明體"/>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lastRenderedPageBreak/>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lastRenderedPageBreak/>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lastRenderedPageBreak/>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lastRenderedPageBreak/>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w:t>
                  </w:r>
                  <w:r>
                    <w:rPr>
                      <w:rFonts w:eastAsia="SimSun"/>
                      <w:color w:val="000000"/>
                      <w:lang w:val="en-US" w:eastAsia="zh-CN" w:bidi="ar"/>
                    </w:rPr>
                    <w:lastRenderedPageBreak/>
                    <w:t xml:space="preserve">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lastRenderedPageBreak/>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lastRenderedPageBreak/>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77777777" w:rsidR="001818C2" w:rsidRDefault="001818C2" w:rsidP="000054A8">
            <w:pPr>
              <w:rPr>
                <w:rFonts w:eastAsiaTheme="minorEastAsia" w:hint="eastAsia"/>
                <w:lang w:val="en-US" w:eastAsia="zh-CN"/>
              </w:rPr>
            </w:pPr>
          </w:p>
        </w:tc>
        <w:tc>
          <w:tcPr>
            <w:tcW w:w="1372" w:type="dxa"/>
            <w:gridSpan w:val="2"/>
          </w:tcPr>
          <w:p w14:paraId="64A4CEAE" w14:textId="77777777" w:rsidR="001818C2" w:rsidRDefault="001818C2" w:rsidP="000054A8">
            <w:pPr>
              <w:tabs>
                <w:tab w:val="left" w:pos="551"/>
              </w:tabs>
              <w:rPr>
                <w:rFonts w:eastAsiaTheme="minorEastAsia"/>
                <w:lang w:val="en-US" w:eastAsia="zh-CN"/>
              </w:rPr>
            </w:pPr>
          </w:p>
        </w:tc>
        <w:tc>
          <w:tcPr>
            <w:tcW w:w="6783" w:type="dxa"/>
            <w:gridSpan w:val="2"/>
          </w:tcPr>
          <w:p w14:paraId="2199DC61" w14:textId="77777777" w:rsidR="001818C2" w:rsidRDefault="001818C2" w:rsidP="000054A8">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lastRenderedPageBreak/>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lastRenderedPageBreak/>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lastRenderedPageBreak/>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w:t>
            </w:r>
            <w:r>
              <w:rPr>
                <w:rFonts w:eastAsiaTheme="minorEastAsia"/>
                <w:lang w:val="en-US" w:eastAsia="ja-JP"/>
              </w:rPr>
              <w:lastRenderedPageBreak/>
              <w:t xml:space="preserve">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lastRenderedPageBreak/>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w:t>
            </w:r>
            <w:r>
              <w:rPr>
                <w:rFonts w:eastAsiaTheme="minorEastAsia"/>
                <w:lang w:val="en-US" w:eastAsia="zh-CN"/>
              </w:rPr>
              <w:lastRenderedPageBreak/>
              <w:t xml:space="preserve">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w:t>
            </w:r>
            <w:r>
              <w:rPr>
                <w:rFonts w:eastAsiaTheme="minorEastAsia"/>
                <w:lang w:val="en-US" w:eastAsia="zh-CN"/>
              </w:rPr>
              <w:lastRenderedPageBreak/>
              <w:t>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w:t>
            </w:r>
            <w:r>
              <w:rPr>
                <w:rFonts w:eastAsia="Yu Mincho"/>
                <w:lang w:val="en-US" w:eastAsia="ja-JP"/>
              </w:rPr>
              <w:lastRenderedPageBreak/>
              <w:t>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w:t>
            </w:r>
            <w:r>
              <w:rPr>
                <w:rFonts w:eastAsia="Malgun Gothic"/>
                <w:lang w:val="en-US" w:eastAsia="ko-KR"/>
              </w:rPr>
              <w:lastRenderedPageBreak/>
              <w:t>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lastRenderedPageBreak/>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lastRenderedPageBreak/>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lastRenderedPageBreak/>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lastRenderedPageBreak/>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新細明體"/>
                <w:lang w:val="en-US" w:eastAsia="zh-TW"/>
              </w:rPr>
            </w:pPr>
            <w:r>
              <w:rPr>
                <w:rFonts w:eastAsia="新細明體" w:hint="eastAsia"/>
                <w:lang w:val="en-US" w:eastAsia="zh-TW"/>
              </w:rPr>
              <w:t>W</w:t>
            </w:r>
            <w:r>
              <w:rPr>
                <w:rFonts w:eastAsia="新細明體"/>
                <w:lang w:val="en-US" w:eastAsia="zh-TW"/>
              </w:rPr>
              <w:t>e think</w:t>
            </w:r>
            <w:r>
              <w:t xml:space="preserve"> </w:t>
            </w:r>
            <w:r>
              <w:rPr>
                <w:rFonts w:eastAsia="新細明體"/>
                <w:lang w:val="en-US" w:eastAsia="zh-TW"/>
              </w:rPr>
              <w:t xml:space="preserve">Proposal 2-9d can be discussed after or together with the discussion on BW3 vs PR3. </w:t>
            </w:r>
          </w:p>
          <w:p w14:paraId="43376ED2" w14:textId="77777777" w:rsidR="00334C91" w:rsidRDefault="0079699C">
            <w:pPr>
              <w:rPr>
                <w:rFonts w:eastAsia="新細明體"/>
                <w:lang w:val="en-US" w:eastAsia="zh-TW"/>
              </w:rPr>
            </w:pPr>
            <w:r>
              <w:rPr>
                <w:rFonts w:eastAsia="新細明體"/>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新細明體"/>
                <w:lang w:val="en-US" w:eastAsia="zh-TW"/>
              </w:rPr>
              <w:t>Propopsal</w:t>
            </w:r>
            <w:proofErr w:type="spellEnd"/>
            <w:r>
              <w:rPr>
                <w:rFonts w:eastAsia="新細明體"/>
                <w:lang w:val="en-US" w:eastAsia="zh-TW"/>
              </w:rPr>
              <w:t xml:space="preserve"> 2-9d. </w:t>
            </w:r>
          </w:p>
        </w:tc>
      </w:tr>
      <w:tr w:rsidR="00334C91" w14:paraId="43376ED8" w14:textId="77777777">
        <w:tc>
          <w:tcPr>
            <w:tcW w:w="1479" w:type="dxa"/>
          </w:tcPr>
          <w:p w14:paraId="43376ED4" w14:textId="77777777" w:rsidR="00334C91" w:rsidRDefault="0079699C">
            <w:pPr>
              <w:rPr>
                <w:rFonts w:eastAsia="新細明體"/>
                <w:lang w:val="en-US" w:eastAsia="zh-TW"/>
              </w:rPr>
            </w:pPr>
            <w:r>
              <w:rPr>
                <w:rFonts w:eastAsia="新細明體"/>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新細明體"/>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新細明體"/>
                <w:lang w:val="en-US" w:eastAsia="zh-TW"/>
              </w:rPr>
            </w:pPr>
            <w:r>
              <w:rPr>
                <w:rFonts w:eastAsia="新細明體"/>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新細明體"/>
                <w:lang w:val="en-US" w:eastAsia="zh-TW"/>
              </w:rPr>
            </w:pPr>
            <w:r>
              <w:rPr>
                <w:rFonts w:eastAsia="新細明體"/>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新細明體"/>
                <w:lang w:val="en-US" w:eastAsia="zh-TW"/>
              </w:rPr>
            </w:pPr>
            <w:r>
              <w:rPr>
                <w:rFonts w:eastAsia="新細明體"/>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新細明體"/>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新細明體"/>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新細明體"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新細明體"/>
                <w:lang w:val="en-US" w:eastAsia="zh-TW"/>
              </w:rPr>
              <w:t xml:space="preserve">Even if BW3 is agreed, we don’t think this optimization is necessary. PDCCH is still allowed up to 20MHz and has no link performance loss. </w:t>
            </w: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w:t>
      </w:r>
      <w:r>
        <w:rPr>
          <w:rFonts w:ascii="Times New Roman" w:eastAsia="Microsoft YaHei UI" w:hAnsi="Times New Roman" w:cs="Times New Roman"/>
          <w:sz w:val="20"/>
          <w:szCs w:val="20"/>
          <w:lang w:val="en-US" w:eastAsia="zh-CN"/>
        </w:rPr>
        <w:lastRenderedPageBreak/>
        <w:t xml:space="preserve">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lastRenderedPageBreak/>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lastRenderedPageBreak/>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lastRenderedPageBreak/>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lastRenderedPageBreak/>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lastRenderedPageBreak/>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lastRenderedPageBreak/>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lastRenderedPageBreak/>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lastRenderedPageBreak/>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A15145">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A15145">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A15145">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A15145">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A15145">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A15145">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A15145">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A15145">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A15145">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lastRenderedPageBreak/>
              <w:t>[10]</w:t>
            </w:r>
          </w:p>
        </w:tc>
        <w:tc>
          <w:tcPr>
            <w:tcW w:w="1456" w:type="dxa"/>
            <w:tcMar>
              <w:top w:w="0" w:type="dxa"/>
              <w:left w:w="70" w:type="dxa"/>
              <w:bottom w:w="0" w:type="dxa"/>
              <w:right w:w="70" w:type="dxa"/>
            </w:tcMar>
          </w:tcPr>
          <w:p w14:paraId="4337724F" w14:textId="77777777" w:rsidR="00334C91" w:rsidRDefault="00A15145">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A15145">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A15145">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A15145">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A15145">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A15145">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A15145">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A15145">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A15145">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A15145">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A15145">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A15145">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A15145">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A15145">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A15145">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A15145">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A15145">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A15145">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A15145">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A15145">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A15145">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A15145">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A15145">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A15145">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A15145">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A15145">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A15145">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A15145">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325A589E" w14:textId="7468B3EC" w:rsidR="005360C8" w:rsidRDefault="00A15145"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FC3D1" w14:textId="77777777" w:rsidR="00A15145" w:rsidRDefault="00A15145">
      <w:pPr>
        <w:spacing w:line="240" w:lineRule="auto"/>
      </w:pPr>
      <w:r>
        <w:separator/>
      </w:r>
    </w:p>
  </w:endnote>
  <w:endnote w:type="continuationSeparator" w:id="0">
    <w:p w14:paraId="65EC4711" w14:textId="77777777" w:rsidR="00A15145" w:rsidRDefault="00A15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5A48D" w14:textId="77777777" w:rsidR="00A15145" w:rsidRDefault="00A15145">
      <w:pPr>
        <w:spacing w:after="0"/>
      </w:pPr>
      <w:r>
        <w:separator/>
      </w:r>
    </w:p>
  </w:footnote>
  <w:footnote w:type="continuationSeparator" w:id="0">
    <w:p w14:paraId="400D53D0" w14:textId="77777777" w:rsidR="00A15145" w:rsidRDefault="00A15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79</Pages>
  <Words>32895</Words>
  <Characters>187508</Characters>
  <Application>Microsoft Office Word</Application>
  <DocSecurity>0</DocSecurity>
  <Lines>1562</Lines>
  <Paragraphs>439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15</cp:revision>
  <dcterms:created xsi:type="dcterms:W3CDTF">2022-10-17T09:56:00Z</dcterms:created>
  <dcterms:modified xsi:type="dcterms:W3CDTF">2022-10-17T10:35:00Z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