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tagged FL1 and </w:t>
      </w:r>
      <w:r>
        <w:rPr>
          <w:color w:val="FF0000"/>
          <w:lang w:val="en-US"/>
        </w:rPr>
        <w:t>FL2</w:t>
      </w:r>
      <w:r>
        <w:rPr>
          <w:lang w:val="en-US"/>
        </w:rPr>
        <w:t>. The initial FLS is available in [36].</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w:t>
      </w:r>
      <w:bookmarkStart w:id="6" w:name="_GoBack"/>
      <w:bookmarkEnd w:id="6"/>
      <w:r>
        <w:rPr>
          <w:color w:val="FF0000"/>
          <w:lang w:val="en-US"/>
        </w:rPr>
        <w:t>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for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Option 3</w:t>
            </w:r>
            <w:r>
              <w:rPr>
                <w:rFonts w:eastAsia="Malgun Gothic"/>
                <w:lang w:val="en-US" w:eastAsia="ko-KR"/>
              </w:rPr>
              <w:t>/4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hint="eastAsia"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O</w:t>
            </w:r>
            <w:r>
              <w:rPr>
                <w:rFonts w:eastAsiaTheme="minorEastAsia"/>
                <w:lang w:val="en-US" w:eastAsia="zh-CN"/>
              </w:rPr>
              <w:t>ption 3 or 4</w:t>
            </w:r>
          </w:p>
        </w:tc>
        <w:tc>
          <w:tcPr>
            <w:tcW w:w="5982" w:type="dxa"/>
            <w:vAlign w:val="top"/>
          </w:tcPr>
          <w:p>
            <w:pPr>
              <w:tabs>
                <w:tab w:val="center" w:pos="2883"/>
              </w:tabs>
              <w:rPr>
                <w:rFonts w:hint="default" w:ascii="Times New Roman" w:hAnsi="Times New Roman" w:cs="Times New Roman" w:eastAsiaTheme="minorEastAsia"/>
                <w:lang w:val="en-US" w:eastAsia="zh-CN" w:bidi="ar-SA"/>
              </w:rPr>
            </w:pPr>
            <w:r>
              <w:rPr>
                <w:rFonts w:hint="eastAsia" w:eastAsiaTheme="minorEastAsia"/>
                <w:lang w:val="en-US" w:eastAsia="zh-CN"/>
              </w:rPr>
              <w:t>We support that the PDSCH and PUSCH in unicast should have the same implementation of PRBs number.</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SIB1 to be within 5 MHz</w:t>
            </w:r>
          </w:p>
          <w:p>
            <w:pPr>
              <w:pStyle w:val="49"/>
              <w:numPr>
                <w:ilvl w:val="0"/>
                <w:numId w:val="16"/>
              </w:numPr>
              <w:rPr>
                <w:sz w:val="20"/>
                <w:szCs w:val="22"/>
                <w:lang w:val="en-US"/>
              </w:rPr>
            </w:pPr>
            <w:r>
              <w:rPr>
                <w:sz w:val="20"/>
                <w:szCs w:val="22"/>
                <w:lang w:val="en-US"/>
              </w:rPr>
              <w:t>Option 2: Allow the scheduling of SIB1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O</w:t>
            </w:r>
            <w:r>
              <w:rPr>
                <w:rFonts w:eastAsiaTheme="minorEastAsia"/>
                <w:lang w:val="en-US" w:eastAsia="zh-CN"/>
              </w:rPr>
              <w:t>ption 3 or 4</w:t>
            </w:r>
          </w:p>
        </w:tc>
        <w:tc>
          <w:tcPr>
            <w:tcW w:w="5982" w:type="dxa"/>
            <w:vAlign w:val="top"/>
          </w:tcPr>
          <w:p>
            <w:pPr>
              <w:tabs>
                <w:tab w:val="center" w:pos="2883"/>
              </w:tabs>
              <w:rPr>
                <w:rFonts w:hint="default" w:ascii="Times New Roman" w:hAnsi="Times New Roman" w:cs="Times New Roman" w:eastAsiaTheme="minorEastAsia"/>
                <w:lang w:val="en-US" w:eastAsia="zh-CN" w:bidi="ar-SA"/>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General Y</w:t>
            </w:r>
          </w:p>
        </w:tc>
        <w:tc>
          <w:tcPr>
            <w:tcW w:w="1134"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Option2</w:t>
            </w:r>
          </w:p>
        </w:tc>
        <w:tc>
          <w:tcPr>
            <w:tcW w:w="5982" w:type="dxa"/>
            <w:vAlign w:val="top"/>
          </w:tcPr>
          <w:p>
            <w:pPr>
              <w:rPr>
                <w:rFonts w:hint="eastAsia"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hint="eastAsia" w:eastAsiaTheme="minorEastAsia"/>
                <w:lang w:val="en-US" w:eastAsia="zh-CN"/>
              </w:rPr>
            </w:pPr>
            <w:r>
              <w:rPr>
                <w:rFonts w:hint="eastAsia" w:eastAsiaTheme="minorEastAsia"/>
                <w:lang w:val="en-US" w:eastAsia="zh-CN"/>
              </w:rPr>
              <w:t xml:space="preserve">Following updates is suggested: </w:t>
            </w:r>
          </w:p>
          <w:p>
            <w:pPr>
              <w:rPr>
                <w:rFonts w:hint="default" w:eastAsiaTheme="minorEastAsia"/>
                <w:lang w:val="en-US" w:eastAsia="zh-CN"/>
              </w:rPr>
            </w:pPr>
            <w:r>
              <w:rPr>
                <w:rFonts w:hint="default" w:eastAsiaTheme="minorEastAsia"/>
                <w:lang w:val="en-US" w:eastAsia="zh-CN"/>
              </w:rPr>
              <w:t>‘</w:t>
            </w:r>
            <w:r>
              <w:rPr>
                <w:rFonts w:ascii="Times New Roman" w:hAnsi="Times New Roman" w:cs="Times New Roman" w:eastAsiaTheme="minorEastAsia"/>
                <w:b/>
                <w:bCs/>
                <w:sz w:val="20"/>
                <w:szCs w:val="20"/>
                <w:lang w:val="en-US" w:eastAsia="zh-CN"/>
              </w:rPr>
              <w:t>shared between</w:t>
            </w:r>
            <w:r>
              <w:rPr>
                <w:rFonts w:hint="default" w:cs="Times New Roman" w:eastAsiaTheme="minorEastAsia"/>
                <w:b/>
                <w:bCs/>
                <w:sz w:val="20"/>
                <w:szCs w:val="20"/>
                <w:lang w:val="en-US" w:eastAsia="zh-CN"/>
              </w:rPr>
              <w:t>’</w:t>
            </w:r>
            <w:r>
              <w:rPr>
                <w:rFonts w:hint="eastAsia" w:cs="Times New Roman" w:eastAsiaTheme="minorEastAsia"/>
                <w:b/>
                <w:bCs/>
                <w:sz w:val="20"/>
                <w:szCs w:val="20"/>
                <w:lang w:val="en-US" w:eastAsia="zh-CN"/>
              </w:rPr>
              <w:t xml:space="preserve"> </w:t>
            </w:r>
            <w:r>
              <w:rPr>
                <w:rFonts w:hint="eastAsia" w:cs="Times New Roman" w:eastAsiaTheme="minorEastAsia"/>
                <w:b w:val="0"/>
                <w:bCs w:val="0"/>
                <w:sz w:val="20"/>
                <w:szCs w:val="20"/>
                <w:lang w:val="en-US" w:eastAsia="zh-CN"/>
              </w:rPr>
              <w:t>should be added back and following note can be added</w:t>
            </w:r>
          </w:p>
          <w:p>
            <w:pPr>
              <w:rPr>
                <w:rFonts w:hint="eastAsia" w:ascii="Times New Roman" w:hAnsi="Times New Roman" w:cs="Times New Roman" w:eastAsiaTheme="minorEastAsia"/>
                <w:lang w:val="en-US" w:eastAsia="zh-CN" w:bidi="ar-SA"/>
              </w:rPr>
            </w:pPr>
            <w:r>
              <w:rPr>
                <w:rFonts w:hint="eastAsia" w:eastAsiaTheme="minorEastAsia"/>
                <w:lang w:val="en-US" w:eastAsia="zh-CN"/>
              </w:rPr>
              <w:t>FFS: whether/how to support separate paging for Rel-18 RedCap UE</w:t>
            </w:r>
          </w:p>
        </w:tc>
      </w:tr>
    </w:tbl>
    <w:p>
      <w:pPr>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20"/>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prefer Option 2 for OSI PDSCH and Option 1 for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 xml:space="preserve">Sequans </w:t>
            </w:r>
          </w:p>
        </w:tc>
        <w:tc>
          <w:tcPr>
            <w:tcW w:w="1039" w:type="dxa"/>
          </w:tcPr>
          <w:p>
            <w:pPr>
              <w:tabs>
                <w:tab w:val="left" w:pos="551"/>
              </w:tabs>
              <w:rPr>
                <w:rFonts w:hint="eastAsia"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p>
        </w:tc>
        <w:tc>
          <w:tcPr>
            <w:tcW w:w="1134" w:type="dxa"/>
            <w:vAlign w:val="top"/>
          </w:tcPr>
          <w:p>
            <w:pPr>
              <w:rPr>
                <w:rFonts w:hint="eastAsia" w:ascii="Times New Roman" w:hAnsi="Times New Roman" w:cs="Times New Roman" w:eastAsiaTheme="minorEastAsia"/>
                <w:lang w:val="en-US" w:eastAsia="ko-KR" w:bidi="ar-SA"/>
              </w:rPr>
            </w:pPr>
          </w:p>
        </w:tc>
        <w:tc>
          <w:tcPr>
            <w:tcW w:w="5982" w:type="dxa"/>
            <w:vAlign w:val="top"/>
          </w:tcPr>
          <w:p>
            <w:pPr>
              <w:rPr>
                <w:rFonts w:hint="eastAsia" w:eastAsiaTheme="minorEastAsia"/>
                <w:lang w:val="en-US" w:eastAsia="zh-CN"/>
              </w:rPr>
            </w:pPr>
            <w:r>
              <w:rPr>
                <w:rFonts w:hint="eastAsia" w:eastAsiaTheme="minorEastAsia"/>
                <w:lang w:val="en-US" w:eastAsia="zh-CN"/>
              </w:rPr>
              <w:t>We have similar concern as Nokia, suggest to add a Note as follows:</w:t>
            </w:r>
          </w:p>
          <w:p>
            <w:pPr>
              <w:rPr>
                <w:rFonts w:hint="default" w:ascii="Times New Roman" w:hAnsi="Times New Roman" w:cs="Times New Roman" w:eastAsiaTheme="minorEastAsia"/>
                <w:lang w:val="en-US" w:eastAsia="ko-KR" w:bidi="ar-SA"/>
              </w:rPr>
            </w:pPr>
            <w:r>
              <w:rPr>
                <w:rFonts w:hint="eastAsia" w:eastAsiaTheme="minorEastAsia"/>
                <w:lang w:val="en-US" w:eastAsia="zh-CN"/>
              </w:rPr>
              <w:t>Note: it does not mean separate OSI or RAR is supported.</w:t>
            </w: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1st/2nd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jc w:val="left"/>
              <w:rPr>
                <w:rFonts w:hint="eastAsia"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OK with MTK</w:t>
            </w:r>
            <w:r>
              <w:rPr>
                <w:rFonts w:hint="default" w:eastAsiaTheme="minorEastAsia"/>
                <w:lang w:val="en-US" w:eastAsia="zh-CN"/>
              </w:rPr>
              <w:t>’</w:t>
            </w:r>
            <w:r>
              <w:rPr>
                <w:rFonts w:hint="eastAsia" w:eastAsiaTheme="minorEastAsia"/>
                <w:lang w:val="en-US" w:eastAsia="zh-CN"/>
              </w:rPr>
              <w:t>s update</w:t>
            </w:r>
          </w:p>
        </w:tc>
      </w:tr>
    </w:tbl>
    <w:p>
      <w:pPr>
        <w:rPr>
          <w:rFonts w:eastAsia="Microsoft YaHei UI"/>
          <w:lang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2"/>
              </w:numPr>
              <w:rPr>
                <w:rFonts w:eastAsia="Yu Mincho"/>
                <w:lang w:val="en-US"/>
              </w:rPr>
            </w:pPr>
            <w:r>
              <w:rPr>
                <w:rFonts w:eastAsia="Yu Mincho"/>
                <w:sz w:val="20"/>
                <w:szCs w:val="21"/>
                <w:lang w:val="en-US"/>
              </w:rPr>
              <w:t>Opt.1: semi-static FDRA/pre-defined FDRA</w:t>
            </w:r>
          </w:p>
          <w:p>
            <w:pPr>
              <w:pStyle w:val="49"/>
              <w:numPr>
                <w:ilvl w:val="0"/>
                <w:numId w:val="22"/>
              </w:numPr>
              <w:rPr>
                <w:rFonts w:eastAsia="Yu Mincho"/>
                <w:lang w:val="en-US"/>
              </w:rPr>
            </w:pPr>
            <w:r>
              <w:rPr>
                <w:rFonts w:eastAsia="Yu Mincho"/>
                <w:sz w:val="20"/>
                <w:szCs w:val="21"/>
                <w:lang w:val="en-US"/>
              </w:rPr>
              <w:t>Opt.2: cross-slot scheduling</w:t>
            </w:r>
          </w:p>
          <w:p>
            <w:pPr>
              <w:pStyle w:val="49"/>
              <w:numPr>
                <w:ilvl w:val="0"/>
                <w:numId w:val="22"/>
              </w:numPr>
              <w:rPr>
                <w:rFonts w:eastAsia="Yu Mincho"/>
                <w:lang w:val="en-US"/>
              </w:rPr>
            </w:pPr>
            <w:r>
              <w:rPr>
                <w:rFonts w:eastAsia="Yu Mincho"/>
                <w:sz w:val="20"/>
                <w:szCs w:val="21"/>
                <w:lang w:val="en-US"/>
              </w:rPr>
              <w:t>Opt.3: soft-combining of multiple reception</w:t>
            </w:r>
          </w:p>
          <w:p>
            <w:pPr>
              <w:pStyle w:val="49"/>
              <w:numPr>
                <w:ilvl w:val="0"/>
                <w:numId w:val="22"/>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2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2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2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ko-KR" w:bidi="ar-SA"/>
              </w:rPr>
            </w:pPr>
          </w:p>
        </w:tc>
        <w:tc>
          <w:tcPr>
            <w:tcW w:w="6780" w:type="dxa"/>
            <w:vAlign w:val="top"/>
          </w:tcPr>
          <w:p>
            <w:pPr>
              <w:rPr>
                <w:rFonts w:hint="default"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hint="default" w:ascii="Times New Roman" w:hAnsi="Times New Roman" w:eastAsia="宋体" w:cs="Times New Roman"/>
                <w:b/>
                <w:bCs/>
                <w:lang w:val="en-US" w:eastAsia="ko-KR" w:bidi="ar-SA"/>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 xml:space="preserve">or 20M </w:t>
            </w:r>
            <w:r>
              <w:rPr>
                <w:b/>
                <w:bCs/>
                <w:lang w:val="en-US"/>
              </w:rPr>
              <w:t>post-FFT buffer.</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5"/>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5"/>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6"/>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27"/>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26"/>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Situation 2: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26"/>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rPr>
                <w:rFonts w:eastAsiaTheme="minorEastAsia"/>
                <w:lang w:val="en-US" w:eastAsia="zh-CN"/>
              </w:rPr>
            </w:pPr>
          </w:p>
          <w:p>
            <w:pPr>
              <w:pStyle w:val="49"/>
              <w:numPr>
                <w:ilvl w:val="1"/>
                <w:numId w:val="26"/>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26"/>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26"/>
              </w:numPr>
              <w:rPr>
                <w:b/>
                <w:bCs/>
                <w:sz w:val="20"/>
              </w:rPr>
            </w:pPr>
            <w:r>
              <w:rPr>
                <w:sz w:val="20"/>
                <w:lang w:eastAsia="zh-CN"/>
              </w:rPr>
              <w:t>For add-on, according to SI conclusion from 38.865(also mentioned by FW), we suggest to conclude at this stage whether to adopt this feature for Rel-18 eRedCap, and leave constraint value FFS.</w:t>
            </w:r>
          </w:p>
          <w:p>
            <w:pPr>
              <w:pStyle w:val="49"/>
              <w:numPr>
                <w:ilvl w:val="0"/>
                <w:numId w:val="26"/>
              </w:numPr>
              <w:rPr>
                <w:rFonts w:eastAsiaTheme="minorEastAsia"/>
                <w:lang w:val="en-US" w:eastAsia="zh-CN"/>
              </w:rPr>
            </w:pPr>
            <w:r>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26"/>
              </w:numPr>
              <w:rPr>
                <w:b/>
                <w:bCs/>
                <w:sz w:val="20"/>
                <w:szCs w:val="20"/>
                <w:lang w:val="en-US"/>
              </w:rPr>
            </w:pPr>
            <w:r>
              <w:rPr>
                <w:b/>
                <w:bCs/>
                <w:sz w:val="20"/>
                <w:szCs w:val="20"/>
                <w:lang w:val="en-US"/>
              </w:rPr>
              <w:t>If UE peak data rate reduction is supported as an add-on to UE BB bandwidth reduction,</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6"/>
              </w:numPr>
              <w:rPr>
                <w:b/>
                <w:bCs/>
                <w:sz w:val="20"/>
                <w:szCs w:val="20"/>
                <w:lang w:val="en-US"/>
              </w:rPr>
            </w:pPr>
            <w:r>
              <w:rPr>
                <w:b/>
                <w:bCs/>
                <w:sz w:val="20"/>
                <w:szCs w:val="20"/>
                <w:lang w:val="en-US"/>
              </w:rPr>
              <w:t>If UE peak data rate reduction is supported as a standalone feature,</w:t>
            </w:r>
          </w:p>
          <w:p>
            <w:pPr>
              <w:pStyle w:val="49"/>
              <w:numPr>
                <w:ilvl w:val="1"/>
                <w:numId w:val="26"/>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26"/>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for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eastAsiaTheme="minorEastAsia"/>
                <w:lang w:val="en-US" w:eastAsia="zh-CN"/>
              </w:rPr>
              <w:t>Sequans</w:t>
            </w:r>
          </w:p>
        </w:tc>
        <w:tc>
          <w:tcPr>
            <w:tcW w:w="1372" w:type="dxa"/>
          </w:tcPr>
          <w:p>
            <w:pPr>
              <w:tabs>
                <w:tab w:val="left" w:pos="551"/>
              </w:tabs>
              <w:rPr>
                <w:rFonts w:hint="eastAsia"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eastAsia="Yu Mincho" w:cs="Times New Roman"/>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hint="eastAsia"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hint="default" w:ascii="Times New Roman" w:hAnsi="Times New Roman" w:cs="Times New Roman" w:eastAsiaTheme="minorEastAsia"/>
                <w:lang w:val="en-US" w:eastAsia="zh-CN" w:bidi="ar-SA"/>
              </w:rPr>
            </w:pPr>
            <w:r>
              <w:rPr>
                <w:rFonts w:hint="eastAsia" w:eastAsiaTheme="minorEastAsia"/>
                <w:lang w:val="en-US" w:eastAsia="zh-CN"/>
              </w:rPr>
              <w:t>Therefore, we are OK with the down-selection and the constrain can be relaxed to 2.</w:t>
            </w:r>
          </w:p>
        </w:tc>
      </w:tr>
    </w:tbl>
    <w:p>
      <w:pPr>
        <w:rPr>
          <w:bCs/>
          <w:lang w:val="en-US"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for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30"/>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5"/>
  </w:num>
  <w:num w:numId="21">
    <w:abstractNumId w:val="4"/>
  </w:num>
  <w:num w:numId="22">
    <w:abstractNumId w:val="19"/>
  </w:num>
  <w:num w:numId="23">
    <w:abstractNumId w:val="0"/>
  </w:num>
  <w:num w:numId="24">
    <w:abstractNumId w:val="21"/>
  </w:num>
  <w:num w:numId="25">
    <w:abstractNumId w:val="22"/>
  </w:num>
  <w:num w:numId="26">
    <w:abstractNumId w:val="26"/>
  </w:num>
  <w:num w:numId="27">
    <w:abstractNumId w:val="14"/>
  </w:num>
  <w:num w:numId="28">
    <w:abstractNumId w:val="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DB1F0A25-A2A7-4A82-9056-CFB231E20E65}">
  <ds:schemaRefs/>
</ds:datastoreItem>
</file>

<file path=customXml/itemProps5.xml><?xml version="1.0" encoding="utf-8"?>
<ds:datastoreItem xmlns:ds="http://schemas.openxmlformats.org/officeDocument/2006/customXml" ds:itemID="{D2DCC10B-EF57-4B87-8D2F-B4CA4261B09C}">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41</Pages>
  <Words>16792</Words>
  <Characters>95716</Characters>
  <Lines>797</Lines>
  <Paragraphs>224</Paragraphs>
  <TotalTime>1</TotalTime>
  <ScaleCrop>false</ScaleCrop>
  <LinksUpToDate>false</LinksUpToDate>
  <CharactersWithSpaces>112284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2022-10-12T08:12:00Z</dcterms:created>
  <dc:creator>Johan Bergman</dc:creator>
  <cp:lastModifiedBy>ZTE</cp:lastModifiedBy>
  <dcterms:modified xsi:type="dcterms:W3CDTF">2022-10-12T08:20:34Z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