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游明朝"/>
                <w:lang w:val="en-US" w:eastAsia="ja-JP"/>
              </w:rPr>
            </w:pPr>
            <w:r>
              <w:rPr>
                <w:rFonts w:eastAsia="游明朝"/>
                <w:lang w:val="en-US" w:eastAsia="ja-JP"/>
              </w:rPr>
              <w:t>Nokia, NSB</w:t>
            </w:r>
          </w:p>
        </w:tc>
        <w:tc>
          <w:tcPr>
            <w:tcW w:w="2977" w:type="dxa"/>
          </w:tcPr>
          <w:p w14:paraId="0668DB11" w14:textId="715CAF5D" w:rsidR="00885635" w:rsidRDefault="00885635" w:rsidP="00885635">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游明朝"/>
                <w:lang w:val="en-US" w:eastAsia="ja-JP"/>
              </w:rPr>
            </w:pPr>
            <w:r>
              <w:rPr>
                <w:rFonts w:eastAsia="游明朝"/>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游明朝"/>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游明朝"/>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游明朝"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游明朝"/>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E78AA29" w:rsidR="00885635" w:rsidRDefault="00885635" w:rsidP="00885635">
            <w:pPr>
              <w:spacing w:after="0"/>
              <w:jc w:val="center"/>
              <w:rPr>
                <w:rFonts w:eastAsia="游明朝"/>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游明朝"/>
                <w:lang w:val="en-US" w:eastAsia="ja-JP"/>
              </w:rPr>
            </w:pPr>
            <w:r>
              <w:rPr>
                <w:rFonts w:eastAsia="游明朝"/>
                <w:lang w:val="en-US" w:eastAsia="ja-JP"/>
              </w:rPr>
              <w:t>Ericsson</w:t>
            </w:r>
          </w:p>
        </w:tc>
        <w:tc>
          <w:tcPr>
            <w:tcW w:w="2977" w:type="dxa"/>
          </w:tcPr>
          <w:p w14:paraId="3F66FD7C" w14:textId="544E7B87" w:rsidR="00885635" w:rsidRDefault="00885635" w:rsidP="00885635">
            <w:pPr>
              <w:spacing w:after="0"/>
              <w:jc w:val="center"/>
              <w:rPr>
                <w:rFonts w:eastAsia="游明朝"/>
                <w:lang w:val="en-US" w:eastAsia="ja-JP"/>
              </w:rPr>
            </w:pPr>
            <w:r>
              <w:rPr>
                <w:rFonts w:eastAsia="游明朝"/>
                <w:lang w:val="en-US" w:eastAsia="ja-JP"/>
              </w:rPr>
              <w:t xml:space="preserve">Sandeep Narayanan </w:t>
            </w:r>
            <w:proofErr w:type="spellStart"/>
            <w:r>
              <w:rPr>
                <w:rFonts w:eastAsia="游明朝"/>
                <w:lang w:val="en-US" w:eastAsia="ja-JP"/>
              </w:rPr>
              <w:t>Kadan</w:t>
            </w:r>
            <w:proofErr w:type="spellEnd"/>
            <w:r>
              <w:rPr>
                <w:rFonts w:eastAsia="游明朝"/>
                <w:lang w:val="en-US" w:eastAsia="ja-JP"/>
              </w:rPr>
              <w:t xml:space="preserve"> </w:t>
            </w:r>
            <w:proofErr w:type="spellStart"/>
            <w:r>
              <w:rPr>
                <w:rFonts w:eastAsia="游明朝"/>
                <w:lang w:val="en-US" w:eastAsia="ja-JP"/>
              </w:rPr>
              <w:t>Veedu</w:t>
            </w:r>
            <w:proofErr w:type="spellEnd"/>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游明朝"/>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游明朝"/>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游明朝"/>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游明朝"/>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游明朝"/>
                <w:lang w:val="en-US" w:eastAsia="ja-JP"/>
              </w:rPr>
            </w:pPr>
            <w:r>
              <w:rPr>
                <w:rFonts w:eastAsia="游明朝"/>
                <w:lang w:val="en-US" w:eastAsia="ja-JP"/>
              </w:rPr>
              <w:t>Intel</w:t>
            </w:r>
          </w:p>
        </w:tc>
        <w:tc>
          <w:tcPr>
            <w:tcW w:w="2977" w:type="dxa"/>
          </w:tcPr>
          <w:p w14:paraId="7F5CC584" w14:textId="77777777" w:rsidR="00B9479C" w:rsidRPr="00325A95" w:rsidRDefault="00B9479C" w:rsidP="005934AD">
            <w:pPr>
              <w:spacing w:after="0"/>
              <w:jc w:val="center"/>
              <w:rPr>
                <w:rFonts w:eastAsia="游明朝"/>
                <w:lang w:val="en-US" w:eastAsia="ja-JP"/>
              </w:rPr>
            </w:pPr>
            <w:r>
              <w:rPr>
                <w:rFonts w:eastAsia="游明朝"/>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游明朝"/>
                <w:lang w:val="en-US" w:eastAsia="ja-JP"/>
              </w:rPr>
            </w:pPr>
            <w:r>
              <w:rPr>
                <w:rFonts w:eastAsia="游明朝"/>
                <w:lang w:val="en-US" w:eastAsia="ja-JP"/>
              </w:rPr>
              <w:t>OPPO</w:t>
            </w:r>
          </w:p>
        </w:tc>
        <w:tc>
          <w:tcPr>
            <w:tcW w:w="2977" w:type="dxa"/>
          </w:tcPr>
          <w:p w14:paraId="00291B60" w14:textId="7A25E472" w:rsidR="00E13716" w:rsidRDefault="00E13716" w:rsidP="00E13716">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游明朝"/>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游明朝"/>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e"/>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e"/>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e"/>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e"/>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游明朝"/>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30D03D3C" w14:textId="77777777" w:rsidR="0001793B" w:rsidRDefault="0001793B" w:rsidP="0001793B">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游明朝"/>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游明朝"/>
                <w:lang w:val="en-US" w:eastAsia="ja-JP"/>
              </w:rPr>
              <w:t>12 PRBs for 30 kHz SCS</w:t>
            </w:r>
            <w:r>
              <w:rPr>
                <w:rFonts w:eastAsia="游明朝"/>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游明朝"/>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游明朝"/>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游明朝"/>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游明朝"/>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9948531" w14:textId="73046B75" w:rsidR="00240B05" w:rsidRPr="00240B05" w:rsidRDefault="00240B05" w:rsidP="00240B05">
            <w:pPr>
              <w:tabs>
                <w:tab w:val="left" w:pos="551"/>
              </w:tabs>
              <w:rPr>
                <w:rFonts w:eastAsia="游明朝"/>
                <w:lang w:val="en-US" w:eastAsia="ja-JP"/>
              </w:rPr>
            </w:pPr>
            <w:r>
              <w:rPr>
                <w:rFonts w:eastAsia="游明朝"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游明朝"/>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游明朝"/>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游明朝"/>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游明朝"/>
                <w:lang w:val="en-US" w:eastAsia="ja-JP"/>
              </w:rPr>
            </w:pPr>
            <w:r>
              <w:rPr>
                <w:rFonts w:eastAsia="游明朝"/>
                <w:lang w:val="en-US" w:eastAsia="ja-JP"/>
              </w:rPr>
              <w:t xml:space="preserve">We support in principle the proposal for later </w:t>
            </w:r>
            <w:proofErr w:type="gramStart"/>
            <w:r>
              <w:rPr>
                <w:rFonts w:eastAsia="游明朝"/>
                <w:lang w:val="en-US" w:eastAsia="ja-JP"/>
              </w:rPr>
              <w:t>down-select</w:t>
            </w:r>
            <w:proofErr w:type="gramEnd"/>
            <w:r>
              <w:rPr>
                <w:rFonts w:eastAsia="游明朝"/>
                <w:lang w:val="en-US" w:eastAsia="ja-JP"/>
              </w:rPr>
              <w:t>.</w:t>
            </w:r>
          </w:p>
          <w:p w14:paraId="36AC91FA" w14:textId="425DE9D3" w:rsidR="00E46B68" w:rsidRDefault="00E46B68" w:rsidP="00C125E4">
            <w:pPr>
              <w:rPr>
                <w:rFonts w:eastAsia="Malgun Gothic"/>
                <w:lang w:val="en-US" w:eastAsia="ko-KR"/>
              </w:rPr>
            </w:pPr>
            <w:r>
              <w:rPr>
                <w:rFonts w:eastAsia="游明朝"/>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e"/>
              <w:numPr>
                <w:ilvl w:val="0"/>
                <w:numId w:val="16"/>
              </w:numPr>
              <w:rPr>
                <w:b/>
                <w:bCs/>
                <w:sz w:val="20"/>
                <w:szCs w:val="22"/>
                <w:lang w:val="en-US"/>
              </w:rPr>
            </w:pPr>
            <w:r>
              <w:rPr>
                <w:b/>
                <w:bCs/>
                <w:sz w:val="20"/>
                <w:szCs w:val="22"/>
                <w:lang w:val="en-US"/>
              </w:rPr>
              <w:t>Option 1: 28 PRBs for 15 kHz SCS and 14 PRBs for 30 kHz SCS</w:t>
            </w:r>
          </w:p>
          <w:p w14:paraId="5CBA021E" w14:textId="77777777" w:rsidR="00847EC8" w:rsidRDefault="00847EC8" w:rsidP="00847EC8">
            <w:pPr>
              <w:pStyle w:val="afe"/>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e"/>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e"/>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hint="eastAsia"/>
                <w:lang w:eastAsia="zh-CN"/>
              </w:rPr>
            </w:pPr>
            <w:r>
              <w:rPr>
                <w:rFonts w:eastAsia="游明朝" w:hint="eastAsia"/>
                <w:lang w:eastAsia="ja-JP"/>
              </w:rPr>
              <w:t>D</w:t>
            </w:r>
            <w:r>
              <w:rPr>
                <w:rFonts w:eastAsia="游明朝"/>
                <w:lang w:eastAsia="ja-JP"/>
              </w:rPr>
              <w:t>OCOMO</w:t>
            </w:r>
          </w:p>
        </w:tc>
        <w:tc>
          <w:tcPr>
            <w:tcW w:w="1039" w:type="dxa"/>
          </w:tcPr>
          <w:p w14:paraId="7DDDE6D5" w14:textId="0102866C" w:rsidR="007D39BB" w:rsidRDefault="007D39BB" w:rsidP="007D39BB">
            <w:pPr>
              <w:tabs>
                <w:tab w:val="left" w:pos="551"/>
              </w:tabs>
              <w:rPr>
                <w:rFonts w:eastAsiaTheme="minorEastAsia" w:hint="eastAsia"/>
                <w:lang w:val="en-US" w:eastAsia="zh-CN"/>
              </w:rPr>
            </w:pPr>
            <w:r>
              <w:rPr>
                <w:rFonts w:eastAsia="游明朝"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游明朝"/>
                <w:lang w:val="en-US" w:eastAsia="ja-JP"/>
              </w:rPr>
              <w:t xml:space="preserve">If the system bandwidth is 5MHz, we think of course the Rel-18 </w:t>
            </w:r>
            <w:proofErr w:type="spellStart"/>
            <w:r>
              <w:rPr>
                <w:rFonts w:eastAsia="游明朝"/>
                <w:lang w:val="en-US" w:eastAsia="ja-JP"/>
              </w:rPr>
              <w:t>RedCap</w:t>
            </w:r>
            <w:proofErr w:type="spellEnd"/>
            <w:r>
              <w:rPr>
                <w:rFonts w:eastAsia="游明朝"/>
                <w:lang w:val="en-US" w:eastAsia="ja-JP"/>
              </w:rPr>
              <w:t xml:space="preserve"> UE follows the RAN4 spec, i.e., the number of RBs should not exceed 25/11 for 15/30 kHz SCS, otherwise, the number of RBs can be larger as Option 1/2/3.</w:t>
            </w: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afe"/>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afe"/>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afe"/>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afe"/>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e"/>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e"/>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afe"/>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0668DC30" w14:textId="77777777" w:rsidR="00D845A9" w:rsidRDefault="006E263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68DC31" w14:textId="77777777" w:rsidR="00D845A9" w:rsidRDefault="006E2638">
            <w:pPr>
              <w:rPr>
                <w:rFonts w:eastAsia="游明朝"/>
                <w:lang w:val="en-US" w:eastAsia="ja-JP"/>
              </w:rPr>
            </w:pPr>
            <w:r>
              <w:rPr>
                <w:rFonts w:eastAsia="游明朝"/>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游明朝"/>
                <w:lang w:val="en-US" w:eastAsia="ja-JP"/>
              </w:rPr>
              <w:t>RedCap</w:t>
            </w:r>
            <w:proofErr w:type="spellEnd"/>
            <w:r>
              <w:rPr>
                <w:rFonts w:eastAsia="游明朝"/>
                <w:lang w:val="en-US" w:eastAsia="ja-JP"/>
              </w:rPr>
              <w:t xml:space="preserve"> and other types of UE.</w:t>
            </w:r>
          </w:p>
          <w:p w14:paraId="0668DC32" w14:textId="77777777" w:rsidR="00D845A9" w:rsidRDefault="006E2638">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游明朝"/>
                <w:lang w:val="en-US" w:eastAsia="ja-JP"/>
              </w:rPr>
              <w:t>gNB</w:t>
            </w:r>
            <w:proofErr w:type="spellEnd"/>
            <w:r>
              <w:rPr>
                <w:rFonts w:eastAsia="游明朝"/>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游明朝"/>
                <w:lang w:val="en-US" w:eastAsia="ja-JP"/>
              </w:rPr>
            </w:pPr>
            <w:r>
              <w:rPr>
                <w:rFonts w:eastAsiaTheme="minorEastAsia"/>
                <w:lang w:val="en-US" w:eastAsia="zh-CN"/>
              </w:rPr>
              <w:t>Y</w:t>
            </w:r>
          </w:p>
        </w:tc>
        <w:tc>
          <w:tcPr>
            <w:tcW w:w="1134" w:type="dxa"/>
          </w:tcPr>
          <w:p w14:paraId="0668DC36" w14:textId="77777777" w:rsidR="00D845A9" w:rsidRDefault="006E2638">
            <w:pPr>
              <w:rPr>
                <w:rFonts w:eastAsia="游明朝"/>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游明朝"/>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游明朝"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游明朝"/>
                <w:lang w:val="en-US" w:eastAsia="ja-JP"/>
              </w:rPr>
            </w:pPr>
            <w:r>
              <w:rPr>
                <w:rFonts w:eastAsia="游明朝"/>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游明朝"/>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游明朝"/>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游明朝"/>
                <w:lang w:val="en-US" w:eastAsia="ja-JP"/>
              </w:rPr>
            </w:pPr>
            <w:r>
              <w:rPr>
                <w:rFonts w:eastAsia="游明朝"/>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游明朝"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游明朝"/>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游明朝"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sidRPr="00F872D5">
              <w:rPr>
                <w:rFonts w:eastAsia="游明朝"/>
                <w:i/>
                <w:iCs/>
                <w:lang w:val="en-US" w:eastAsia="ja-JP"/>
              </w:rPr>
              <w:t>shared</w:t>
            </w:r>
            <w:r>
              <w:rPr>
                <w:rFonts w:eastAsia="游明朝"/>
                <w:lang w:val="en-US" w:eastAsia="ja-JP"/>
              </w:rPr>
              <w:t xml:space="preserve"> between legacy UEs and </w:t>
            </w:r>
            <w:proofErr w:type="spellStart"/>
            <w:r>
              <w:rPr>
                <w:rFonts w:eastAsia="游明朝"/>
                <w:lang w:val="en-US" w:eastAsia="ja-JP"/>
              </w:rPr>
              <w:t>eRedCap</w:t>
            </w:r>
            <w:proofErr w:type="spellEnd"/>
            <w:r>
              <w:rPr>
                <w:rFonts w:eastAsia="游明朝"/>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游明朝"/>
                <w:lang w:val="en-US" w:eastAsia="ja-JP"/>
              </w:rPr>
              <w:t xml:space="preserve">For the case when </w:t>
            </w:r>
            <w:r w:rsidRPr="00F872D5">
              <w:rPr>
                <w:rFonts w:eastAsia="游明朝"/>
                <w:i/>
                <w:iCs/>
                <w:lang w:val="en-US" w:eastAsia="ja-JP"/>
              </w:rPr>
              <w:t>dedicated</w:t>
            </w:r>
            <w:r>
              <w:rPr>
                <w:rFonts w:eastAsia="游明朝"/>
                <w:lang w:val="en-US" w:eastAsia="ja-JP"/>
              </w:rPr>
              <w:t xml:space="preserve"> paging can be configured and transmitted to R18 </w:t>
            </w:r>
            <w:proofErr w:type="spellStart"/>
            <w:r>
              <w:rPr>
                <w:rFonts w:eastAsia="游明朝"/>
                <w:lang w:val="en-US" w:eastAsia="ja-JP"/>
              </w:rPr>
              <w:t>eRedCap</w:t>
            </w:r>
            <w:proofErr w:type="spellEnd"/>
            <w:r>
              <w:rPr>
                <w:rFonts w:eastAsia="游明朝"/>
                <w:lang w:val="en-US" w:eastAsia="ja-JP"/>
              </w:rPr>
              <w:t xml:space="preserve">, we share a similar understanding with Nokia and Xiaomi that </w:t>
            </w:r>
            <w:proofErr w:type="spellStart"/>
            <w:r>
              <w:rPr>
                <w:rFonts w:eastAsia="游明朝"/>
                <w:lang w:val="en-US" w:eastAsia="ja-JP"/>
              </w:rPr>
              <w:t>gNB</w:t>
            </w:r>
            <w:proofErr w:type="spellEnd"/>
            <w:r>
              <w:rPr>
                <w:rFonts w:eastAsia="游明朝"/>
                <w:lang w:val="en-US" w:eastAsia="ja-JP"/>
              </w:rPr>
              <w:t xml:space="preserve"> first needs to be able to distinguish which paging messages are for R18 </w:t>
            </w:r>
            <w:proofErr w:type="spellStart"/>
            <w:r>
              <w:rPr>
                <w:rFonts w:eastAsia="游明朝"/>
                <w:lang w:val="en-US" w:eastAsia="ja-JP"/>
              </w:rPr>
              <w:t>eRedCap</w:t>
            </w:r>
            <w:proofErr w:type="spellEnd"/>
            <w:r>
              <w:rPr>
                <w:rFonts w:eastAsia="游明朝"/>
                <w:lang w:val="en-US" w:eastAsia="ja-JP"/>
              </w:rPr>
              <w:t xml:space="preserve"> UEs. This requires more discussion on the specification impact and real-deployment impact. Even if we can make such an agreement to ensure </w:t>
            </w:r>
            <w:proofErr w:type="spellStart"/>
            <w:r>
              <w:rPr>
                <w:rFonts w:eastAsia="游明朝"/>
                <w:lang w:val="en-US" w:eastAsia="ja-JP"/>
              </w:rPr>
              <w:t>gNB</w:t>
            </w:r>
            <w:proofErr w:type="spellEnd"/>
            <w:r>
              <w:rPr>
                <w:rFonts w:eastAsia="游明朝"/>
                <w:lang w:val="en-US" w:eastAsia="ja-JP"/>
              </w:rPr>
              <w:t xml:space="preserve"> gets this information from core NW, we are not sure this is a practical assumption in field when R18 </w:t>
            </w:r>
            <w:proofErr w:type="spellStart"/>
            <w:r>
              <w:rPr>
                <w:rFonts w:eastAsia="游明朝"/>
                <w:lang w:val="en-US" w:eastAsia="ja-JP"/>
              </w:rPr>
              <w:t>eRedCap</w:t>
            </w:r>
            <w:proofErr w:type="spellEnd"/>
            <w:r>
              <w:rPr>
                <w:rFonts w:eastAsia="游明朝"/>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游明朝"/>
                <w:lang w:val="en-US" w:eastAsia="ja-JP"/>
              </w:rPr>
            </w:pPr>
            <w:r>
              <w:rPr>
                <w:rFonts w:eastAsia="游明朝"/>
                <w:lang w:val="en-US" w:eastAsia="ja-JP"/>
              </w:rPr>
              <w:t>Sequans</w:t>
            </w:r>
          </w:p>
        </w:tc>
        <w:tc>
          <w:tcPr>
            <w:tcW w:w="1039" w:type="dxa"/>
          </w:tcPr>
          <w:p w14:paraId="1C5161F3" w14:textId="2879C5A2" w:rsidR="00E46B68" w:rsidRDefault="00E46B68" w:rsidP="00362CE7">
            <w:pPr>
              <w:tabs>
                <w:tab w:val="left" w:pos="551"/>
              </w:tabs>
              <w:rPr>
                <w:rFonts w:eastAsia="游明朝"/>
                <w:lang w:val="en-US" w:eastAsia="ja-JP"/>
              </w:rPr>
            </w:pPr>
            <w:r>
              <w:rPr>
                <w:rFonts w:eastAsia="游明朝"/>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游明朝"/>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e"/>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e"/>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sidR="001C6136">
              <w:rPr>
                <w:rFonts w:eastAsiaTheme="minorEastAsia"/>
                <w:lang w:val="en-US" w:eastAsia="zh-CN"/>
              </w:rPr>
              <w:t>So</w:t>
            </w:r>
            <w:proofErr w:type="gramEnd"/>
            <w:r w:rsidR="001C6136">
              <w:rPr>
                <w:rFonts w:eastAsiaTheme="minorEastAsia"/>
                <w:lang w:val="en-US" w:eastAsia="zh-CN"/>
              </w:rPr>
              <w:t xml:space="preserve">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6FA375F" w14:textId="77777777" w:rsidR="005F0DDD" w:rsidRDefault="005F0DDD" w:rsidP="009219C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游明朝"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游明朝"/>
                <w:lang w:val="en-US" w:eastAsia="ja-JP"/>
              </w:rPr>
              <w:t xml:space="preserve">We support this proposal for now. In our understanding, whether the paging is shared between Rel-18 </w:t>
            </w:r>
            <w:proofErr w:type="spellStart"/>
            <w:r>
              <w:rPr>
                <w:rFonts w:eastAsia="游明朝"/>
                <w:lang w:val="en-US" w:eastAsia="ja-JP"/>
              </w:rPr>
              <w:t>RedCap</w:t>
            </w:r>
            <w:proofErr w:type="spellEnd"/>
            <w:r>
              <w:rPr>
                <w:rFonts w:eastAsia="游明朝"/>
                <w:lang w:val="en-US" w:eastAsia="ja-JP"/>
              </w:rPr>
              <w:t xml:space="preserve"> and legacy UEs can be discussed further for Option 1, but the paging is shared for Option 2 (i.e., no separate operation of paging for Rel-18 </w:t>
            </w:r>
            <w:proofErr w:type="spellStart"/>
            <w:r>
              <w:rPr>
                <w:rFonts w:eastAsia="游明朝"/>
                <w:lang w:val="en-US" w:eastAsia="ja-JP"/>
              </w:rPr>
              <w:t>RedCap</w:t>
            </w:r>
            <w:proofErr w:type="spellEnd"/>
            <w:r>
              <w:rPr>
                <w:rFonts w:eastAsia="游明朝"/>
                <w:lang w:val="en-US" w:eastAsia="ja-JP"/>
              </w:rPr>
              <w:t xml:space="preserve">). For Option 2, it is up to </w:t>
            </w:r>
            <w:proofErr w:type="spellStart"/>
            <w:r>
              <w:rPr>
                <w:rFonts w:eastAsia="游明朝"/>
                <w:lang w:val="en-US" w:eastAsia="ja-JP"/>
              </w:rPr>
              <w:t>gNB</w:t>
            </w:r>
            <w:proofErr w:type="spellEnd"/>
            <w:r>
              <w:rPr>
                <w:rFonts w:eastAsia="游明朝"/>
                <w:lang w:val="en-US" w:eastAsia="ja-JP"/>
              </w:rPr>
              <w:t xml:space="preserve"> whether the paging PDSCH span larger bandwidth than 5MHz, and it should be discussed further how Rel-18 </w:t>
            </w:r>
            <w:proofErr w:type="spellStart"/>
            <w:r>
              <w:rPr>
                <w:rFonts w:eastAsia="游明朝"/>
                <w:lang w:val="en-US" w:eastAsia="ja-JP"/>
              </w:rPr>
              <w:t>RedCap</w:t>
            </w:r>
            <w:proofErr w:type="spellEnd"/>
            <w:r>
              <w:rPr>
                <w:rFonts w:eastAsia="游明朝"/>
                <w:lang w:val="en-US" w:eastAsia="ja-JP"/>
              </w:rPr>
              <w:t xml:space="preserve"> UE receives the paging which exceeds 5MHz and/or performance loss compensation if needed.</w:t>
            </w: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e"/>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游明朝"/>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游明朝"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游明朝"/>
                <w:lang w:val="en-US" w:eastAsia="ja-JP"/>
              </w:rPr>
            </w:pPr>
            <w:r>
              <w:rPr>
                <w:rFonts w:eastAsia="游明朝"/>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游明朝"/>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游明朝"/>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5B89CCD" w14:textId="71DCEE55" w:rsidR="00240B05" w:rsidRPr="00240B05" w:rsidRDefault="00240B05" w:rsidP="00240B05">
            <w:pPr>
              <w:tabs>
                <w:tab w:val="left" w:pos="551"/>
              </w:tabs>
              <w:rPr>
                <w:rFonts w:eastAsia="游明朝"/>
                <w:lang w:val="en-US" w:eastAsia="ja-JP"/>
              </w:rPr>
            </w:pPr>
            <w:r>
              <w:rPr>
                <w:rFonts w:eastAsia="游明朝"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游明朝"/>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游明朝"/>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游明朝"/>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游明朝"/>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游明朝"/>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游明朝"/>
                <w:lang w:val="en-US" w:eastAsia="ja-JP"/>
              </w:rPr>
            </w:pPr>
            <w:r>
              <w:rPr>
                <w:rFonts w:eastAsia="游明朝"/>
                <w:lang w:val="en-US" w:eastAsia="ja-JP"/>
              </w:rPr>
              <w:t xml:space="preserve">Support proposal for later </w:t>
            </w:r>
            <w:proofErr w:type="gramStart"/>
            <w:r>
              <w:rPr>
                <w:rFonts w:eastAsia="游明朝"/>
                <w:lang w:val="en-US" w:eastAsia="ja-JP"/>
              </w:rPr>
              <w:t>down-select</w:t>
            </w:r>
            <w:proofErr w:type="gramEnd"/>
            <w:r>
              <w:rPr>
                <w:rFonts w:eastAsia="游明朝"/>
                <w:lang w:val="en-US" w:eastAsia="ja-JP"/>
              </w:rPr>
              <w:t>.</w:t>
            </w:r>
          </w:p>
          <w:p w14:paraId="7B8D89FE" w14:textId="0FBC403E" w:rsidR="00E46B68" w:rsidRDefault="00E46B68" w:rsidP="00C125E4">
            <w:pPr>
              <w:rPr>
                <w:rFonts w:eastAsia="Malgun Gothic"/>
                <w:lang w:val="en-US" w:eastAsia="ko-KR"/>
              </w:rPr>
            </w:pPr>
            <w:r>
              <w:rPr>
                <w:rFonts w:eastAsia="游明朝"/>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 xml:space="preserve">OSI (PDSCH) to Rel-18 </w:t>
            </w:r>
            <w:proofErr w:type="spellStart"/>
            <w:r w:rsidR="0045431E" w:rsidRPr="0045431E">
              <w:rPr>
                <w:b/>
                <w:bCs/>
                <w:color w:val="FF0000"/>
                <w:lang w:val="en-US"/>
              </w:rPr>
              <w:t>RedCap</w:t>
            </w:r>
            <w:proofErr w:type="spellEnd"/>
            <w:r w:rsidR="0045431E" w:rsidRPr="0045431E">
              <w:rPr>
                <w:b/>
                <w:bCs/>
                <w:color w:val="FF0000"/>
                <w:lang w:val="en-US"/>
              </w:rPr>
              <w:t xml:space="preserve"> UEs</w:t>
            </w:r>
            <w:r>
              <w:rPr>
                <w:b/>
                <w:bCs/>
                <w:lang w:val="en-US"/>
              </w:rPr>
              <w:t>, down-select between the following options:</w:t>
            </w:r>
          </w:p>
          <w:p w14:paraId="7BBD3E65" w14:textId="68BA494A" w:rsidR="00507EAD" w:rsidRDefault="00507EAD" w:rsidP="00507EAD">
            <w:pPr>
              <w:pStyle w:val="afe"/>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e"/>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e"/>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w:t>
            </w:r>
            <w:proofErr w:type="spellStart"/>
            <w:r w:rsidRPr="0045431E">
              <w:rPr>
                <w:b/>
                <w:bCs/>
                <w:color w:val="FF0000"/>
                <w:lang w:val="en-US"/>
              </w:rPr>
              <w:t>RedCap</w:t>
            </w:r>
            <w:proofErr w:type="spellEnd"/>
            <w:r w:rsidRPr="0045431E">
              <w:rPr>
                <w:b/>
                <w:bCs/>
                <w:color w:val="FF0000"/>
                <w:lang w:val="en-US"/>
              </w:rPr>
              <w:t xml:space="preserve"> UEs</w:t>
            </w:r>
            <w:r>
              <w:rPr>
                <w:b/>
                <w:bCs/>
                <w:lang w:val="en-US"/>
              </w:rPr>
              <w:t>, down-select between the following options:</w:t>
            </w:r>
          </w:p>
          <w:p w14:paraId="35942FA4" w14:textId="34AD16AE" w:rsidR="003C3DA7" w:rsidRDefault="003C3DA7" w:rsidP="003C3DA7">
            <w:pPr>
              <w:pStyle w:val="afe"/>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e"/>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e"/>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 xml:space="preserve">“to Rel-18 </w:t>
            </w:r>
            <w:proofErr w:type="spellStart"/>
            <w:r w:rsidRPr="008D1C3F">
              <w:rPr>
                <w:rFonts w:eastAsiaTheme="minorEastAsia"/>
                <w:b/>
                <w:bCs/>
                <w:color w:val="FF0000"/>
                <w:lang w:val="en-US" w:eastAsia="zh-CN"/>
              </w:rPr>
              <w:t>RedCap</w:t>
            </w:r>
            <w:proofErr w:type="spellEnd"/>
            <w:r w:rsidRPr="008D1C3F">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0CDD402" w14:textId="77777777" w:rsidR="00E44889" w:rsidRDefault="00E44889" w:rsidP="009219C4">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039" w:type="dxa"/>
          </w:tcPr>
          <w:p w14:paraId="19F01774" w14:textId="38D2801F" w:rsidR="007D39BB" w:rsidRDefault="007D39BB" w:rsidP="007D39BB">
            <w:pPr>
              <w:tabs>
                <w:tab w:val="left" w:pos="551"/>
              </w:tabs>
              <w:rPr>
                <w:rFonts w:eastAsiaTheme="minorEastAsia" w:hint="eastAsia"/>
                <w:lang w:val="en-US" w:eastAsia="zh-CN"/>
              </w:rPr>
            </w:pPr>
            <w:r>
              <w:rPr>
                <w:rFonts w:eastAsia="游明朝"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游明朝"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游明朝"/>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游明朝"/>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sidRPr="00F52026">
              <w:rPr>
                <w:lang w:val="en-US"/>
              </w:rPr>
              <w:t>The resource allocation spans a bandwidth of maximum 5 MHz</w:t>
            </w:r>
            <w:r>
              <w:rPr>
                <w:rFonts w:eastAsia="游明朝"/>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游明朝"/>
                <w:lang w:val="en-US" w:eastAsia="ja-JP"/>
              </w:rPr>
              <w:t>It should be revisited in RAN1.</w:t>
            </w:r>
          </w:p>
          <w:p w14:paraId="7E8B4576" w14:textId="77777777" w:rsidR="00FF3CEB" w:rsidRDefault="00FF3CEB" w:rsidP="00FF3CEB">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04DCC1" w14:textId="06153888" w:rsidR="007D39BB" w:rsidRDefault="007D39BB" w:rsidP="007D39BB">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77265A4C" w14:textId="77777777" w:rsidR="007D39BB" w:rsidRDefault="007D39BB" w:rsidP="007D39BB">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游明朝"/>
                <w:lang w:val="en-US" w:eastAsia="ja-JP"/>
              </w:rPr>
              <w:t>In addition, we support F</w:t>
            </w:r>
            <w:r>
              <w:rPr>
                <w:rFonts w:eastAsia="游明朝"/>
                <w:lang w:val="en-US" w:eastAsia="ja-JP"/>
              </w:rPr>
              <w:t>UTUREWEI</w:t>
            </w:r>
            <w:r>
              <w:rPr>
                <w:rFonts w:eastAsia="游明朝"/>
                <w:lang w:val="en-US" w:eastAsia="ja-JP"/>
              </w:rPr>
              <w:t xml:space="preserve">’s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游明朝"/>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游明朝"/>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游明朝"/>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游明朝"/>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游明朝"/>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0668DD7E" w14:textId="77777777" w:rsidR="00D845A9" w:rsidRDefault="006E2638">
            <w:pPr>
              <w:pStyle w:val="afe"/>
              <w:numPr>
                <w:ilvl w:val="0"/>
                <w:numId w:val="21"/>
              </w:numPr>
              <w:rPr>
                <w:rFonts w:eastAsia="游明朝"/>
                <w:lang w:val="en-US"/>
              </w:rPr>
            </w:pPr>
            <w:r>
              <w:rPr>
                <w:rFonts w:eastAsia="游明朝"/>
                <w:sz w:val="20"/>
                <w:szCs w:val="21"/>
                <w:lang w:val="en-US"/>
              </w:rPr>
              <w:t>Opt.1: semi-static FDRA/pre-defined FDRA</w:t>
            </w:r>
          </w:p>
          <w:p w14:paraId="0668DD7F" w14:textId="77777777" w:rsidR="00D845A9" w:rsidRDefault="006E2638">
            <w:pPr>
              <w:pStyle w:val="afe"/>
              <w:numPr>
                <w:ilvl w:val="0"/>
                <w:numId w:val="21"/>
              </w:numPr>
              <w:rPr>
                <w:rFonts w:eastAsia="游明朝"/>
                <w:lang w:val="en-US"/>
              </w:rPr>
            </w:pPr>
            <w:r>
              <w:rPr>
                <w:rFonts w:eastAsia="游明朝"/>
                <w:sz w:val="20"/>
                <w:szCs w:val="21"/>
                <w:lang w:val="en-US"/>
              </w:rPr>
              <w:t>Opt.2: cross-slot scheduling</w:t>
            </w:r>
          </w:p>
          <w:p w14:paraId="0668DD80" w14:textId="77777777" w:rsidR="00D845A9" w:rsidRDefault="006E2638">
            <w:pPr>
              <w:pStyle w:val="afe"/>
              <w:numPr>
                <w:ilvl w:val="0"/>
                <w:numId w:val="21"/>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0668DD81" w14:textId="77777777" w:rsidR="00D845A9" w:rsidRDefault="006E2638">
            <w:pPr>
              <w:pStyle w:val="afe"/>
              <w:numPr>
                <w:ilvl w:val="0"/>
                <w:numId w:val="21"/>
              </w:numPr>
              <w:rPr>
                <w:rFonts w:eastAsia="游明朝"/>
                <w:lang w:val="en-US"/>
              </w:rPr>
            </w:pPr>
            <w:r>
              <w:rPr>
                <w:rFonts w:eastAsia="游明朝"/>
                <w:sz w:val="20"/>
                <w:szCs w:val="21"/>
                <w:lang w:val="en-US"/>
              </w:rPr>
              <w:t>Opt.4: puncturing of one-shot reception</w:t>
            </w:r>
          </w:p>
          <w:p w14:paraId="0668DD82" w14:textId="77777777" w:rsidR="00D845A9" w:rsidRDefault="006E2638">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w:t>
            </w:r>
            <w:proofErr w:type="spellStart"/>
            <w:r>
              <w:rPr>
                <w:rFonts w:eastAsia="游明朝"/>
                <w:lang w:val="en-US" w:eastAsia="ja-JP"/>
              </w:rPr>
              <w:t>RedCap</w:t>
            </w:r>
            <w:proofErr w:type="spellEnd"/>
            <w:r>
              <w:rPr>
                <w:rFonts w:eastAsia="游明朝"/>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游明朝"/>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游明朝"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游明朝"/>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hint="eastAsia"/>
                <w:lang w:val="en-US" w:eastAsia="zh-CN"/>
              </w:rPr>
            </w:pPr>
            <w:r>
              <w:rPr>
                <w:rFonts w:eastAsia="游明朝" w:hint="eastAsia"/>
                <w:lang w:val="en-US" w:eastAsia="ja-JP"/>
              </w:rPr>
              <w:t>N</w:t>
            </w:r>
          </w:p>
        </w:tc>
        <w:tc>
          <w:tcPr>
            <w:tcW w:w="6780" w:type="dxa"/>
          </w:tcPr>
          <w:p w14:paraId="3B191C44" w14:textId="77777777" w:rsidR="007D39BB" w:rsidRDefault="007D39BB" w:rsidP="007D39BB">
            <w:pPr>
              <w:rPr>
                <w:rFonts w:eastAsia="游明朝"/>
                <w:lang w:val="en-US" w:eastAsia="ja-JP"/>
              </w:rPr>
            </w:pPr>
            <w:r>
              <w:rPr>
                <w:rFonts w:eastAsia="游明朝"/>
                <w:lang w:val="en-US" w:eastAsia="ja-JP"/>
              </w:rPr>
              <w:t xml:space="preserve">We share the same view with FUTUREWEI. </w:t>
            </w:r>
          </w:p>
          <w:p w14:paraId="4D5E1EDD" w14:textId="77777777" w:rsidR="007D39BB" w:rsidRDefault="007D39BB" w:rsidP="007D39BB">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游明朝"/>
                <w:lang w:val="en-US" w:eastAsia="ja-JP"/>
              </w:rPr>
              <w:t>exactly the same</w:t>
            </w:r>
            <w:proofErr w:type="gramEnd"/>
            <w:r>
              <w:rPr>
                <w:rFonts w:eastAsia="游明朝"/>
                <w:lang w:val="en-US" w:eastAsia="ja-JP"/>
              </w:rPr>
              <w:t xml:space="preserve"> among companies as captured in the note of TR. We have a strong concern that further complexity reduction compared to Rel-17 </w:t>
            </w:r>
            <w:proofErr w:type="spellStart"/>
            <w:r>
              <w:rPr>
                <w:rFonts w:eastAsia="游明朝"/>
                <w:lang w:val="en-US" w:eastAsia="ja-JP"/>
              </w:rPr>
              <w:t>RedCap</w:t>
            </w:r>
            <w:proofErr w:type="spellEnd"/>
            <w:r>
              <w:rPr>
                <w:rFonts w:eastAsia="游明朝"/>
                <w:lang w:val="en-US" w:eastAsia="ja-JP"/>
              </w:rPr>
              <w:t xml:space="preserve"> cannot be ensured if post-FFT buffer bandwidth is still 20MHz like PR3.</w:t>
            </w:r>
          </w:p>
          <w:p w14:paraId="2ED2ED09" w14:textId="77777777" w:rsidR="007D39BB" w:rsidRDefault="007D39BB" w:rsidP="007D39BB">
            <w:pPr>
              <w:rPr>
                <w:rFonts w:eastAsia="游明朝"/>
                <w:lang w:val="en-US" w:eastAsia="ja-JP"/>
              </w:rPr>
            </w:pPr>
            <w:r>
              <w:rPr>
                <w:rFonts w:eastAsia="游明朝"/>
                <w:lang w:val="en-US" w:eastAsia="ja-JP"/>
              </w:rPr>
              <w:t xml:space="preserve">Based on the RAN guidance, we should discuss based on BW3, i.e., aim to reduce post-FFT buffer, and hence we suggest </w:t>
            </w:r>
            <w:proofErr w:type="gramStart"/>
            <w:r>
              <w:rPr>
                <w:rFonts w:eastAsia="游明朝"/>
                <w:lang w:val="en-US" w:eastAsia="ja-JP"/>
              </w:rPr>
              <w:t>to modify</w:t>
            </w:r>
            <w:proofErr w:type="gramEnd"/>
            <w:r>
              <w:rPr>
                <w:rFonts w:eastAsia="游明朝"/>
                <w:lang w:val="en-US" w:eastAsia="ja-JP"/>
              </w:rPr>
              <w:t xml:space="preserve">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游明朝"/>
                <w:lang w:val="en-US" w:eastAsia="ja-JP"/>
              </w:rPr>
              <w:t xml:space="preserve">Similar comment as 2-9a. cross-slot scheduling can be one potential solution to reduce post-FFT buffer complexity, however, for broadcast PDSCH which is shared between Rel-18 </w:t>
            </w:r>
            <w:proofErr w:type="spellStart"/>
            <w:r>
              <w:rPr>
                <w:rFonts w:eastAsia="游明朝"/>
                <w:lang w:val="en-US" w:eastAsia="ja-JP"/>
              </w:rPr>
              <w:t>RedCap</w:t>
            </w:r>
            <w:proofErr w:type="spellEnd"/>
            <w:r>
              <w:rPr>
                <w:rFonts w:eastAsia="游明朝"/>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游明朝"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游明朝"/>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游明朝"/>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e"/>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e"/>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e"/>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e"/>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e"/>
              <w:ind w:left="0"/>
              <w:rPr>
                <w:sz w:val="20"/>
                <w:szCs w:val="20"/>
                <w:lang w:val="en-US" w:eastAsia="zh-CN"/>
              </w:rPr>
            </w:pPr>
          </w:p>
          <w:p w14:paraId="0668DE3E" w14:textId="71FEE747" w:rsidR="00D845A9" w:rsidRDefault="006E2638">
            <w:pPr>
              <w:pStyle w:val="afe"/>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e"/>
              <w:ind w:left="0"/>
              <w:rPr>
                <w:rFonts w:eastAsia="游明朝"/>
                <w:sz w:val="20"/>
                <w:szCs w:val="20"/>
                <w:lang w:val="en-US"/>
              </w:rPr>
            </w:pPr>
            <w:r w:rsidRPr="005C3E75">
              <w:rPr>
                <w:rFonts w:eastAsia="游明朝"/>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游明朝"/>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e"/>
              <w:ind w:left="0"/>
              <w:rPr>
                <w:b/>
                <w:bCs/>
                <w:sz w:val="20"/>
                <w:szCs w:val="20"/>
                <w:lang w:val="en-US" w:eastAsia="zh-CN"/>
              </w:rPr>
            </w:pPr>
            <w:r w:rsidRPr="005C3E75">
              <w:rPr>
                <w:rFonts w:eastAsia="游明朝"/>
                <w:sz w:val="20"/>
                <w:szCs w:val="20"/>
                <w:lang w:val="en-US"/>
              </w:rPr>
              <w:t xml:space="preserve">We also support ZTE that the constraint can be further relaxed to lower the peak rate </w:t>
            </w:r>
            <w:proofErr w:type="gramStart"/>
            <w:r w:rsidRPr="005C3E75">
              <w:rPr>
                <w:rFonts w:eastAsia="游明朝"/>
                <w:sz w:val="20"/>
                <w:szCs w:val="20"/>
                <w:lang w:val="en-US"/>
              </w:rPr>
              <w:t>as long as</w:t>
            </w:r>
            <w:proofErr w:type="gramEnd"/>
            <w:r w:rsidRPr="005C3E75">
              <w:rPr>
                <w:rFonts w:eastAsia="游明朝"/>
                <w:sz w:val="20"/>
                <w:szCs w:val="20"/>
                <w:lang w:val="en-US"/>
              </w:rPr>
              <w:t xml:space="preserve"> the TBS/payload size for broadcast PDSCH, </w:t>
            </w:r>
            <w:proofErr w:type="spellStart"/>
            <w:r w:rsidRPr="005C3E75">
              <w:rPr>
                <w:rFonts w:eastAsia="游明朝"/>
                <w:sz w:val="20"/>
                <w:szCs w:val="20"/>
                <w:lang w:val="en-US"/>
              </w:rPr>
              <w:t>e.g</w:t>
            </w:r>
            <w:proofErr w:type="spellEnd"/>
            <w:r w:rsidRPr="005C3E75">
              <w:rPr>
                <w:rFonts w:eastAsia="游明朝"/>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e"/>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3E0397" w14:textId="5AF57D08" w:rsidR="007D0551" w:rsidRPr="00E5582B" w:rsidRDefault="00E5582B">
            <w:pPr>
              <w:tabs>
                <w:tab w:val="left" w:pos="551"/>
              </w:tabs>
              <w:rPr>
                <w:rFonts w:eastAsia="游明朝"/>
                <w:lang w:val="en-US" w:eastAsia="ja-JP"/>
              </w:rPr>
            </w:pPr>
            <w:r>
              <w:rPr>
                <w:rFonts w:eastAsia="游明朝" w:hint="eastAsia"/>
                <w:lang w:val="en-US" w:eastAsia="ja-JP"/>
              </w:rPr>
              <w:t>Y</w:t>
            </w:r>
          </w:p>
        </w:tc>
        <w:tc>
          <w:tcPr>
            <w:tcW w:w="6780" w:type="dxa"/>
          </w:tcPr>
          <w:p w14:paraId="491C7DB0" w14:textId="77777777" w:rsidR="007D0551" w:rsidRDefault="007D0551">
            <w:pPr>
              <w:pStyle w:val="afe"/>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游明朝"/>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e"/>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e"/>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e"/>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e"/>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e"/>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游明朝"/>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游明朝"/>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e"/>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afe"/>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w:t>
            </w:r>
            <w:proofErr w:type="gramStart"/>
            <w:r w:rsidR="00E028FF">
              <w:rPr>
                <w:rFonts w:eastAsiaTheme="minorEastAsia"/>
                <w:lang w:val="en-US" w:eastAsia="zh-CN"/>
              </w:rPr>
              <w:t xml:space="preserve">This </w:t>
            </w:r>
            <w:r w:rsidR="00D93C1E">
              <w:rPr>
                <w:rFonts w:eastAsiaTheme="minorEastAsia"/>
                <w:lang w:val="en-US" w:eastAsia="zh-CN"/>
              </w:rPr>
              <w:t xml:space="preserve">is </w:t>
            </w:r>
            <w:r w:rsidR="00E028FF">
              <w:rPr>
                <w:rFonts w:eastAsiaTheme="minorEastAsia"/>
                <w:lang w:val="en-US" w:eastAsia="zh-CN"/>
              </w:rPr>
              <w:t>why</w:t>
            </w:r>
            <w:proofErr w:type="gramEnd"/>
            <w:r w:rsidR="00E028FF">
              <w:rPr>
                <w:rFonts w:eastAsiaTheme="minorEastAsia"/>
                <w:lang w:val="en-US" w:eastAsia="zh-CN"/>
              </w:rPr>
              <w:t xml:space="preserve">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e"/>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afe"/>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w:t>
            </w:r>
            <w:proofErr w:type="gramStart"/>
            <w:r w:rsidRPr="00D93E7F">
              <w:rPr>
                <w:rFonts w:eastAsiaTheme="minorEastAsia"/>
                <w:lang w:val="en-US" w:eastAsia="zh-CN"/>
              </w:rPr>
              <w:t>only, or</w:t>
            </w:r>
            <w:proofErr w:type="gramEnd"/>
            <w:r w:rsidRPr="00D93E7F">
              <w:rPr>
                <w:rFonts w:eastAsiaTheme="minorEastAsia"/>
                <w:lang w:val="en-US" w:eastAsia="zh-CN"/>
              </w:rPr>
              <w:t xml:space="preserve">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w:t>
            </w:r>
            <w:proofErr w:type="gramStart"/>
            <w:r w:rsidRPr="00D93E7F">
              <w:rPr>
                <w:rFonts w:eastAsiaTheme="minorEastAsia"/>
                <w:lang w:val="en-US" w:eastAsia="zh-CN"/>
              </w:rPr>
              <w:t>again</w:t>
            </w:r>
            <w:proofErr w:type="gramEnd"/>
            <w:r w:rsidRPr="00D93E7F">
              <w:rPr>
                <w:rFonts w:eastAsiaTheme="minorEastAsia"/>
                <w:lang w:val="en-US" w:eastAsia="zh-CN"/>
              </w:rPr>
              <w:t xml:space="preserve">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e"/>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e"/>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游明朝"/>
                <w:lang w:val="en-US" w:eastAsia="ja-JP"/>
              </w:rPr>
              <w:t>N</w:t>
            </w:r>
          </w:p>
        </w:tc>
        <w:tc>
          <w:tcPr>
            <w:tcW w:w="6780" w:type="dxa"/>
          </w:tcPr>
          <w:p w14:paraId="0E40DAB0" w14:textId="06009E58" w:rsidR="007D39BB" w:rsidRDefault="007D39BB" w:rsidP="007D39BB">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afe"/>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游明朝"/>
                <w:lang w:val="en-US" w:eastAsia="ja-JP"/>
              </w:rPr>
              <w:t xml:space="preserve">Early indication can be discussed after more </w:t>
            </w:r>
            <w:proofErr w:type="spellStart"/>
            <w:r w:rsidRPr="001B6F96">
              <w:rPr>
                <w:rFonts w:eastAsia="游明朝"/>
                <w:lang w:val="en-US" w:eastAsia="ja-JP"/>
              </w:rPr>
              <w:t>eRedCap</w:t>
            </w:r>
            <w:proofErr w:type="spellEnd"/>
            <w:r w:rsidRPr="001B6F96">
              <w:rPr>
                <w:rFonts w:eastAsia="游明朝"/>
                <w:lang w:val="en-US" w:eastAsia="ja-JP"/>
              </w:rPr>
              <w:t xml:space="preserve"> functions are stabilized</w:t>
            </w:r>
            <w:r>
              <w:rPr>
                <w:rFonts w:eastAsia="游明朝"/>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游明朝"/>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游明朝"/>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游明朝"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游明朝"/>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游明朝"/>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游明朝"/>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游明朝"/>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7D39BB">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7D39BB">
            <w:pPr>
              <w:jc w:val="left"/>
              <w:rPr>
                <w:rFonts w:eastAsia="Calibri"/>
                <w:color w:val="0000FF"/>
                <w:u w:val="single"/>
                <w:lang w:val="en-US"/>
              </w:rPr>
            </w:pPr>
            <w:hyperlink r:id="rId15" w:history="1">
              <w:r w:rsidR="006E2638">
                <w:rPr>
                  <w:rStyle w:val="afa"/>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7D39BB">
            <w:pPr>
              <w:jc w:val="left"/>
              <w:rPr>
                <w:rFonts w:eastAsia="Calibri"/>
                <w:color w:val="0000FF"/>
                <w:szCs w:val="22"/>
                <w:u w:val="single"/>
                <w:lang w:val="en-US"/>
              </w:rPr>
            </w:pPr>
            <w:hyperlink r:id="rId16" w:history="1">
              <w:r w:rsidR="006E2638">
                <w:rPr>
                  <w:rStyle w:val="afa"/>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7D39BB">
            <w:pPr>
              <w:jc w:val="left"/>
              <w:rPr>
                <w:rFonts w:eastAsia="Calibri"/>
                <w:szCs w:val="22"/>
                <w:lang w:val="en-US"/>
              </w:rPr>
            </w:pPr>
            <w:hyperlink r:id="rId17" w:history="1">
              <w:r w:rsidR="006E2638">
                <w:rPr>
                  <w:rStyle w:val="afa"/>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7D39BB">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7D39BB">
            <w:pPr>
              <w:jc w:val="left"/>
              <w:rPr>
                <w:rStyle w:val="afa"/>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7D39BB">
            <w:pPr>
              <w:jc w:val="left"/>
              <w:rPr>
                <w:rStyle w:val="afa"/>
                <w:color w:val="0000FF"/>
                <w:lang w:val="en-US" w:eastAsia="sv-SE"/>
              </w:rPr>
            </w:pPr>
            <w:hyperlink r:id="rId20" w:history="1">
              <w:r w:rsidR="006E2638">
                <w:rPr>
                  <w:rStyle w:val="afa"/>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7D39BB">
            <w:pPr>
              <w:jc w:val="left"/>
              <w:rPr>
                <w:rStyle w:val="afa"/>
                <w:color w:val="0000FF"/>
                <w:lang w:val="en-US" w:eastAsia="sv-SE"/>
              </w:rPr>
            </w:pPr>
            <w:hyperlink r:id="rId21" w:history="1">
              <w:r w:rsidR="006E2638">
                <w:rPr>
                  <w:rStyle w:val="afa"/>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7D39BB">
            <w:pPr>
              <w:jc w:val="left"/>
              <w:rPr>
                <w:rStyle w:val="afa"/>
                <w:color w:val="0000FF"/>
                <w:lang w:val="en-US" w:eastAsia="sv-SE"/>
              </w:rPr>
            </w:pPr>
            <w:hyperlink r:id="rId22" w:history="1">
              <w:r w:rsidR="006E2638">
                <w:rPr>
                  <w:rStyle w:val="afa"/>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7D39BB">
            <w:pPr>
              <w:jc w:val="left"/>
              <w:rPr>
                <w:rStyle w:val="afa"/>
                <w:color w:val="0000FF"/>
                <w:lang w:val="en-US" w:eastAsia="sv-SE"/>
              </w:rPr>
            </w:pPr>
            <w:hyperlink r:id="rId23" w:history="1">
              <w:r w:rsidR="006E2638">
                <w:rPr>
                  <w:rStyle w:val="afa"/>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7D39BB">
            <w:pPr>
              <w:jc w:val="left"/>
              <w:rPr>
                <w:rStyle w:val="afa"/>
                <w:color w:val="0000FF"/>
                <w:lang w:val="en-US" w:eastAsia="sv-SE"/>
              </w:rPr>
            </w:pPr>
            <w:hyperlink r:id="rId24" w:history="1">
              <w:r w:rsidR="006E2638">
                <w:rPr>
                  <w:rStyle w:val="afa"/>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7D39BB">
            <w:pPr>
              <w:jc w:val="left"/>
              <w:rPr>
                <w:rStyle w:val="afa"/>
                <w:color w:val="0000FF"/>
                <w:lang w:val="en-US" w:eastAsia="sv-SE"/>
              </w:rPr>
            </w:pPr>
            <w:hyperlink r:id="rId25" w:history="1">
              <w:r w:rsidR="006E2638">
                <w:rPr>
                  <w:rStyle w:val="afa"/>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7D39BB">
            <w:pPr>
              <w:jc w:val="left"/>
              <w:rPr>
                <w:rStyle w:val="afa"/>
                <w:color w:val="0000FF"/>
                <w:lang w:val="en-US" w:eastAsia="sv-SE"/>
              </w:rPr>
            </w:pPr>
            <w:hyperlink r:id="rId26" w:history="1">
              <w:r w:rsidR="006E2638">
                <w:rPr>
                  <w:rStyle w:val="afa"/>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7D39BB">
            <w:pPr>
              <w:jc w:val="left"/>
              <w:rPr>
                <w:rStyle w:val="afa"/>
                <w:color w:val="0000FF"/>
                <w:lang w:val="en-US" w:eastAsia="sv-SE"/>
              </w:rPr>
            </w:pPr>
            <w:hyperlink r:id="rId27" w:history="1">
              <w:r w:rsidR="006E2638">
                <w:rPr>
                  <w:rStyle w:val="afa"/>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7D39BB">
            <w:pPr>
              <w:jc w:val="left"/>
              <w:rPr>
                <w:rStyle w:val="afa"/>
                <w:color w:val="0000FF"/>
                <w:lang w:val="en-US" w:eastAsia="sv-SE"/>
              </w:rPr>
            </w:pPr>
            <w:hyperlink r:id="rId28" w:history="1">
              <w:r w:rsidR="006E2638">
                <w:rPr>
                  <w:rStyle w:val="afa"/>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7D39BB">
            <w:pPr>
              <w:jc w:val="left"/>
              <w:rPr>
                <w:rStyle w:val="afa"/>
                <w:color w:val="0000FF"/>
                <w:lang w:val="en-US" w:eastAsia="sv-SE"/>
              </w:rPr>
            </w:pPr>
            <w:hyperlink r:id="rId29" w:history="1">
              <w:r w:rsidR="006E2638">
                <w:rPr>
                  <w:rStyle w:val="afa"/>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7D39BB">
            <w:pPr>
              <w:jc w:val="left"/>
              <w:rPr>
                <w:rStyle w:val="afa"/>
                <w:color w:val="0000FF"/>
                <w:lang w:val="en-US" w:eastAsia="sv-SE"/>
              </w:rPr>
            </w:pPr>
            <w:hyperlink r:id="rId30" w:history="1">
              <w:r w:rsidR="006E2638">
                <w:rPr>
                  <w:rStyle w:val="afa"/>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7D39BB">
            <w:pPr>
              <w:jc w:val="left"/>
              <w:rPr>
                <w:rStyle w:val="afa"/>
                <w:color w:val="0000FF"/>
                <w:lang w:val="en-US" w:eastAsia="sv-SE"/>
              </w:rPr>
            </w:pPr>
            <w:hyperlink r:id="rId31" w:history="1">
              <w:r w:rsidR="006E2638">
                <w:rPr>
                  <w:rStyle w:val="afa"/>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7D39BB">
            <w:pPr>
              <w:jc w:val="left"/>
              <w:rPr>
                <w:rStyle w:val="afa"/>
                <w:color w:val="0000FF"/>
                <w:lang w:val="en-US" w:eastAsia="sv-SE"/>
              </w:rPr>
            </w:pPr>
            <w:hyperlink r:id="rId32" w:history="1">
              <w:r w:rsidR="006E2638">
                <w:rPr>
                  <w:rStyle w:val="afa"/>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7D39BB">
            <w:pPr>
              <w:jc w:val="left"/>
              <w:rPr>
                <w:rStyle w:val="afa"/>
                <w:color w:val="0000FF"/>
                <w:lang w:val="en-US" w:eastAsia="sv-SE"/>
              </w:rPr>
            </w:pPr>
            <w:hyperlink r:id="rId33" w:history="1">
              <w:r w:rsidR="006E2638">
                <w:rPr>
                  <w:rStyle w:val="afa"/>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7D39BB">
            <w:pPr>
              <w:jc w:val="left"/>
              <w:rPr>
                <w:rStyle w:val="afa"/>
                <w:color w:val="0000FF"/>
                <w:lang w:val="en-US" w:eastAsia="sv-SE"/>
              </w:rPr>
            </w:pPr>
            <w:hyperlink r:id="rId34" w:history="1">
              <w:r w:rsidR="006E2638">
                <w:rPr>
                  <w:rStyle w:val="afa"/>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7D39BB">
            <w:pPr>
              <w:jc w:val="left"/>
              <w:rPr>
                <w:rStyle w:val="afa"/>
                <w:color w:val="0000FF"/>
                <w:lang w:val="en-US" w:eastAsia="sv-SE"/>
              </w:rPr>
            </w:pPr>
            <w:hyperlink r:id="rId35" w:history="1">
              <w:r w:rsidR="006E2638">
                <w:rPr>
                  <w:rStyle w:val="afa"/>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7D39BB">
            <w:pPr>
              <w:jc w:val="left"/>
              <w:rPr>
                <w:rStyle w:val="afa"/>
                <w:color w:val="0000FF"/>
                <w:lang w:val="en-US" w:eastAsia="sv-SE"/>
              </w:rPr>
            </w:pPr>
            <w:hyperlink r:id="rId36" w:history="1">
              <w:r w:rsidR="006E2638">
                <w:rPr>
                  <w:rStyle w:val="afa"/>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7D39BB">
            <w:pPr>
              <w:jc w:val="left"/>
              <w:rPr>
                <w:rStyle w:val="afa"/>
                <w:color w:val="0000FF"/>
                <w:lang w:val="en-US" w:eastAsia="sv-SE"/>
              </w:rPr>
            </w:pPr>
            <w:hyperlink r:id="rId37" w:history="1">
              <w:r w:rsidR="006E2638">
                <w:rPr>
                  <w:rStyle w:val="afa"/>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7D39BB">
            <w:pPr>
              <w:jc w:val="left"/>
              <w:rPr>
                <w:rStyle w:val="afa"/>
                <w:color w:val="0000FF"/>
                <w:lang w:val="en-US" w:eastAsia="sv-SE"/>
              </w:rPr>
            </w:pPr>
            <w:hyperlink r:id="rId38" w:history="1">
              <w:r w:rsidR="006E2638">
                <w:rPr>
                  <w:rStyle w:val="afa"/>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7D39BB">
            <w:pPr>
              <w:jc w:val="left"/>
              <w:rPr>
                <w:rStyle w:val="afa"/>
                <w:color w:val="0000FF"/>
                <w:lang w:val="en-US" w:eastAsia="sv-SE"/>
              </w:rPr>
            </w:pPr>
            <w:hyperlink r:id="rId39" w:history="1">
              <w:r w:rsidR="006E2638">
                <w:rPr>
                  <w:rStyle w:val="afa"/>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7D39BB">
            <w:pPr>
              <w:jc w:val="left"/>
              <w:rPr>
                <w:rStyle w:val="afa"/>
                <w:color w:val="0000FF"/>
                <w:lang w:val="en-US" w:eastAsia="sv-SE"/>
              </w:rPr>
            </w:pPr>
            <w:hyperlink r:id="rId40" w:history="1">
              <w:r w:rsidR="006E2638">
                <w:rPr>
                  <w:rStyle w:val="afa"/>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7D39BB">
            <w:pPr>
              <w:jc w:val="left"/>
              <w:rPr>
                <w:rStyle w:val="afa"/>
                <w:color w:val="0000FF"/>
                <w:lang w:val="en-US" w:eastAsia="sv-SE"/>
              </w:rPr>
            </w:pPr>
            <w:hyperlink r:id="rId41" w:history="1">
              <w:r w:rsidR="006E2638">
                <w:rPr>
                  <w:rStyle w:val="afa"/>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7D39BB">
            <w:pPr>
              <w:jc w:val="left"/>
              <w:rPr>
                <w:rStyle w:val="afa"/>
                <w:color w:val="0000FF"/>
                <w:lang w:val="en-US" w:eastAsia="sv-SE"/>
              </w:rPr>
            </w:pPr>
            <w:hyperlink r:id="rId42" w:history="1">
              <w:r w:rsidR="006E2638">
                <w:rPr>
                  <w:rStyle w:val="afa"/>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7D39BB">
            <w:pPr>
              <w:jc w:val="left"/>
              <w:rPr>
                <w:rStyle w:val="afa"/>
                <w:color w:val="0000FF"/>
                <w:lang w:val="en-US" w:eastAsia="sv-SE"/>
              </w:rPr>
            </w:pPr>
            <w:hyperlink r:id="rId43" w:history="1">
              <w:r w:rsidR="006E2638">
                <w:rPr>
                  <w:rStyle w:val="afa"/>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7D39BB">
            <w:pPr>
              <w:jc w:val="left"/>
              <w:rPr>
                <w:rStyle w:val="afa"/>
                <w:color w:val="0000FF"/>
                <w:lang w:val="en-US" w:eastAsia="sv-SE"/>
              </w:rPr>
            </w:pPr>
            <w:hyperlink r:id="rId44" w:history="1">
              <w:r w:rsidR="006E2638">
                <w:rPr>
                  <w:rStyle w:val="afa"/>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7D39BB">
            <w:pPr>
              <w:jc w:val="left"/>
              <w:rPr>
                <w:rStyle w:val="afa"/>
                <w:color w:val="0000FF"/>
                <w:lang w:val="en-US" w:eastAsia="sv-SE"/>
              </w:rPr>
            </w:pPr>
            <w:hyperlink r:id="rId45" w:history="1">
              <w:r w:rsidR="006E2638">
                <w:rPr>
                  <w:rStyle w:val="afa"/>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7D39BB">
            <w:pPr>
              <w:jc w:val="left"/>
              <w:rPr>
                <w:color w:val="000000"/>
                <w:lang w:val="en-US"/>
              </w:rPr>
            </w:pPr>
            <w:hyperlink r:id="rId46" w:history="1">
              <w:r w:rsidR="006E2638">
                <w:rPr>
                  <w:rStyle w:val="afa"/>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7D39BB">
            <w:pPr>
              <w:jc w:val="left"/>
              <w:rPr>
                <w:color w:val="000000"/>
                <w:lang w:val="en-US"/>
              </w:rPr>
            </w:pPr>
            <w:hyperlink r:id="rId47" w:history="1">
              <w:r w:rsidR="006E2638">
                <w:rPr>
                  <w:rStyle w:val="afa"/>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7D39BB">
            <w:pPr>
              <w:jc w:val="left"/>
            </w:pPr>
            <w:hyperlink r:id="rId48" w:history="1">
              <w:r w:rsidR="006E2638">
                <w:rPr>
                  <w:rStyle w:val="afa"/>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 xml:space="preserve">Further </w:t>
            </w:r>
            <w:proofErr w:type="spellStart"/>
            <w:r>
              <w:t>RedCap</w:t>
            </w:r>
            <w:proofErr w:type="spellEnd"/>
            <w:r>
              <w:t xml:space="preserve">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7D39BB">
            <w:pPr>
              <w:jc w:val="left"/>
            </w:pPr>
            <w:hyperlink r:id="rId50" w:history="1">
              <w:r w:rsidR="006E2638">
                <w:rPr>
                  <w:rStyle w:val="afa"/>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3866" w14:textId="77777777" w:rsidR="000E4D02" w:rsidRDefault="000E4D02">
      <w:pPr>
        <w:spacing w:line="240" w:lineRule="auto"/>
      </w:pPr>
      <w:r>
        <w:separator/>
      </w:r>
    </w:p>
  </w:endnote>
  <w:endnote w:type="continuationSeparator" w:id="0">
    <w:p w14:paraId="59895098" w14:textId="77777777" w:rsidR="000E4D02" w:rsidRDefault="000E4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4AA7" w14:textId="77777777" w:rsidR="000E4D02" w:rsidRDefault="000E4D02">
      <w:pPr>
        <w:spacing w:after="0"/>
      </w:pPr>
      <w:r>
        <w:separator/>
      </w:r>
    </w:p>
  </w:footnote>
  <w:footnote w:type="continuationSeparator" w:id="0">
    <w:p w14:paraId="02DBD861" w14:textId="77777777" w:rsidR="000E4D02" w:rsidRDefault="000E4D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4"/>
    <w:lvlOverride w:ilvl="0">
      <w:startOverride w:val="1"/>
    </w:lvlOverride>
  </w:num>
  <w:num w:numId="7">
    <w:abstractNumId w:val="15"/>
  </w:num>
  <w:num w:numId="8">
    <w:abstractNumId w:val="22"/>
  </w:num>
  <w:num w:numId="9">
    <w:abstractNumId w:val="26"/>
  </w:num>
  <w:num w:numId="10">
    <w:abstractNumId w:val="23"/>
  </w:num>
  <w:num w:numId="11">
    <w:abstractNumId w:val="11"/>
  </w:num>
  <w:num w:numId="12">
    <w:abstractNumId w:val="19"/>
  </w:num>
  <w:num w:numId="13">
    <w:abstractNumId w:val="7"/>
  </w:num>
  <w:num w:numId="14">
    <w:abstractNumId w:val="24"/>
  </w:num>
  <w:num w:numId="15">
    <w:abstractNumId w:val="12"/>
  </w:num>
  <w:num w:numId="16">
    <w:abstractNumId w:val="8"/>
  </w:num>
  <w:num w:numId="17">
    <w:abstractNumId w:val="16"/>
  </w:num>
  <w:num w:numId="18">
    <w:abstractNumId w:val="28"/>
  </w:num>
  <w:num w:numId="19">
    <w:abstractNumId w:val="17"/>
  </w:num>
  <w:num w:numId="20">
    <w:abstractNumId w:val="4"/>
  </w:num>
  <w:num w:numId="21">
    <w:abstractNumId w:val="18"/>
  </w:num>
  <w:num w:numId="22">
    <w:abstractNumId w:val="0"/>
  </w:num>
  <w:num w:numId="23">
    <w:abstractNumId w:val="20"/>
  </w:num>
  <w:num w:numId="24">
    <w:abstractNumId w:val="21"/>
  </w:num>
  <w:num w:numId="25">
    <w:abstractNumId w:val="25"/>
  </w:num>
  <w:num w:numId="26">
    <w:abstractNumId w:val="13"/>
  </w:num>
  <w:num w:numId="27">
    <w:abstractNumId w:val="5"/>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53992C-75F7-4D1D-A526-6ED3D150764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14712</Words>
  <Characters>83865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2022-10-12T04:17:00Z</dcterms:created>
  <dcterms:modified xsi:type="dcterms:W3CDTF">2022-10-12T04:17:00Z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