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8DACD" w14:textId="77777777" w:rsidR="00D845A9" w:rsidRDefault="006E263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668DAFA"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宋体"/>
                <w:lang w:val="en-US" w:eastAsia="zh-CN"/>
              </w:rPr>
            </w:pPr>
            <w:r>
              <w:rPr>
                <w:rFonts w:eastAsia="宋体" w:hint="eastAsia"/>
                <w:lang w:val="en-US" w:eastAsia="zh-CN"/>
              </w:rPr>
              <w:t>ZTE, Sanechips</w:t>
            </w:r>
          </w:p>
        </w:tc>
        <w:tc>
          <w:tcPr>
            <w:tcW w:w="2977" w:type="dxa"/>
          </w:tcPr>
          <w:p w14:paraId="0668DB25" w14:textId="41F02714" w:rsidR="00885635" w:rsidRDefault="00885635" w:rsidP="0088563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宋体"/>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宋体"/>
                <w:lang w:val="en-US" w:eastAsia="zh-CN"/>
              </w:rPr>
            </w:pPr>
            <w:r>
              <w:rPr>
                <w:rFonts w:eastAsia="宋体"/>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Yu Mincho"/>
                <w:lang w:val="en-US" w:eastAsia="ja-JP"/>
              </w:rPr>
              <w:t>Efstathios Katranaras</w:t>
            </w:r>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r>
              <w:rPr>
                <w:rFonts w:eastAsia="Yu Mincho"/>
                <w:lang w:val="en-US" w:eastAsia="ja-JP"/>
              </w:rPr>
              <w:t>Zhisong Zuo</w:t>
            </w:r>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33F46211" w14:textId="77777777" w:rsidR="00891E9A" w:rsidRDefault="00891E9A" w:rsidP="00AA1FB3">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Yu Mincho"/>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r>
              <w:rPr>
                <w:rFonts w:eastAsia="Yu Mincho"/>
                <w:lang w:val="en-US" w:eastAsia="ja-JP"/>
              </w:rPr>
              <w:t>Serkan Dost</w:t>
            </w:r>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f"/>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f"/>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f"/>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aff"/>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aff"/>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lastRenderedPageBreak/>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aff"/>
              <w:numPr>
                <w:ilvl w:val="0"/>
                <w:numId w:val="16"/>
              </w:numPr>
              <w:rPr>
                <w:b/>
                <w:bCs/>
                <w:sz w:val="20"/>
                <w:szCs w:val="22"/>
                <w:lang w:val="en-US"/>
              </w:rPr>
            </w:pPr>
            <w:r>
              <w:rPr>
                <w:b/>
                <w:bCs/>
                <w:sz w:val="20"/>
                <w:szCs w:val="22"/>
                <w:lang w:val="en-US"/>
              </w:rPr>
              <w:lastRenderedPageBreak/>
              <w:t>Option 1: 28 PRBs for 15 kHz SCS and 14 PRBs for 30 kHz SCS</w:t>
            </w:r>
          </w:p>
          <w:p w14:paraId="5CBA021E" w14:textId="77777777" w:rsidR="00847EC8" w:rsidRDefault="00847EC8" w:rsidP="00847EC8">
            <w:pPr>
              <w:pStyle w:val="aff"/>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aff"/>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aff"/>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AA1FB3">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AA1FB3">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AA1FB3">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722D25" w14:paraId="555246AB" w14:textId="77777777" w:rsidTr="00722D25">
        <w:tc>
          <w:tcPr>
            <w:tcW w:w="1479" w:type="dxa"/>
          </w:tcPr>
          <w:p w14:paraId="5832A83A" w14:textId="77777777" w:rsidR="00722D25" w:rsidRPr="006F4FA2" w:rsidRDefault="00722D25" w:rsidP="00201A24">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201A24">
            <w:pPr>
              <w:tabs>
                <w:tab w:val="left" w:pos="551"/>
              </w:tabs>
              <w:rPr>
                <w:rFonts w:eastAsiaTheme="minorEastAsia"/>
                <w:lang w:val="en-US" w:eastAsia="zh-CN"/>
              </w:rPr>
            </w:pPr>
          </w:p>
        </w:tc>
        <w:tc>
          <w:tcPr>
            <w:tcW w:w="1134" w:type="dxa"/>
          </w:tcPr>
          <w:p w14:paraId="253544D3" w14:textId="77777777" w:rsidR="00722D25" w:rsidRDefault="00722D25" w:rsidP="00201A24">
            <w:pPr>
              <w:rPr>
                <w:rFonts w:eastAsiaTheme="minorEastAsia"/>
                <w:lang w:val="en-US" w:eastAsia="zh-CN"/>
              </w:rPr>
            </w:pPr>
          </w:p>
        </w:tc>
        <w:tc>
          <w:tcPr>
            <w:tcW w:w="5982" w:type="dxa"/>
          </w:tcPr>
          <w:p w14:paraId="079E0C80" w14:textId="77777777" w:rsidR="00722D25" w:rsidRDefault="00722D25" w:rsidP="00201A2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201A24">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201A24">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201A24">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201A24">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bl>
    <w:p w14:paraId="0668DBAB" w14:textId="77777777" w:rsidR="00D845A9" w:rsidRPr="00722D25"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aff"/>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aff"/>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aff"/>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aff"/>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lastRenderedPageBreak/>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aff"/>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f"/>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f"/>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aff"/>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lastRenderedPageBreak/>
              <w:t>ZTE, Sanechips</w:t>
            </w:r>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a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lastRenderedPageBreak/>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aff"/>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aff"/>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capas already. </w:t>
            </w:r>
            <w:r w:rsidR="001C6136">
              <w:rPr>
                <w:rFonts w:eastAsiaTheme="minorEastAsia"/>
                <w:lang w:val="en-US" w:eastAsia="zh-CN"/>
              </w:rPr>
              <w:t>So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6FA375F" w14:textId="77777777" w:rsidR="005F0DDD" w:rsidRDefault="005F0DDD" w:rsidP="009219C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AA1FB3">
            <w:pPr>
              <w:rPr>
                <w:rFonts w:eastAsiaTheme="minorEastAsia"/>
                <w:lang w:val="en-US" w:eastAsia="zh-CN"/>
              </w:rPr>
            </w:pPr>
          </w:p>
        </w:tc>
        <w:tc>
          <w:tcPr>
            <w:tcW w:w="5982" w:type="dxa"/>
          </w:tcPr>
          <w:p w14:paraId="18339C9D" w14:textId="77777777" w:rsidR="00891E9A" w:rsidRDefault="00891E9A" w:rsidP="00AA1FB3">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201A24">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201A24">
            <w:pPr>
              <w:rPr>
                <w:rFonts w:eastAsiaTheme="minorEastAsia"/>
                <w:lang w:val="en-US" w:eastAsia="zh-CN"/>
              </w:rPr>
            </w:pPr>
          </w:p>
        </w:tc>
        <w:tc>
          <w:tcPr>
            <w:tcW w:w="5982" w:type="dxa"/>
          </w:tcPr>
          <w:p w14:paraId="3AF2CBBF" w14:textId="77777777" w:rsidR="00722D25" w:rsidRDefault="00722D25" w:rsidP="00201A24">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201A24">
            <w:pPr>
              <w:rPr>
                <w:rFonts w:eastAsiaTheme="minorEastAsia"/>
                <w:lang w:val="en-US" w:eastAsia="zh-CN"/>
              </w:rPr>
            </w:pPr>
            <w:r>
              <w:rPr>
                <w:rFonts w:eastAsiaTheme="minorEastAsia"/>
                <w:lang w:val="en-US" w:eastAsia="zh-CN"/>
              </w:rPr>
              <w:lastRenderedPageBreak/>
              <w:t>Sierra Wireless</w:t>
            </w:r>
          </w:p>
        </w:tc>
        <w:tc>
          <w:tcPr>
            <w:tcW w:w="1039" w:type="dxa"/>
          </w:tcPr>
          <w:p w14:paraId="510A8A56" w14:textId="23B4291D" w:rsidR="002B243F" w:rsidRDefault="002B243F" w:rsidP="00201A24">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201A24">
            <w:pPr>
              <w:rPr>
                <w:rFonts w:eastAsiaTheme="minorEastAsia"/>
                <w:lang w:val="en-US" w:eastAsia="zh-CN"/>
              </w:rPr>
            </w:pPr>
          </w:p>
        </w:tc>
        <w:tc>
          <w:tcPr>
            <w:tcW w:w="5982" w:type="dxa"/>
          </w:tcPr>
          <w:p w14:paraId="22DF8E7A" w14:textId="77777777" w:rsidR="002B243F" w:rsidRDefault="002B243F" w:rsidP="00201A24">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r>
              <w:rPr>
                <w:rFonts w:eastAsiaTheme="minorEastAsia"/>
                <w:lang w:val="en-US" w:eastAsia="zh-CN"/>
              </w:rPr>
              <w:t>Spreadtrum</w:t>
            </w:r>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f"/>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Support proposal for later down-select.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aff"/>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aff"/>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aff"/>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aff"/>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aff"/>
              <w:numPr>
                <w:ilvl w:val="0"/>
                <w:numId w:val="16"/>
              </w:numPr>
              <w:rPr>
                <w:b/>
                <w:bCs/>
                <w:sz w:val="20"/>
                <w:szCs w:val="22"/>
                <w:lang w:val="en-US"/>
              </w:rPr>
            </w:pPr>
            <w:r>
              <w:rPr>
                <w:b/>
                <w:bCs/>
                <w:sz w:val="20"/>
                <w:szCs w:val="22"/>
                <w:lang w:val="en-US"/>
              </w:rPr>
              <w:lastRenderedPageBreak/>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aff"/>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lastRenderedPageBreak/>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0CDD402" w14:textId="77777777" w:rsidR="00E44889" w:rsidRDefault="00E44889" w:rsidP="009219C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AA1FB3">
            <w:pPr>
              <w:rPr>
                <w:rFonts w:eastAsiaTheme="minorEastAsia"/>
                <w:lang w:val="en-US" w:eastAsia="zh-CN"/>
              </w:rPr>
            </w:pPr>
          </w:p>
        </w:tc>
        <w:tc>
          <w:tcPr>
            <w:tcW w:w="5982" w:type="dxa"/>
          </w:tcPr>
          <w:p w14:paraId="7A43AE4B" w14:textId="77777777" w:rsidR="00891E9A" w:rsidRDefault="00891E9A" w:rsidP="00AA1FB3">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lastRenderedPageBreak/>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lastRenderedPageBreak/>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AA1F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AA1FB3">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201A24">
            <w:pPr>
              <w:rPr>
                <w:rFonts w:eastAsiaTheme="minorEastAsia"/>
                <w:lang w:val="en-US" w:eastAsia="zh-CN"/>
              </w:rPr>
            </w:pPr>
            <w:r>
              <w:rPr>
                <w:rFonts w:eastAsiaTheme="minorEastAsia"/>
                <w:lang w:val="en-US" w:eastAsia="zh-CN"/>
              </w:rPr>
              <w:lastRenderedPageBreak/>
              <w:t>Lenovo</w:t>
            </w:r>
          </w:p>
        </w:tc>
        <w:tc>
          <w:tcPr>
            <w:tcW w:w="1372" w:type="dxa"/>
          </w:tcPr>
          <w:p w14:paraId="55CCCDAC" w14:textId="77777777" w:rsidR="00722D25" w:rsidRDefault="00722D25" w:rsidP="00201A24">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201A24">
            <w:pPr>
              <w:rPr>
                <w:b/>
                <w:bCs/>
                <w:lang w:val="en-US"/>
              </w:rPr>
            </w:pPr>
            <w:r>
              <w:rPr>
                <w:rFonts w:eastAsiaTheme="minorEastAsia"/>
                <w:lang w:val="en-US" w:eastAsia="zh-CN"/>
              </w:rPr>
              <w:t>To avoid any misunderstanding, suggest to revise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201A24">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lastRenderedPageBreak/>
              <w:t>For 20MHz buffer capability, SIB1 performance can be be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f"/>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f"/>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f"/>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0668DD7E" w14:textId="77777777" w:rsidR="00D845A9" w:rsidRDefault="006E2638">
            <w:pPr>
              <w:pStyle w:val="aff"/>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aff"/>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aff"/>
              <w:numPr>
                <w:ilvl w:val="0"/>
                <w:numId w:val="21"/>
              </w:numPr>
              <w:rPr>
                <w:rFonts w:eastAsia="Yu Mincho"/>
                <w:lang w:val="en-US"/>
              </w:rPr>
            </w:pPr>
            <w:r>
              <w:rPr>
                <w:rFonts w:eastAsia="Yu Mincho"/>
                <w:sz w:val="20"/>
                <w:szCs w:val="21"/>
                <w:lang w:val="en-US"/>
              </w:rPr>
              <w:t>Opt.3: soft-combining of multiple reception</w:t>
            </w:r>
          </w:p>
          <w:p w14:paraId="0668DD81" w14:textId="77777777" w:rsidR="00D845A9" w:rsidRDefault="006E2638">
            <w:pPr>
              <w:pStyle w:val="aff"/>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We are OK with the proposal from Medi</w:t>
            </w:r>
            <w:r w:rsidR="0059636F">
              <w:rPr>
                <w:rFonts w:eastAsiaTheme="minorEastAsia"/>
                <w:lang w:val="en-US" w:eastAsia="zh-CN"/>
              </w:rPr>
              <w:t>a</w:t>
            </w:r>
            <w:r>
              <w:rPr>
                <w:rFonts w:eastAsiaTheme="minorEastAsia"/>
                <w:lang w:val="en-US" w:eastAsia="zh-CN"/>
              </w:rPr>
              <w:t>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lastRenderedPageBreak/>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lastRenderedPageBreak/>
              <w:t>And also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lastRenderedPageBreak/>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specification effort</w:t>
            </w:r>
            <w:r w:rsidR="005F6D56">
              <w:rPr>
                <w:rFonts w:eastAsiaTheme="minorEastAsia"/>
                <w:lang w:val="en-US" w:eastAsia="zh-CN"/>
              </w:rPr>
              <w:t>,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201A24">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lastRenderedPageBreak/>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082EE2">
        <w:tc>
          <w:tcPr>
            <w:tcW w:w="1479" w:type="dxa"/>
          </w:tcPr>
          <w:p w14:paraId="0D80B5E9" w14:textId="1DE11047" w:rsidR="002432A4" w:rsidRDefault="002432A4" w:rsidP="00082EE2">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082EE2">
            <w:pPr>
              <w:tabs>
                <w:tab w:val="left" w:pos="551"/>
              </w:tabs>
              <w:rPr>
                <w:rFonts w:eastAsiaTheme="minorEastAsia"/>
                <w:lang w:val="en-US" w:eastAsia="zh-CN"/>
              </w:rPr>
            </w:pPr>
          </w:p>
        </w:tc>
        <w:tc>
          <w:tcPr>
            <w:tcW w:w="6780" w:type="dxa"/>
          </w:tcPr>
          <w:p w14:paraId="071C6728" w14:textId="77777777" w:rsidR="004B3037" w:rsidRDefault="004B3037" w:rsidP="00082EE2">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lastRenderedPageBreak/>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aff"/>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f"/>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f"/>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f"/>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f"/>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w:t>
      </w:r>
      <w:r>
        <w:rPr>
          <w:rFonts w:eastAsia="Microsoft YaHei UI"/>
          <w:bCs/>
          <w:lang w:val="en-US" w:eastAsia="zh-CN"/>
        </w:rPr>
        <w:lastRenderedPageBreak/>
        <w:t>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668DE06"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aff"/>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0668DE2C" w14:textId="77777777" w:rsidR="00D845A9" w:rsidRDefault="006E2638">
            <w:pPr>
              <w:pStyle w:val="aff"/>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f"/>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f"/>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aff"/>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aff"/>
              <w:ind w:left="0"/>
              <w:rPr>
                <w:sz w:val="20"/>
                <w:szCs w:val="20"/>
                <w:lang w:val="en-US" w:eastAsia="zh-CN"/>
              </w:rPr>
            </w:pPr>
          </w:p>
          <w:p w14:paraId="0668DE3E" w14:textId="71FEE747" w:rsidR="00D845A9" w:rsidRDefault="006E2638">
            <w:pPr>
              <w:pStyle w:val="aff"/>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aff"/>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aff"/>
              <w:ind w:left="0"/>
              <w:rPr>
                <w:b/>
                <w:bCs/>
                <w:sz w:val="20"/>
                <w:szCs w:val="20"/>
                <w:lang w:val="en-US" w:eastAsia="zh-CN"/>
              </w:rPr>
            </w:pPr>
            <w:r w:rsidRPr="005C3E75">
              <w:rPr>
                <w:rFonts w:eastAsia="Yu Mincho"/>
                <w:sz w:val="20"/>
                <w:szCs w:val="20"/>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f"/>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aff"/>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aff"/>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f"/>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f"/>
              <w:numPr>
                <w:ilvl w:val="0"/>
                <w:numId w:val="25"/>
              </w:numPr>
              <w:rPr>
                <w:b/>
                <w:bCs/>
                <w:sz w:val="20"/>
                <w:szCs w:val="20"/>
                <w:lang w:val="en-US"/>
              </w:rPr>
            </w:pPr>
            <w:r>
              <w:rPr>
                <w:b/>
                <w:bCs/>
                <w:sz w:val="20"/>
                <w:szCs w:val="20"/>
                <w:lang w:val="en-US"/>
              </w:rPr>
              <w:lastRenderedPageBreak/>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f"/>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f"/>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lastRenderedPageBreak/>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59926084" w:rsidR="00B9479C" w:rsidRDefault="00B9479C" w:rsidP="005934AD">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aff"/>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aff"/>
              <w:numPr>
                <w:ilvl w:val="1"/>
                <w:numId w:val="25"/>
              </w:numPr>
              <w:rPr>
                <w:b/>
                <w:bCs/>
                <w:sz w:val="20"/>
                <w:szCs w:val="20"/>
                <w:lang w:val="en-US"/>
              </w:rPr>
            </w:pPr>
            <w:r>
              <w:rPr>
                <w:b/>
                <w:bCs/>
                <w:sz w:val="20"/>
                <w:szCs w:val="20"/>
                <w:lang w:val="en-US"/>
              </w:rPr>
              <w:lastRenderedPageBreak/>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DCCBF75" w14:textId="7DBBF745" w:rsidR="00A46B3B" w:rsidRDefault="00093BA9" w:rsidP="00A46B3B">
            <w:pPr>
              <w:pStyle w:val="aff"/>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aff"/>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lastRenderedPageBreak/>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r w:rsidR="000F3B4F">
              <w:rPr>
                <w:rFonts w:eastAsiaTheme="minorEastAsia"/>
                <w:lang w:val="en-US" w:eastAsia="zh-CN"/>
              </w:rPr>
              <w:t>M</w:t>
            </w:r>
            <w:r w:rsidR="0098590B">
              <w:rPr>
                <w:rFonts w:eastAsiaTheme="minorEastAsia"/>
                <w:lang w:val="en-US" w:eastAsia="zh-CN"/>
              </w:rPr>
              <w:t>bits</w:t>
            </w:r>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aff"/>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4 is relaxed to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[3].</w:t>
            </w:r>
          </w:p>
          <w:p w14:paraId="360E8A62" w14:textId="30FA3E3C" w:rsidR="00077ECD" w:rsidRPr="00B14E02" w:rsidRDefault="00077ECD" w:rsidP="00B14E02">
            <w:pPr>
              <w:pStyle w:val="aff"/>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4 is relaxed to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only, or could also be used standalone. The formulation is to downselect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r w:rsidR="0016202F">
              <w:rPr>
                <w:rFonts w:eastAsiaTheme="minorEastAsia"/>
                <w:lang w:val="en-US" w:eastAsia="zh-CN"/>
              </w:rPr>
              <w:t>downselect</w:t>
            </w:r>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r>
              <w:rPr>
                <w:rFonts w:eastAsiaTheme="minorEastAsia"/>
                <w:lang w:val="en-US" w:eastAsia="zh-CN"/>
              </w:rPr>
              <w:lastRenderedPageBreak/>
              <w:t>Spreadtrum</w:t>
            </w:r>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aff"/>
              <w:numPr>
                <w:ilvl w:val="0"/>
                <w:numId w:val="25"/>
              </w:numPr>
              <w:rPr>
                <w:b/>
                <w:bCs/>
                <w:sz w:val="20"/>
              </w:rPr>
            </w:pPr>
            <w:r w:rsidRPr="00593A35">
              <w:rPr>
                <w:sz w:val="20"/>
                <w:lang w:eastAsia="zh-CN"/>
              </w:rPr>
              <w:t>For add-on, according to SI conclusion from 38.865(also mentioned by FW), we suggest to conclude at this stage whether to adopt this feature for Rel-18 eRedCap, and leave constraint value FFS.</w:t>
            </w:r>
          </w:p>
          <w:p w14:paraId="58D82AF1" w14:textId="4A6E33DD" w:rsidR="00F51667" w:rsidRDefault="00F51667" w:rsidP="00F51667">
            <w:pPr>
              <w:pStyle w:val="aff"/>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Msg1/MsgA PRACH</w:t>
      </w:r>
    </w:p>
    <w:p w14:paraId="0668DE57" w14:textId="77777777" w:rsidR="00D845A9" w:rsidRDefault="006E263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Msg3/MsgA PUSCH</w:t>
      </w:r>
    </w:p>
    <w:p w14:paraId="0668DE5A" w14:textId="77777777" w:rsidR="00D845A9" w:rsidRDefault="006E263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007C9510" w14:textId="52F12279" w:rsidR="001674E9" w:rsidRPr="001674E9" w:rsidRDefault="006E2638" w:rsidP="001674E9">
      <w:pPr>
        <w:pStyle w:val="aff"/>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 xml:space="preserve">Our understanding from RAN#97 was that we would at least support the possibility of same early indication, but from the GTW today we should probably craft a full </w:t>
            </w:r>
            <w:r>
              <w:rPr>
                <w:rFonts w:eastAsiaTheme="minorEastAsia"/>
                <w:lang w:val="en-US" w:eastAsia="zh-CN"/>
              </w:rPr>
              <w:lastRenderedPageBreak/>
              <w:t>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lastRenderedPageBreak/>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Early indication can be discussed after more eRedCap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bookmarkStart w:id="5" w:name="_GoBack"/>
            <w:r>
              <w:rPr>
                <w:rFonts w:eastAsiaTheme="minorEastAsia"/>
                <w:lang w:eastAsia="zh-CN"/>
              </w:rPr>
              <w:t>FL2</w:t>
            </w:r>
            <w:bookmarkEnd w:id="5"/>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Rel-18 RedCap UE shares the same cell access/barring indication and mechanism with Rel-17 RedCap UE. FFS additional cell access/barring indication. Final decision is up to RAN2 [14].</w:t>
      </w:r>
    </w:p>
    <w:p w14:paraId="0668DECD"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aff"/>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f"/>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f"/>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6"/>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0E4D02">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0E4D02">
            <w:pPr>
              <w:jc w:val="left"/>
              <w:rPr>
                <w:rFonts w:eastAsia="Calibri"/>
                <w:color w:val="0000FF"/>
                <w:u w:val="single"/>
                <w:lang w:val="en-US"/>
              </w:rPr>
            </w:pPr>
            <w:hyperlink r:id="rId15" w:history="1">
              <w:r w:rsidR="006E2638">
                <w:rPr>
                  <w:rStyle w:val="afb"/>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0E4D02">
            <w:pPr>
              <w:jc w:val="left"/>
              <w:rPr>
                <w:rFonts w:eastAsia="Calibri"/>
                <w:color w:val="0000FF"/>
                <w:szCs w:val="22"/>
                <w:u w:val="single"/>
                <w:lang w:val="en-US"/>
              </w:rPr>
            </w:pPr>
            <w:hyperlink r:id="rId16" w:history="1">
              <w:r w:rsidR="006E2638">
                <w:rPr>
                  <w:rStyle w:val="afb"/>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0E4D02">
            <w:pPr>
              <w:jc w:val="left"/>
              <w:rPr>
                <w:rFonts w:eastAsia="Calibri"/>
                <w:szCs w:val="22"/>
                <w:lang w:val="en-US"/>
              </w:rPr>
            </w:pPr>
            <w:hyperlink r:id="rId17" w:history="1">
              <w:r w:rsidR="006E2638">
                <w:rPr>
                  <w:rStyle w:val="afb"/>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0E4D02">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0E4D02">
            <w:pPr>
              <w:jc w:val="left"/>
              <w:rPr>
                <w:rStyle w:val="afb"/>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0E4D02">
            <w:pPr>
              <w:jc w:val="left"/>
              <w:rPr>
                <w:rStyle w:val="afb"/>
                <w:color w:val="0000FF"/>
                <w:lang w:val="en-US" w:eastAsia="sv-SE"/>
              </w:rPr>
            </w:pPr>
            <w:hyperlink r:id="rId20" w:history="1">
              <w:r w:rsidR="006E2638">
                <w:rPr>
                  <w:rStyle w:val="afb"/>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lastRenderedPageBreak/>
              <w:t>[8]</w:t>
            </w:r>
          </w:p>
        </w:tc>
        <w:tc>
          <w:tcPr>
            <w:tcW w:w="1456" w:type="dxa"/>
            <w:tcMar>
              <w:top w:w="0" w:type="dxa"/>
              <w:left w:w="70" w:type="dxa"/>
              <w:bottom w:w="0" w:type="dxa"/>
              <w:right w:w="70" w:type="dxa"/>
            </w:tcMar>
          </w:tcPr>
          <w:p w14:paraId="0668DF08" w14:textId="77777777" w:rsidR="00D845A9" w:rsidRDefault="000E4D02">
            <w:pPr>
              <w:jc w:val="left"/>
              <w:rPr>
                <w:rStyle w:val="afb"/>
                <w:color w:val="0000FF"/>
                <w:lang w:val="en-US" w:eastAsia="sv-SE"/>
              </w:rPr>
            </w:pPr>
            <w:hyperlink r:id="rId21" w:history="1">
              <w:r w:rsidR="006E2638">
                <w:rPr>
                  <w:rStyle w:val="afb"/>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0E4D02">
            <w:pPr>
              <w:jc w:val="left"/>
              <w:rPr>
                <w:rStyle w:val="afb"/>
                <w:color w:val="0000FF"/>
                <w:lang w:val="en-US" w:eastAsia="sv-SE"/>
              </w:rPr>
            </w:pPr>
            <w:hyperlink r:id="rId22" w:history="1">
              <w:r w:rsidR="006E2638">
                <w:rPr>
                  <w:rStyle w:val="afb"/>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0E4D02">
            <w:pPr>
              <w:jc w:val="left"/>
              <w:rPr>
                <w:rStyle w:val="afb"/>
                <w:color w:val="0000FF"/>
                <w:lang w:val="en-US" w:eastAsia="sv-SE"/>
              </w:rPr>
            </w:pPr>
            <w:hyperlink r:id="rId23" w:history="1">
              <w:r w:rsidR="006E2638">
                <w:rPr>
                  <w:rStyle w:val="afb"/>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0E4D02">
            <w:pPr>
              <w:jc w:val="left"/>
              <w:rPr>
                <w:rStyle w:val="afb"/>
                <w:color w:val="0000FF"/>
                <w:lang w:val="en-US" w:eastAsia="sv-SE"/>
              </w:rPr>
            </w:pPr>
            <w:hyperlink r:id="rId24" w:history="1">
              <w:r w:rsidR="006E2638">
                <w:rPr>
                  <w:rStyle w:val="afb"/>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0E4D02">
            <w:pPr>
              <w:jc w:val="left"/>
              <w:rPr>
                <w:rStyle w:val="afb"/>
                <w:color w:val="0000FF"/>
                <w:lang w:val="en-US" w:eastAsia="sv-SE"/>
              </w:rPr>
            </w:pPr>
            <w:hyperlink r:id="rId25" w:history="1">
              <w:r w:rsidR="006E2638">
                <w:rPr>
                  <w:rStyle w:val="afb"/>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0E4D02">
            <w:pPr>
              <w:jc w:val="left"/>
              <w:rPr>
                <w:rStyle w:val="afb"/>
                <w:color w:val="0000FF"/>
                <w:lang w:val="en-US" w:eastAsia="sv-SE"/>
              </w:rPr>
            </w:pPr>
            <w:hyperlink r:id="rId26" w:history="1">
              <w:r w:rsidR="006E2638">
                <w:rPr>
                  <w:rStyle w:val="afb"/>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0E4D02">
            <w:pPr>
              <w:jc w:val="left"/>
              <w:rPr>
                <w:rStyle w:val="afb"/>
                <w:color w:val="0000FF"/>
                <w:lang w:val="en-US" w:eastAsia="sv-SE"/>
              </w:rPr>
            </w:pPr>
            <w:hyperlink r:id="rId27" w:history="1">
              <w:r w:rsidR="006E2638">
                <w:rPr>
                  <w:rStyle w:val="afb"/>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0E4D02">
            <w:pPr>
              <w:jc w:val="left"/>
              <w:rPr>
                <w:rStyle w:val="afb"/>
                <w:color w:val="0000FF"/>
                <w:lang w:val="en-US" w:eastAsia="sv-SE"/>
              </w:rPr>
            </w:pPr>
            <w:hyperlink r:id="rId28" w:history="1">
              <w:r w:rsidR="006E2638">
                <w:rPr>
                  <w:rStyle w:val="afb"/>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0E4D02">
            <w:pPr>
              <w:jc w:val="left"/>
              <w:rPr>
                <w:rStyle w:val="afb"/>
                <w:color w:val="0000FF"/>
                <w:lang w:val="en-US" w:eastAsia="sv-SE"/>
              </w:rPr>
            </w:pPr>
            <w:hyperlink r:id="rId29" w:history="1">
              <w:r w:rsidR="006E2638">
                <w:rPr>
                  <w:rStyle w:val="afb"/>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0E4D02">
            <w:pPr>
              <w:jc w:val="left"/>
              <w:rPr>
                <w:rStyle w:val="afb"/>
                <w:color w:val="0000FF"/>
                <w:lang w:val="en-US" w:eastAsia="sv-SE"/>
              </w:rPr>
            </w:pPr>
            <w:hyperlink r:id="rId30" w:history="1">
              <w:r w:rsidR="006E2638">
                <w:rPr>
                  <w:rStyle w:val="afb"/>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0E4D02">
            <w:pPr>
              <w:jc w:val="left"/>
              <w:rPr>
                <w:rStyle w:val="afb"/>
                <w:color w:val="0000FF"/>
                <w:lang w:val="en-US" w:eastAsia="sv-SE"/>
              </w:rPr>
            </w:pPr>
            <w:hyperlink r:id="rId31" w:history="1">
              <w:r w:rsidR="006E2638">
                <w:rPr>
                  <w:rStyle w:val="afb"/>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0E4D02">
            <w:pPr>
              <w:jc w:val="left"/>
              <w:rPr>
                <w:rStyle w:val="afb"/>
                <w:color w:val="0000FF"/>
                <w:lang w:val="en-US" w:eastAsia="sv-SE"/>
              </w:rPr>
            </w:pPr>
            <w:hyperlink r:id="rId32" w:history="1">
              <w:r w:rsidR="006E2638">
                <w:rPr>
                  <w:rStyle w:val="afb"/>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r>
              <w:t>Transsion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0E4D02">
            <w:pPr>
              <w:jc w:val="left"/>
              <w:rPr>
                <w:rStyle w:val="afb"/>
                <w:color w:val="0000FF"/>
                <w:lang w:val="en-US" w:eastAsia="sv-SE"/>
              </w:rPr>
            </w:pPr>
            <w:hyperlink r:id="rId33" w:history="1">
              <w:r w:rsidR="006E2638">
                <w:rPr>
                  <w:rStyle w:val="afb"/>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ZTE, Sanechips</w:t>
            </w:r>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0E4D02">
            <w:pPr>
              <w:jc w:val="left"/>
              <w:rPr>
                <w:rStyle w:val="afb"/>
                <w:color w:val="0000FF"/>
                <w:lang w:val="en-US" w:eastAsia="sv-SE"/>
              </w:rPr>
            </w:pPr>
            <w:hyperlink r:id="rId34" w:history="1">
              <w:r w:rsidR="006E2638">
                <w:rPr>
                  <w:rStyle w:val="afb"/>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0E4D02">
            <w:pPr>
              <w:jc w:val="left"/>
              <w:rPr>
                <w:rStyle w:val="afb"/>
                <w:color w:val="0000FF"/>
                <w:lang w:val="en-US" w:eastAsia="sv-SE"/>
              </w:rPr>
            </w:pPr>
            <w:hyperlink r:id="rId35" w:history="1">
              <w:r w:rsidR="006E2638">
                <w:rPr>
                  <w:rStyle w:val="afb"/>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0E4D02">
            <w:pPr>
              <w:jc w:val="left"/>
              <w:rPr>
                <w:rStyle w:val="afb"/>
                <w:color w:val="0000FF"/>
                <w:lang w:val="en-US" w:eastAsia="sv-SE"/>
              </w:rPr>
            </w:pPr>
            <w:hyperlink r:id="rId36" w:history="1">
              <w:r w:rsidR="006E2638">
                <w:rPr>
                  <w:rStyle w:val="afb"/>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0E4D02">
            <w:pPr>
              <w:jc w:val="left"/>
              <w:rPr>
                <w:rStyle w:val="afb"/>
                <w:color w:val="0000FF"/>
                <w:lang w:val="en-US" w:eastAsia="sv-SE"/>
              </w:rPr>
            </w:pPr>
            <w:hyperlink r:id="rId37" w:history="1">
              <w:r w:rsidR="006E2638">
                <w:rPr>
                  <w:rStyle w:val="afb"/>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0E4D02">
            <w:pPr>
              <w:jc w:val="left"/>
              <w:rPr>
                <w:rStyle w:val="afb"/>
                <w:color w:val="0000FF"/>
                <w:lang w:val="en-US" w:eastAsia="sv-SE"/>
              </w:rPr>
            </w:pPr>
            <w:hyperlink r:id="rId38" w:history="1">
              <w:r w:rsidR="006E2638">
                <w:rPr>
                  <w:rStyle w:val="afb"/>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0E4D02">
            <w:pPr>
              <w:jc w:val="left"/>
              <w:rPr>
                <w:rStyle w:val="afb"/>
                <w:color w:val="0000FF"/>
                <w:lang w:val="en-US" w:eastAsia="sv-SE"/>
              </w:rPr>
            </w:pPr>
            <w:hyperlink r:id="rId39" w:history="1">
              <w:r w:rsidR="006E2638">
                <w:rPr>
                  <w:rStyle w:val="afb"/>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0E4D02">
            <w:pPr>
              <w:jc w:val="left"/>
              <w:rPr>
                <w:rStyle w:val="afb"/>
                <w:color w:val="0000FF"/>
                <w:lang w:val="en-US" w:eastAsia="sv-SE"/>
              </w:rPr>
            </w:pPr>
            <w:hyperlink r:id="rId40" w:history="1">
              <w:r w:rsidR="006E2638">
                <w:rPr>
                  <w:rStyle w:val="afb"/>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0E4D02">
            <w:pPr>
              <w:jc w:val="left"/>
              <w:rPr>
                <w:rStyle w:val="afb"/>
                <w:color w:val="0000FF"/>
                <w:lang w:val="en-US" w:eastAsia="sv-SE"/>
              </w:rPr>
            </w:pPr>
            <w:hyperlink r:id="rId41" w:history="1">
              <w:r w:rsidR="006E2638">
                <w:rPr>
                  <w:rStyle w:val="afb"/>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0E4D02">
            <w:pPr>
              <w:jc w:val="left"/>
              <w:rPr>
                <w:rStyle w:val="afb"/>
                <w:color w:val="0000FF"/>
                <w:lang w:val="en-US" w:eastAsia="sv-SE"/>
              </w:rPr>
            </w:pPr>
            <w:hyperlink r:id="rId42" w:history="1">
              <w:r w:rsidR="006E2638">
                <w:rPr>
                  <w:rStyle w:val="afb"/>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0E4D02">
            <w:pPr>
              <w:jc w:val="left"/>
              <w:rPr>
                <w:rStyle w:val="afb"/>
                <w:color w:val="0000FF"/>
                <w:lang w:val="en-US" w:eastAsia="sv-SE"/>
              </w:rPr>
            </w:pPr>
            <w:hyperlink r:id="rId43" w:history="1">
              <w:r w:rsidR="006E2638">
                <w:rPr>
                  <w:rStyle w:val="afb"/>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0E4D02">
            <w:pPr>
              <w:jc w:val="left"/>
              <w:rPr>
                <w:rStyle w:val="afb"/>
                <w:color w:val="0000FF"/>
                <w:lang w:val="en-US" w:eastAsia="sv-SE"/>
              </w:rPr>
            </w:pPr>
            <w:hyperlink r:id="rId44" w:history="1">
              <w:r w:rsidR="006E2638">
                <w:rPr>
                  <w:rStyle w:val="afb"/>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0E4D02">
            <w:pPr>
              <w:jc w:val="left"/>
              <w:rPr>
                <w:rStyle w:val="afb"/>
                <w:color w:val="0000FF"/>
                <w:lang w:val="en-US" w:eastAsia="sv-SE"/>
              </w:rPr>
            </w:pPr>
            <w:hyperlink r:id="rId45" w:history="1">
              <w:r w:rsidR="006E2638">
                <w:rPr>
                  <w:rStyle w:val="afb"/>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0E4D02">
            <w:pPr>
              <w:jc w:val="left"/>
              <w:rPr>
                <w:color w:val="000000"/>
                <w:lang w:val="en-US"/>
              </w:rPr>
            </w:pPr>
            <w:hyperlink r:id="rId46" w:history="1">
              <w:r w:rsidR="006E2638">
                <w:rPr>
                  <w:rStyle w:val="afb"/>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0E4D02">
            <w:pPr>
              <w:jc w:val="left"/>
              <w:rPr>
                <w:color w:val="000000"/>
                <w:lang w:val="en-US"/>
              </w:rPr>
            </w:pPr>
            <w:hyperlink r:id="rId47" w:history="1">
              <w:r w:rsidR="006E2638">
                <w:rPr>
                  <w:rStyle w:val="afb"/>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0E4D02">
            <w:pPr>
              <w:jc w:val="left"/>
            </w:pPr>
            <w:hyperlink r:id="rId48" w:history="1">
              <w:r w:rsidR="006E2638">
                <w:rPr>
                  <w:rStyle w:val="afb"/>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0668DF94" w14:textId="77777777" w:rsidR="00D845A9" w:rsidRDefault="000E4D02">
            <w:pPr>
              <w:jc w:val="left"/>
            </w:pPr>
            <w:hyperlink r:id="rId50" w:history="1">
              <w:r w:rsidR="006E2638">
                <w:rPr>
                  <w:rStyle w:val="afb"/>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B3866" w14:textId="77777777" w:rsidR="000E4D02" w:rsidRDefault="000E4D02">
      <w:pPr>
        <w:spacing w:line="240" w:lineRule="auto"/>
      </w:pPr>
      <w:r>
        <w:separator/>
      </w:r>
    </w:p>
  </w:endnote>
  <w:endnote w:type="continuationSeparator" w:id="0">
    <w:p w14:paraId="59895098" w14:textId="77777777" w:rsidR="000E4D02" w:rsidRDefault="000E4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4AA7" w14:textId="77777777" w:rsidR="000E4D02" w:rsidRDefault="000E4D02">
      <w:pPr>
        <w:spacing w:after="0"/>
      </w:pPr>
      <w:r>
        <w:separator/>
      </w:r>
    </w:p>
  </w:footnote>
  <w:footnote w:type="continuationSeparator" w:id="0">
    <w:p w14:paraId="02DBD861" w14:textId="77777777" w:rsidR="000E4D02" w:rsidRDefault="000E4D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25">
    <w:name w:val="Unresolved Mention25"/>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553992C-75F7-4D1D-A526-6ED3D150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35</Pages>
  <Words>14317</Words>
  <Characters>81613</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46</cp:revision>
  <dcterms:created xsi:type="dcterms:W3CDTF">2022-10-11T21:06:00Z</dcterms:created>
  <dcterms:modified xsi:type="dcterms:W3CDTF">2022-10-12T03:26:00Z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