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宋体"/>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604AD8">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604AD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604AD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604AD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604AD8">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604AD8">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t>
            </w:r>
            <w:r>
              <w:rPr>
                <w:rFonts w:ascii="Times New Roman" w:hAnsi="Times New Roman"/>
                <w:szCs w:val="20"/>
                <w:lang w:eastAsia="zh-CN"/>
              </w:rPr>
              <w:lastRenderedPageBreak/>
              <w:t xml:space="preserve">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宋体"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w:t>
            </w:r>
            <w:proofErr w:type="gramStart"/>
            <w:r>
              <w:rPr>
                <w:rFonts w:ascii="Times New Roman" w:hAnsi="Times New Roman"/>
                <w:szCs w:val="20"/>
                <w:lang w:eastAsia="zh-CN"/>
              </w:rPr>
              <w:t>this details</w:t>
            </w:r>
            <w:proofErr w:type="gramEnd"/>
            <w:r>
              <w:rPr>
                <w:rFonts w:ascii="Times New Roman" w:hAnsi="Times New Roman"/>
                <w:szCs w:val="20"/>
                <w:lang w:eastAsia="zh-CN"/>
              </w:rPr>
              <w:t xml:space="preserve">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w:t>
            </w:r>
            <w:proofErr w:type="gramEnd"/>
            <w:r>
              <w:rPr>
                <w:rFonts w:ascii="Times New Roman" w:hAnsi="Times New Roman"/>
                <w:szCs w:val="20"/>
                <w:lang w:eastAsia="zh-CN"/>
              </w:rPr>
              <w:t>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training</w:t>
            </w:r>
            <w:proofErr w:type="gramEnd"/>
            <w:r>
              <w:rPr>
                <w:rFonts w:ascii="Times New Roman" w:hAnsi="Times New Roman"/>
                <w:szCs w:val="20"/>
                <w:lang w:eastAsia="zh-CN"/>
              </w:rPr>
              <w:t xml:space="preserve">,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w:t>
            </w:r>
            <w:proofErr w:type="gramStart"/>
            <w:r>
              <w:rPr>
                <w:rFonts w:ascii="Times New Roman" w:hAnsi="Times New Roman"/>
                <w:szCs w:val="20"/>
                <w:lang w:eastAsia="zh-CN"/>
              </w:rPr>
              <w:t>amount</w:t>
            </w:r>
            <w:proofErr w:type="gramEnd"/>
            <w:r>
              <w:rPr>
                <w:rFonts w:ascii="Times New Roman" w:hAnsi="Times New Roman"/>
                <w:szCs w:val="20"/>
                <w:lang w:eastAsia="zh-CN"/>
              </w:rPr>
              <w:t xml:space="preserve">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 xml:space="preserve">data </w:t>
            </w:r>
            <w:proofErr w:type="gramStart"/>
            <w:r w:rsidR="00C23F7A" w:rsidRPr="00C23F7A">
              <w:rPr>
                <w:rFonts w:ascii="Times New Roman" w:hAnsi="Times New Roman"/>
                <w:sz w:val="20"/>
                <w:lang w:eastAsia="zh-CN"/>
              </w:rPr>
              <w:t>collection,  training</w:t>
            </w:r>
            <w:proofErr w:type="gramEnd"/>
            <w:r w:rsidR="00C23F7A" w:rsidRPr="00C23F7A">
              <w:rPr>
                <w:rFonts w:ascii="Times New Roman" w:hAnsi="Times New Roman"/>
                <w:sz w:val="20"/>
                <w:lang w:eastAsia="zh-CN"/>
              </w:rPr>
              <w:t>,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宋体" w:hAnsi="Times New Roman"/>
                <w:strike/>
                <w:sz w:val="20"/>
                <w:szCs w:val="20"/>
                <w:highlight w:val="yellow"/>
                <w:lang w:val="en-GB"/>
              </w:rPr>
            </w:pPr>
            <w:r w:rsidRPr="00083B17">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sidRPr="00573E34">
              <w:rPr>
                <w:rFonts w:ascii="Times New Roman" w:hAnsi="Times New Roman"/>
                <w:szCs w:val="20"/>
                <w:lang w:eastAsia="zh-CN"/>
              </w:rPr>
              <w:t>Proposal</w:t>
            </w:r>
            <w:proofErr w:type="spellEnd"/>
            <w:r w:rsidRPr="00573E34">
              <w:rPr>
                <w:rFonts w:ascii="Times New Roman" w:hAnsi="Times New Roman"/>
                <w:szCs w:val="20"/>
                <w:lang w:eastAsia="zh-CN"/>
              </w:rPr>
              <w:t xml:space="preserve">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1. I replied to </w:t>
            </w:r>
            <w:proofErr w:type="gramStart"/>
            <w:r>
              <w:rPr>
                <w:rFonts w:ascii="Times New Roman" w:hAnsi="Times New Roman"/>
                <w:szCs w:val="20"/>
                <w:lang w:eastAsia="zh-CN"/>
              </w:rPr>
              <w:t>you</w:t>
            </w:r>
            <w:proofErr w:type="gramEnd"/>
            <w:r>
              <w:rPr>
                <w:rFonts w:ascii="Times New Roman" w:hAnsi="Times New Roman"/>
                <w:szCs w:val="20"/>
                <w:lang w:eastAsia="zh-CN"/>
              </w:rPr>
              <w:t xml:space="preserve">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w:t>
            </w:r>
            <w:proofErr w:type="spellStart"/>
            <w:r w:rsidR="006F7368">
              <w:rPr>
                <w:rFonts w:ascii="Times New Roman" w:hAnsi="Times New Roman"/>
                <w:szCs w:val="20"/>
                <w:lang w:eastAsia="zh-CN"/>
              </w:rPr>
              <w:t>can not</w:t>
            </w:r>
            <w:proofErr w:type="spellEnd"/>
            <w:r w:rsidR="006F7368">
              <w:rPr>
                <w:rFonts w:ascii="Times New Roman" w:hAnsi="Times New Roman"/>
                <w:szCs w:val="20"/>
                <w:lang w:eastAsia="zh-CN"/>
              </w:rPr>
              <w:t xml:space="preserve">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BodyText"/>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w:t>
            </w:r>
            <w:proofErr w:type="spellStart"/>
            <w:r w:rsidR="005D60C6">
              <w:rPr>
                <w:rFonts w:ascii="Times New Roman" w:hAnsi="Times New Roman"/>
                <w:szCs w:val="20"/>
                <w:lang w:eastAsia="zh-CN"/>
              </w:rPr>
              <w:t>bullel</w:t>
            </w:r>
            <w:proofErr w:type="spellEnd"/>
            <w:r w:rsidR="005D60C6">
              <w:rPr>
                <w:rFonts w:ascii="Times New Roman" w:hAnsi="Times New Roman"/>
                <w:szCs w:val="20"/>
                <w:lang w:eastAsia="zh-CN"/>
              </w:rPr>
              <w:t xml:space="preserve">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25156D34" w14:textId="05532174" w:rsidR="00211538"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w:t>
            </w:r>
            <w:proofErr w:type="gramStart"/>
            <w:r>
              <w:rPr>
                <w:rFonts w:ascii="Times New Roman" w:hAnsi="Times New Roman"/>
                <w:szCs w:val="20"/>
                <w:lang w:eastAsia="zh-CN"/>
              </w:rPr>
              <w:t>TRP</w:t>
            </w:r>
            <w:r w:rsidR="009C5AAA">
              <w:rPr>
                <w:rFonts w:ascii="Times New Roman" w:hAnsi="Times New Roman"/>
                <w:szCs w:val="20"/>
                <w:lang w:eastAsia="zh-CN"/>
              </w:rPr>
              <w:t xml:space="preserve">  (</w:t>
            </w:r>
            <w:proofErr w:type="gramEnd"/>
            <w:r w:rsidR="009C5AAA">
              <w:rPr>
                <w:rFonts w:ascii="Times New Roman" w:hAnsi="Times New Roman"/>
                <w:szCs w:val="20"/>
                <w:lang w:eastAsia="zh-CN"/>
              </w:rPr>
              <w:t>Entity type I)</w:t>
            </w:r>
          </w:p>
          <w:p w14:paraId="69491229" w14:textId="335FD948"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BodyText"/>
              <w:spacing w:after="0"/>
              <w:rPr>
                <w:rFonts w:ascii="Times New Roman" w:hAnsi="Times New Roman"/>
                <w:szCs w:val="20"/>
                <w:lang w:eastAsia="zh-CN"/>
              </w:rPr>
            </w:pPr>
          </w:p>
          <w:p w14:paraId="4266A08F" w14:textId="585C9D97" w:rsidR="0047571D" w:rsidRDefault="00BB76E5" w:rsidP="0047571D">
            <w:pPr>
              <w:pStyle w:val="BodyText"/>
              <w:spacing w:after="0"/>
              <w:rPr>
                <w:rFonts w:ascii="Times New Roman" w:hAnsi="Times New Roman"/>
                <w:szCs w:val="20"/>
                <w:lang w:eastAsia="zh-CN"/>
              </w:rPr>
            </w:pPr>
            <w:r w:rsidRPr="00BB76E5">
              <w:rPr>
                <w:rFonts w:ascii="Times New Roman" w:hAnsi="Times New Roman"/>
                <w:noProof/>
                <w:szCs w:val="20"/>
                <w:lang w:eastAsia="ko-KR"/>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a16="http://schemas.microsoft.com/office/drawing/2014/main"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BodyText"/>
              <w:spacing w:after="0"/>
              <w:rPr>
                <w:rFonts w:ascii="Times New Roman" w:hAnsi="Times New Roman"/>
                <w:szCs w:val="20"/>
                <w:lang w:eastAsia="zh-CN"/>
              </w:rPr>
            </w:pPr>
          </w:p>
          <w:p w14:paraId="555DB0B9" w14:textId="065199D4" w:rsidR="0047571D" w:rsidRDefault="0047571D" w:rsidP="0047571D">
            <w:pPr>
              <w:pStyle w:val="BodyText"/>
              <w:spacing w:after="0"/>
              <w:rPr>
                <w:rFonts w:ascii="Times New Roman" w:hAnsi="Times New Roman"/>
                <w:szCs w:val="20"/>
                <w:lang w:eastAsia="zh-CN"/>
              </w:rPr>
            </w:pPr>
          </w:p>
          <w:p w14:paraId="03870DB8" w14:textId="77777777" w:rsidR="0047571D" w:rsidRDefault="0047571D" w:rsidP="0047571D">
            <w:pPr>
              <w:pStyle w:val="BodyText"/>
              <w:spacing w:after="0"/>
              <w:rPr>
                <w:rFonts w:ascii="Times New Roman" w:hAnsi="Times New Roman"/>
                <w:szCs w:val="20"/>
                <w:lang w:eastAsia="zh-CN"/>
              </w:rPr>
            </w:pPr>
          </w:p>
          <w:p w14:paraId="6076659A" w14:textId="68EC76E3" w:rsidR="0049036D" w:rsidRDefault="0049036D" w:rsidP="00206AD5">
            <w:pPr>
              <w:pStyle w:val="BodyText"/>
              <w:spacing w:after="0"/>
              <w:rPr>
                <w:rFonts w:ascii="Times New Roman" w:hAnsi="Times New Roman"/>
                <w:szCs w:val="20"/>
                <w:lang w:eastAsia="zh-CN"/>
              </w:rPr>
            </w:pPr>
          </w:p>
        </w:tc>
      </w:tr>
      <w:tr w:rsidR="0045759E" w14:paraId="1687A887" w14:textId="77777777" w:rsidTr="00815D6A">
        <w:trPr>
          <w:trHeight w:val="339"/>
        </w:trPr>
        <w:tc>
          <w:tcPr>
            <w:tcW w:w="1871" w:type="dxa"/>
          </w:tcPr>
          <w:p w14:paraId="2A2ED48E"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9D10D1" w14:textId="77777777" w:rsidR="0045759E" w:rsidRDefault="0045759E" w:rsidP="00815D6A">
            <w:pPr>
              <w:rPr>
                <w:rFonts w:asciiTheme="minorHAnsi" w:hAnsiTheme="minorHAnsi" w:cstheme="minorHAnsi"/>
                <w:lang w:eastAsia="zh-CN"/>
              </w:rPr>
            </w:pPr>
            <w:r>
              <w:rPr>
                <w:rFonts w:asciiTheme="minorHAnsi" w:hAnsiTheme="minorHAnsi" w:cstheme="minorHAnsi"/>
                <w:lang w:eastAsia="zh-CN"/>
              </w:rPr>
              <w:t>We are mostly fine with Proposal 2-1f.</w:t>
            </w:r>
          </w:p>
          <w:p w14:paraId="619B1BD5" w14:textId="394D3790" w:rsidR="0045759E" w:rsidRDefault="0045759E" w:rsidP="00815D6A">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sidRPr="0065206B">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w:t>
            </w:r>
            <w:r w:rsidRPr="003F5F3D">
              <w:rPr>
                <w:rFonts w:asciiTheme="minorHAnsi" w:hAnsiTheme="minorHAnsi" w:cstheme="minorHAnsi"/>
                <w:color w:val="FF0000"/>
                <w:lang w:eastAsia="zh-CN"/>
              </w:rPr>
              <w:t xml:space="preserve">o be collected </w:t>
            </w:r>
            <w:r w:rsidRPr="0065206B">
              <w:rPr>
                <w:rFonts w:asciiTheme="minorHAnsi" w:hAnsiTheme="minorHAnsi" w:cstheme="minorHAnsi"/>
                <w:color w:val="FF0000"/>
                <w:lang w:eastAsia="zh-CN"/>
              </w:rPr>
              <w:t>from the entity</w:t>
            </w:r>
            <w:r>
              <w:rPr>
                <w:rFonts w:asciiTheme="minorHAnsi" w:hAnsiTheme="minorHAnsi" w:cstheme="minorHAnsi"/>
                <w:lang w:eastAsia="zh-CN"/>
              </w:rPr>
              <w:t xml:space="preserve"> </w:t>
            </w:r>
            <w:r w:rsidRPr="0065206B">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817A82" w14:paraId="05D0C7FC" w14:textId="77777777" w:rsidTr="00815D6A">
        <w:trPr>
          <w:trHeight w:val="339"/>
        </w:trPr>
        <w:tc>
          <w:tcPr>
            <w:tcW w:w="1871" w:type="dxa"/>
          </w:tcPr>
          <w:p w14:paraId="69F2962B" w14:textId="2218DE4B"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F14A57C"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461D4F67" w14:textId="77777777" w:rsidR="00817A82" w:rsidRDefault="00817A82" w:rsidP="00817A82">
            <w:pPr>
              <w:rPr>
                <w:lang w:eastAsia="zh-CN"/>
              </w:rPr>
            </w:pPr>
            <w:r>
              <w:rPr>
                <w:lang w:eastAsia="zh-CN"/>
              </w:rPr>
              <w:t xml:space="preserve">Regarding data collection for AI/ML model training for AI/ML based positioning, </w:t>
            </w:r>
          </w:p>
          <w:p w14:paraId="6D7BF596" w14:textId="77777777" w:rsidR="00817A82" w:rsidRDefault="00817A82" w:rsidP="00817A82">
            <w:pPr>
              <w:numPr>
                <w:ilvl w:val="0"/>
                <w:numId w:val="28"/>
              </w:numPr>
              <w:overflowPunct/>
              <w:autoSpaceDE/>
              <w:autoSpaceDN/>
              <w:adjustRightInd/>
              <w:spacing w:after="0"/>
              <w:textAlignment w:val="auto"/>
              <w:rPr>
                <w:lang w:eastAsia="zh-CN"/>
              </w:rPr>
            </w:pPr>
            <w:r>
              <w:rPr>
                <w:lang w:eastAsia="zh-CN"/>
              </w:rPr>
              <w:lastRenderedPageBreak/>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47896D29"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7E2D867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338DB6B7"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5EA758A1"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the required training dataset size</w:t>
            </w:r>
          </w:p>
          <w:p w14:paraId="550003A3" w14:textId="77777777" w:rsidR="00817A82" w:rsidRDefault="00817A82" w:rsidP="00817A82">
            <w:pPr>
              <w:pStyle w:val="ListParagraph"/>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C98544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7AE76191"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996F615" w14:textId="77777777" w:rsidR="00817A82" w:rsidRPr="009846C8" w:rsidRDefault="00817A82" w:rsidP="00817A82">
            <w:pPr>
              <w:numPr>
                <w:ilvl w:val="1"/>
                <w:numId w:val="28"/>
              </w:numPr>
              <w:overflowPunct/>
              <w:autoSpaceDE/>
              <w:autoSpaceDN/>
              <w:adjustRightInd/>
              <w:spacing w:after="0"/>
              <w:textAlignment w:val="auto"/>
              <w:rPr>
                <w:color w:val="00B050"/>
                <w:lang w:eastAsia="zh-CN"/>
              </w:rPr>
            </w:pPr>
            <w:r w:rsidRPr="009846C8">
              <w:rPr>
                <w:color w:val="00B050"/>
                <w:lang w:eastAsia="zh-CN"/>
              </w:rPr>
              <w:t>FFS PRU determination</w:t>
            </w:r>
          </w:p>
          <w:p w14:paraId="1A77ED21" w14:textId="77777777" w:rsidR="00817A82" w:rsidRDefault="00817A82" w:rsidP="00817A82">
            <w:pPr>
              <w:rPr>
                <w:rFonts w:asciiTheme="minorHAnsi" w:hAnsiTheme="minorHAnsi" w:cstheme="minorHAnsi"/>
                <w:lang w:eastAsia="zh-CN"/>
              </w:rPr>
            </w:pP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618643"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 In your understanding, is any UE with known location and report label a PRU?</w:t>
      </w:r>
    </w:p>
    <w:p w14:paraId="7834DAB9" w14:textId="4E6E1E45" w:rsidR="00487AFB" w:rsidRDefault="00487AFB" w:rsidP="00487AFB">
      <w:pPr>
        <w:pStyle w:val="BodyText"/>
        <w:spacing w:after="0"/>
      </w:pPr>
      <w:r>
        <w:t>Q4: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1C6722A" w14:textId="746B6F37" w:rsidR="00487AFB" w:rsidRDefault="00206AD5" w:rsidP="004A7FB6">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w:t>
            </w:r>
            <w:proofErr w:type="gramStart"/>
            <w:r>
              <w:rPr>
                <w:rFonts w:ascii="Times New Roman" w:hAnsi="Times New Roman"/>
                <w:szCs w:val="20"/>
                <w:lang w:eastAsia="zh-CN"/>
              </w:rPr>
              <w:t>these question</w:t>
            </w:r>
            <w:proofErr w:type="gramEnd"/>
            <w:r>
              <w:rPr>
                <w:rFonts w:ascii="Times New Roman" w:hAnsi="Times New Roman"/>
                <w:szCs w:val="20"/>
                <w:lang w:eastAsia="zh-CN"/>
              </w:rPr>
              <w:t xml:space="preserve">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BodyText"/>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BodyText"/>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lastRenderedPageBreak/>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BodyText"/>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w:t>
            </w:r>
            <w:proofErr w:type="spellStart"/>
            <w:r w:rsidR="009B3D02">
              <w:t>ToA</w:t>
            </w:r>
            <w:proofErr w:type="spellEnd"/>
            <w:r w:rsidR="009B3D02">
              <w:t xml:space="preserve"> or LOS/NLOS indication, </w:t>
            </w:r>
            <w:r w:rsidR="003D28D3">
              <w:t xml:space="preserve">at least the </w:t>
            </w:r>
            <w:proofErr w:type="spellStart"/>
            <w:r w:rsidR="003D28D3">
              <w:t>ToA</w:t>
            </w:r>
            <w:proofErr w:type="spellEnd"/>
            <w:r w:rsidR="003D28D3">
              <w:t xml:space="preserve">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61B3DA0" w14:textId="77777777" w:rsidR="00A872DB" w:rsidRDefault="006F6DB5" w:rsidP="00780AC7">
            <w:pPr>
              <w:pStyle w:val="BodyText"/>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BodyText"/>
              <w:spacing w:after="0"/>
              <w:rPr>
                <w:rFonts w:ascii="Times New Roman" w:hAnsi="Times New Roman"/>
                <w:szCs w:val="20"/>
                <w:lang w:eastAsia="zh-CN"/>
              </w:rPr>
            </w:pPr>
          </w:p>
          <w:p w14:paraId="4A712CBB" w14:textId="55BCE49E" w:rsidR="00386274" w:rsidRDefault="00386274" w:rsidP="00780AC7">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BodyText"/>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BodyText"/>
              <w:spacing w:after="0"/>
              <w:rPr>
                <w:rFonts w:ascii="Times New Roman" w:hAnsi="Times New Roman"/>
                <w:szCs w:val="20"/>
                <w:lang w:eastAsia="zh-CN"/>
              </w:rPr>
            </w:pPr>
          </w:p>
        </w:tc>
      </w:tr>
      <w:tr w:rsidR="0045759E" w14:paraId="06AA2E92" w14:textId="77777777" w:rsidTr="00815D6A">
        <w:trPr>
          <w:trHeight w:val="339"/>
        </w:trPr>
        <w:tc>
          <w:tcPr>
            <w:tcW w:w="1871" w:type="dxa"/>
          </w:tcPr>
          <w:p w14:paraId="32BA9C13"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024C62"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F393061"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1001DED8"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32CEC3A2"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Perform DL location measurements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r>
              <w:rPr>
                <w:rFonts w:ascii="Times New Roman" w:hAnsi="Times New Roman"/>
                <w:szCs w:val="20"/>
                <w:lang w:eastAsia="zh-CN"/>
              </w:rPr>
              <w:t>);</w:t>
            </w:r>
          </w:p>
          <w:p w14:paraId="4133FC69"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Transmit SRS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02672AD4"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4AE2C2F5" w14:textId="77777777" w:rsidR="0045759E" w:rsidRDefault="0045759E" w:rsidP="00815D6A">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785E16D5"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4C9ED473"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new DL measurement, then it’s FFS if a PRU can report it. </w:t>
            </w:r>
          </w:p>
          <w:p w14:paraId="04492F59" w14:textId="77777777" w:rsidR="0045759E" w:rsidRDefault="0045759E" w:rsidP="0045759E">
            <w:pPr>
              <w:pStyle w:val="BodyText"/>
              <w:numPr>
                <w:ilvl w:val="0"/>
                <w:numId w:val="58"/>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45759E" w14:paraId="1ABE2C61" w14:textId="77777777" w:rsidTr="00780AC7">
        <w:trPr>
          <w:trHeight w:val="339"/>
        </w:trPr>
        <w:tc>
          <w:tcPr>
            <w:tcW w:w="1871" w:type="dxa"/>
          </w:tcPr>
          <w:p w14:paraId="6ABC4A79" w14:textId="2B26D839" w:rsidR="0045759E"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B336D19" w14:textId="77777777" w:rsidR="00D132F4"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t xml:space="preserve">@Ericsson </w:t>
            </w:r>
            <w:r w:rsidR="00D132F4">
              <w:rPr>
                <w:rFonts w:ascii="Times New Roman" w:hAnsi="Times New Roman"/>
                <w:szCs w:val="20"/>
                <w:lang w:eastAsia="zh-CN"/>
              </w:rPr>
              <w:t xml:space="preserve">  </w:t>
            </w:r>
          </w:p>
          <w:p w14:paraId="5482031C" w14:textId="0F72EACB" w:rsidR="0045759E" w:rsidRDefault="005A64D1" w:rsidP="00780AC7">
            <w:pPr>
              <w:pStyle w:val="BodyText"/>
              <w:spacing w:after="0"/>
              <w:rPr>
                <w:rFonts w:ascii="Times New Roman" w:hAnsi="Times New Roman"/>
                <w:szCs w:val="20"/>
                <w:lang w:eastAsia="zh-CN"/>
              </w:rPr>
            </w:pPr>
            <w:r>
              <w:rPr>
                <w:rFonts w:ascii="Times New Roman" w:hAnsi="Times New Roman"/>
                <w:szCs w:val="20"/>
                <w:lang w:eastAsia="zh-CN"/>
              </w:rPr>
              <w:t xml:space="preserve">A </w:t>
            </w:r>
            <w:r w:rsidR="00264E6E">
              <w:rPr>
                <w:rFonts w:ascii="Times New Roman" w:hAnsi="Times New Roman"/>
                <w:szCs w:val="20"/>
                <w:lang w:eastAsia="zh-CN"/>
              </w:rPr>
              <w:t xml:space="preserve">clarification </w:t>
            </w:r>
            <w:r>
              <w:rPr>
                <w:rFonts w:ascii="Times New Roman" w:hAnsi="Times New Roman"/>
                <w:szCs w:val="20"/>
                <w:lang w:eastAsia="zh-CN"/>
              </w:rPr>
              <w:t xml:space="preserve">question for better understanding “A UE needs to do (b)(c) also to be a PRU”. </w:t>
            </w:r>
            <w:r w:rsidR="00815D6A">
              <w:rPr>
                <w:rFonts w:ascii="Times New Roman" w:hAnsi="Times New Roman"/>
                <w:szCs w:val="20"/>
                <w:lang w:eastAsia="zh-CN"/>
              </w:rPr>
              <w:t xml:space="preserve">If I understand correctly, </w:t>
            </w:r>
            <w:r>
              <w:rPr>
                <w:rFonts w:ascii="Times New Roman" w:hAnsi="Times New Roman"/>
                <w:szCs w:val="20"/>
                <w:lang w:eastAsia="zh-CN"/>
              </w:rPr>
              <w:t>you mean that a UE doesn’t do (b) (c) is not a PRU</w:t>
            </w:r>
            <w:r w:rsidR="00815D6A">
              <w:rPr>
                <w:rFonts w:ascii="Times New Roman" w:hAnsi="Times New Roman"/>
                <w:szCs w:val="20"/>
                <w:lang w:eastAsia="zh-CN"/>
              </w:rPr>
              <w:t>.</w:t>
            </w:r>
            <w:r>
              <w:rPr>
                <w:rFonts w:ascii="Times New Roman" w:hAnsi="Times New Roman"/>
                <w:szCs w:val="20"/>
                <w:lang w:eastAsia="zh-CN"/>
              </w:rPr>
              <w:t xml:space="preserve"> If so, does this proposal suggest to focus on a UE not doing any positioning operations for the data collection of AI-based positioning model training?  </w:t>
            </w:r>
          </w:p>
        </w:tc>
      </w:tr>
      <w:tr w:rsidR="00817A82" w14:paraId="2AD774F2" w14:textId="77777777" w:rsidTr="00780AC7">
        <w:trPr>
          <w:trHeight w:val="339"/>
        </w:trPr>
        <w:tc>
          <w:tcPr>
            <w:tcW w:w="1871" w:type="dxa"/>
          </w:tcPr>
          <w:p w14:paraId="546B25D7" w14:textId="247011B3"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A63BF6A"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5FB338F9"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799D7ED9" w14:textId="77777777"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w:t>
            </w:r>
            <w:proofErr w:type="spellStart"/>
            <w:r>
              <w:rPr>
                <w:rFonts w:ascii="Times New Roman" w:hAnsi="Times New Roman"/>
                <w:szCs w:val="20"/>
                <w:lang w:eastAsia="zh-CN"/>
              </w:rPr>
              <w:t>known</w:t>
            </w:r>
            <w:proofErr w:type="spellEnd"/>
            <w:r>
              <w:rPr>
                <w:rFonts w:ascii="Times New Roman" w:hAnsi="Times New Roman"/>
                <w:szCs w:val="20"/>
                <w:lang w:eastAsia="zh-CN"/>
              </w:rPr>
              <w:t xml:space="preserve"> his location, but just to the data collector, such UE should be within its intended area. </w:t>
            </w:r>
          </w:p>
          <w:p w14:paraId="2D979262" w14:textId="2A18353B"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lastRenderedPageBreak/>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lastRenderedPageBreak/>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Generally fine, but for first one, there could be some configuration and signaling from others to have with the validity check, </w:t>
            </w:r>
            <w:proofErr w:type="gramStart"/>
            <w:r>
              <w:rPr>
                <w:rFonts w:ascii="Times New Roman" w:hAnsi="Times New Roman"/>
                <w:szCs w:val="20"/>
                <w:lang w:eastAsia="zh-CN"/>
              </w:rPr>
              <w:t>thus  suggested</w:t>
            </w:r>
            <w:proofErr w:type="gramEnd"/>
            <w:r>
              <w:rPr>
                <w:rFonts w:ascii="Times New Roman" w:hAnsi="Times New Roman"/>
                <w:szCs w:val="20"/>
                <w:lang w:eastAsia="zh-CN"/>
              </w:rPr>
              <w:t xml:space="preserve">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w:t>
      </w:r>
      <w:r>
        <w:rPr>
          <w:lang w:val="en-GB"/>
        </w:rPr>
        <w:lastRenderedPageBreak/>
        <w:t>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proofErr w:type="gramStart"/>
            <w:r>
              <w:rPr>
                <w:rFonts w:hint="eastAsia"/>
                <w:lang w:eastAsia="zh-CN"/>
              </w:rPr>
              <w:t>Thanks</w:t>
            </w:r>
            <w:proofErr w:type="gramEnd"/>
            <w:r>
              <w:rPr>
                <w:rFonts w:hint="eastAsia"/>
                <w:lang w:eastAsia="zh-CN"/>
              </w:rPr>
              <w:t xml:space="preserve">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proofErr w:type="spellStart"/>
            <w:r w:rsidRPr="009A1955">
              <w:rPr>
                <w:rFonts w:ascii="Times New Roman" w:hAnsi="Times New Roman"/>
                <w:szCs w:val="20"/>
                <w:lang w:eastAsia="zh-CN"/>
              </w:rPr>
              <w:t>InterDigital</w:t>
            </w:r>
            <w:proofErr w:type="spellEnd"/>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w:t>
            </w:r>
            <w:r w:rsidRPr="00600C08">
              <w:rPr>
                <w:rFonts w:asciiTheme="minorHAnsi" w:hAnsiTheme="minorHAnsi" w:cstheme="minorHAnsi"/>
                <w:lang w:eastAsia="zh-CN"/>
              </w:rPr>
              <w:lastRenderedPageBreak/>
              <w:t xml:space="preserve">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lastRenderedPageBreak/>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it needs to derive channel observations/measurement as model input for inference. For instance, at least, PRS configuration for UE to measure is need. As in Rel-16/17, PRS configuration is part of assistance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If companies think no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lastRenderedPageBreak/>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Heading5"/>
              <w:outlineLvl w:val="4"/>
              <w:rPr>
                <w:sz w:val="18"/>
                <w:lang w:eastAsia="zh-CN"/>
              </w:rPr>
            </w:pPr>
            <w:r w:rsidRPr="00D3498C">
              <w:rPr>
                <w:sz w:val="18"/>
                <w:highlight w:val="cyan"/>
                <w:lang w:eastAsia="zh-CN"/>
              </w:rPr>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ListParagraph"/>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ListParagraph"/>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lastRenderedPageBreak/>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BodyText"/>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BodyText"/>
              <w:spacing w:after="0"/>
              <w:rPr>
                <w:rFonts w:ascii="Times New Roman" w:eastAsiaTheme="minorEastAsia" w:hAnsi="Times New Roman"/>
                <w:szCs w:val="20"/>
                <w:lang w:eastAsia="ko-KR"/>
              </w:rPr>
            </w:pPr>
            <w:r w:rsidRPr="00E4476B">
              <w:rPr>
                <w:rFonts w:ascii="Times New Roman" w:hAnsi="Times New Roman" w:hint="eastAsia"/>
                <w:szCs w:val="20"/>
                <w:lang w:eastAsia="zh-CN"/>
              </w:rPr>
              <w:lastRenderedPageBreak/>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45759E" w14:paraId="5569E0BA" w14:textId="77777777" w:rsidTr="0045759E">
        <w:trPr>
          <w:trHeight w:val="339"/>
        </w:trPr>
        <w:tc>
          <w:tcPr>
            <w:tcW w:w="1871" w:type="dxa"/>
          </w:tcPr>
          <w:p w14:paraId="4C9DB8ED" w14:textId="77777777" w:rsidR="0045759E" w:rsidRDefault="0045759E" w:rsidP="00815D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CC4778" w14:textId="77777777" w:rsidR="0045759E" w:rsidRPr="00742038" w:rsidRDefault="0045759E" w:rsidP="00815D6A">
            <w:pPr>
              <w:pStyle w:val="ListParagraph"/>
              <w:numPr>
                <w:ilvl w:val="0"/>
                <w:numId w:val="28"/>
              </w:numPr>
              <w:rPr>
                <w:rFonts w:asciiTheme="minorHAnsi" w:hAnsiTheme="minorHAnsi" w:cstheme="minorHAnsi"/>
                <w:lang w:eastAsia="zh-CN"/>
              </w:rPr>
            </w:pPr>
            <w:r w:rsidRPr="00742038">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sidRPr="00742038">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sidRPr="00742038">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sidRPr="00742038">
              <w:rPr>
                <w:rFonts w:asciiTheme="minorHAnsi" w:hAnsiTheme="minorHAnsi" w:cstheme="minorHAnsi"/>
                <w:sz w:val="20"/>
                <w:szCs w:val="20"/>
                <w:lang w:eastAsia="zh-CN"/>
              </w:rPr>
              <w:t>”</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w:t>
            </w:r>
            <w:r w:rsidRPr="00742038">
              <w:rPr>
                <w:rFonts w:asciiTheme="minorHAnsi" w:hAnsiTheme="minorHAnsi" w:cstheme="minorHAnsi"/>
                <w:sz w:val="20"/>
                <w:szCs w:val="20"/>
                <w:lang w:eastAsia="zh-CN"/>
              </w:rPr>
              <w:t>Relative Time of Arrival</w:t>
            </w:r>
            <w:r>
              <w:rPr>
                <w:rFonts w:asciiTheme="minorHAnsi" w:hAnsiTheme="minorHAnsi" w:cstheme="minorHAnsi"/>
                <w:sz w:val="20"/>
                <w:szCs w:val="20"/>
                <w:lang w:eastAsia="zh-CN"/>
              </w:rPr>
              <w:t>) by subtracting a reference time value. This is in fact no difference from legacy positioning method.</w:t>
            </w:r>
          </w:p>
          <w:p w14:paraId="0CDEAB9A" w14:textId="77777777" w:rsidR="0045759E" w:rsidRPr="00742038" w:rsidRDefault="0045759E" w:rsidP="00815D6A">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sidRPr="00742038">
              <w:rPr>
                <w:rFonts w:asciiTheme="minorHAnsi" w:hAnsiTheme="minorHAnsi" w:cstheme="minorHAnsi"/>
                <w:sz w:val="20"/>
                <w:szCs w:val="20"/>
                <w:lang w:eastAsia="zh-CN"/>
              </w:rPr>
              <w:t xml:space="preserve">as model output to LMF for UE-assisted and NG-RAN node assisted positioning with </w:t>
            </w:r>
            <w:r w:rsidRPr="00742038">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sidRPr="00742038">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817A82" w14:paraId="42E8616E" w14:textId="77777777" w:rsidTr="0045759E">
        <w:trPr>
          <w:trHeight w:val="339"/>
        </w:trPr>
        <w:tc>
          <w:tcPr>
            <w:tcW w:w="1871" w:type="dxa"/>
          </w:tcPr>
          <w:p w14:paraId="0C76F8EC" w14:textId="6ED9D7A8" w:rsidR="00817A82" w:rsidRDefault="00817A82" w:rsidP="00817A8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381E1F" w14:textId="36334038" w:rsidR="00817A82" w:rsidRPr="00817A82" w:rsidRDefault="00817A82" w:rsidP="00817A82">
            <w:pPr>
              <w:rPr>
                <w:rFonts w:asciiTheme="minorHAnsi" w:hAnsiTheme="minorHAnsi" w:cstheme="minorHAnsi"/>
                <w:lang w:eastAsia="zh-CN"/>
              </w:rPr>
            </w:pPr>
            <w:r w:rsidRPr="00817A82">
              <w:rPr>
                <w:rFonts w:asciiTheme="minorHAnsi" w:eastAsiaTheme="minorEastAsia" w:hAnsiTheme="minorHAnsi" w:cstheme="minorHAnsi"/>
                <w:lang w:eastAsia="ko-KR"/>
              </w:rPr>
              <w:t>We are ok with the proposal generally.</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604AD8">
      <w:pPr>
        <w:pStyle w:val="ListParagraph"/>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Spreadtrum</w:t>
      </w:r>
      <w:proofErr w:type="spellEnd"/>
      <w:r w:rsidR="00082280">
        <w:rPr>
          <w:rFonts w:asciiTheme="minorHAnsi" w:hAnsiTheme="minorHAnsi" w:cstheme="minorHAnsi"/>
          <w:iCs/>
          <w:color w:val="000000"/>
          <w:lang w:eastAsia="zh-CN"/>
        </w:rPr>
        <w:t xml:space="preserve"> Communications</w:t>
      </w:r>
    </w:p>
    <w:p w14:paraId="43B42BAB"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604AD8">
      <w:pPr>
        <w:pStyle w:val="ListParagraph"/>
        <w:numPr>
          <w:ilvl w:val="0"/>
          <w:numId w:val="51"/>
        </w:numPr>
        <w:ind w:left="540" w:hanging="540"/>
        <w:rPr>
          <w:rFonts w:asciiTheme="minorHAnsi" w:hAnsiTheme="minorHAnsi" w:cstheme="minorHAnsi"/>
          <w:iCs/>
          <w:color w:val="000000"/>
          <w:lang w:eastAsia="zh-CN"/>
        </w:rPr>
      </w:pPr>
      <w:hyperlink r:id="rId38"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0FB7" w14:textId="77777777" w:rsidR="00604AD8" w:rsidRDefault="00604AD8">
      <w:pPr>
        <w:spacing w:after="0"/>
      </w:pPr>
      <w:r>
        <w:separator/>
      </w:r>
    </w:p>
  </w:endnote>
  <w:endnote w:type="continuationSeparator" w:id="0">
    <w:p w14:paraId="69CCE7E8" w14:textId="77777777" w:rsidR="00604AD8" w:rsidRDefault="00604A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815D6A" w:rsidRDefault="0081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815D6A" w:rsidRDefault="00815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0090F8D1" w:rsidR="00815D6A" w:rsidRDefault="00815D6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1A20" w14:textId="77777777" w:rsidR="00604AD8" w:rsidRDefault="00604AD8">
      <w:pPr>
        <w:spacing w:after="0"/>
      </w:pPr>
      <w:r>
        <w:separator/>
      </w:r>
    </w:p>
  </w:footnote>
  <w:footnote w:type="continuationSeparator" w:id="0">
    <w:p w14:paraId="6047B250" w14:textId="77777777" w:rsidR="00604AD8" w:rsidRDefault="00604A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815D6A" w:rsidRDefault="00815D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51F60"/>
    <w:multiLevelType w:val="multilevel"/>
    <w:tmpl w:val="9BC079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4" w15:restartNumberingAfterBreak="0">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945"/>
    <w:multiLevelType w:val="hybridMultilevel"/>
    <w:tmpl w:val="D08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1"/>
  </w:num>
  <w:num w:numId="7">
    <w:abstractNumId w:val="24"/>
  </w:num>
  <w:num w:numId="8">
    <w:abstractNumId w:val="40"/>
  </w:num>
  <w:num w:numId="9">
    <w:abstractNumId w:val="32"/>
  </w:num>
  <w:num w:numId="10">
    <w:abstractNumId w:val="37"/>
  </w:num>
  <w:num w:numId="11">
    <w:abstractNumId w:val="42"/>
  </w:num>
  <w:num w:numId="12">
    <w:abstractNumId w:val="50"/>
  </w:num>
  <w:num w:numId="13">
    <w:abstractNumId w:val="28"/>
  </w:num>
  <w:num w:numId="14">
    <w:abstractNumId w:val="31"/>
    <w:lvlOverride w:ilvl="0">
      <w:startOverride w:val="1"/>
    </w:lvlOverride>
  </w:num>
  <w:num w:numId="15">
    <w:abstractNumId w:val="17"/>
    <w:lvlOverride w:ilvl="0">
      <w:startOverride w:val="1"/>
    </w:lvlOverride>
  </w:num>
  <w:num w:numId="16">
    <w:abstractNumId w:val="35"/>
  </w:num>
  <w:num w:numId="17">
    <w:abstractNumId w:val="54"/>
  </w:num>
  <w:num w:numId="18">
    <w:abstractNumId w:val="52"/>
  </w:num>
  <w:num w:numId="19">
    <w:abstractNumId w:val="38"/>
  </w:num>
  <w:num w:numId="20">
    <w:abstractNumId w:val="3"/>
  </w:num>
  <w:num w:numId="21">
    <w:abstractNumId w:val="49"/>
  </w:num>
  <w:num w:numId="22">
    <w:abstractNumId w:val="7"/>
  </w:num>
  <w:num w:numId="23">
    <w:abstractNumId w:val="4"/>
  </w:num>
  <w:num w:numId="24">
    <w:abstractNumId w:val="47"/>
  </w:num>
  <w:num w:numId="25">
    <w:abstractNumId w:val="27"/>
  </w:num>
  <w:num w:numId="26">
    <w:abstractNumId w:val="43"/>
  </w:num>
  <w:num w:numId="27">
    <w:abstractNumId w:val="30"/>
  </w:num>
  <w:num w:numId="28">
    <w:abstractNumId w:val="14"/>
  </w:num>
  <w:num w:numId="29">
    <w:abstractNumId w:val="34"/>
  </w:num>
  <w:num w:numId="30">
    <w:abstractNumId w:val="18"/>
  </w:num>
  <w:num w:numId="31">
    <w:abstractNumId w:val="51"/>
  </w:num>
  <w:num w:numId="32">
    <w:abstractNumId w:val="29"/>
  </w:num>
  <w:num w:numId="33">
    <w:abstractNumId w:val="45"/>
  </w:num>
  <w:num w:numId="34">
    <w:abstractNumId w:val="13"/>
  </w:num>
  <w:num w:numId="35">
    <w:abstractNumId w:val="33"/>
  </w:num>
  <w:num w:numId="36">
    <w:abstractNumId w:val="53"/>
  </w:num>
  <w:num w:numId="37">
    <w:abstractNumId w:val="19"/>
  </w:num>
  <w:num w:numId="38">
    <w:abstractNumId w:val="16"/>
  </w:num>
  <w:num w:numId="39">
    <w:abstractNumId w:val="12"/>
  </w:num>
  <w:num w:numId="40">
    <w:abstractNumId w:val="5"/>
  </w:num>
  <w:num w:numId="41">
    <w:abstractNumId w:val="41"/>
  </w:num>
  <w:num w:numId="42">
    <w:abstractNumId w:val="25"/>
  </w:num>
  <w:num w:numId="43">
    <w:abstractNumId w:val="8"/>
  </w:num>
  <w:num w:numId="44">
    <w:abstractNumId w:val="9"/>
  </w:num>
  <w:num w:numId="45">
    <w:abstractNumId w:val="6"/>
  </w:num>
  <w:num w:numId="46">
    <w:abstractNumId w:val="1"/>
  </w:num>
  <w:num w:numId="47">
    <w:abstractNumId w:val="23"/>
  </w:num>
  <w:num w:numId="48">
    <w:abstractNumId w:val="20"/>
  </w:num>
  <w:num w:numId="49">
    <w:abstractNumId w:val="0"/>
  </w:num>
  <w:num w:numId="50">
    <w:abstractNumId w:val="11"/>
  </w:num>
  <w:num w:numId="51">
    <w:abstractNumId w:val="46"/>
  </w:num>
  <w:num w:numId="52">
    <w:abstractNumId w:val="15"/>
  </w:num>
  <w:num w:numId="53">
    <w:abstractNumId w:val="55"/>
  </w:num>
  <w:num w:numId="54">
    <w:abstractNumId w:val="39"/>
  </w:num>
  <w:num w:numId="55">
    <w:abstractNumId w:val="22"/>
  </w:num>
  <w:num w:numId="56">
    <w:abstractNumId w:val="44"/>
  </w:num>
  <w:num w:numId="57">
    <w:abstractNumId w:val="10"/>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426B" w:rsidRDefault="00E8426B">
      <w:pPr>
        <w:spacing w:line="240" w:lineRule="auto"/>
      </w:pPr>
      <w:r>
        <w:separator/>
      </w:r>
    </w:p>
  </w:endnote>
  <w:endnote w:type="continuationSeparator" w:id="0">
    <w:p w:rsidR="00E8426B" w:rsidRDefault="00E8426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426B" w:rsidRDefault="00E8426B">
      <w:pPr>
        <w:spacing w:after="0"/>
      </w:pPr>
      <w:r>
        <w:separator/>
      </w:r>
    </w:p>
  </w:footnote>
  <w:footnote w:type="continuationSeparator" w:id="0">
    <w:p w:rsidR="00E8426B" w:rsidRDefault="00E8426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0B3973-3469-4FFE-8470-23EF6D398981}">
  <ds:schemaRefs>
    <ds:schemaRef ds:uri="http://schemas.openxmlformats.org/officeDocument/2006/bibliography"/>
  </ds:schemaRefs>
</ds:datastoreItem>
</file>

<file path=customXml/itemProps4.xml><?xml version="1.0" encoding="utf-8"?>
<ds:datastoreItem xmlns:ds="http://schemas.openxmlformats.org/officeDocument/2006/customXml" ds:itemID="{FE29CBD0-619E-4C8C-ABA7-CE5E0FCAFBB1}">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95</Pages>
  <Words>35767</Words>
  <Characters>203876</Characters>
  <Application>Microsoft Office Word</Application>
  <DocSecurity>0</DocSecurity>
  <Lines>1698</Lines>
  <Paragraphs>478</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Qi Xiong/PHY Research &amp; Standard Lab /SRC-Beijing/Staff Engineer/Samsung Electronics</cp:lastModifiedBy>
  <cp:revision>2</cp:revision>
  <cp:lastPrinted>2011-11-09T07:49:00Z</cp:lastPrinted>
  <dcterms:created xsi:type="dcterms:W3CDTF">2022-10-17T04:51:00Z</dcterms:created>
  <dcterms:modified xsi:type="dcterms:W3CDTF">2022-10-17T04:51:00Z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