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estimate timing and/or angle of measurement, e.g. ToA/AoA/AoD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method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w:t>
            </w:r>
            <w:r>
              <w:rPr>
                <w:rFonts w:ascii="Times New Roman" w:hAnsi="Times New Roman"/>
                <w:szCs w:val="20"/>
                <w:lang w:eastAsia="zh-CN"/>
              </w:rPr>
              <w:t xml:space="preserve"> Moderator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BodyText"/>
              <w:spacing w:after="0"/>
              <w:rPr>
                <w:rFonts w:ascii="Times New Roman" w:hAnsi="Times New Roman"/>
                <w:szCs w:val="20"/>
                <w:lang w:eastAsia="zh-CN"/>
              </w:rPr>
            </w:pPr>
            <w:r w:rsidRPr="00B85304">
              <w:rPr>
                <w:rFonts w:ascii="Times New Roman" w:hAnsi="Times New Roman"/>
                <w:szCs w:val="20"/>
                <w:lang w:eastAsia="zh-CN"/>
              </w:rPr>
              <w:t>InterDigital</w:t>
            </w:r>
          </w:p>
        </w:tc>
        <w:tc>
          <w:tcPr>
            <w:tcW w:w="8021" w:type="dxa"/>
          </w:tcPr>
          <w:p w14:paraId="2A92AD23" w14:textId="4E5AE14F" w:rsidR="00B85304" w:rsidRDefault="00B85304" w:rsidP="00B85304">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8B0905">
        <w:trPr>
          <w:trHeight w:val="339"/>
        </w:trPr>
        <w:tc>
          <w:tcPr>
            <w:tcW w:w="1871" w:type="dxa"/>
          </w:tcPr>
          <w:p w14:paraId="1E95EC72" w14:textId="1692B2EF"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w:t>
            </w:r>
            <w:r>
              <w:rPr>
                <w:rFonts w:ascii="Times New Roman" w:hAnsi="Times New Roman"/>
                <w:szCs w:val="20"/>
                <w:lang w:eastAsia="zh-CN"/>
              </w:rPr>
              <w:t xml:space="preserve">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lastRenderedPageBreak/>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8B0905">
        <w:trPr>
          <w:trHeight w:val="339"/>
        </w:trPr>
        <w:tc>
          <w:tcPr>
            <w:tcW w:w="1871" w:type="dxa"/>
          </w:tcPr>
          <w:p w14:paraId="059FEF07" w14:textId="7C465BD7"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63A1878E" w14:textId="323E425D"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17F97" w14:paraId="4F8507FF" w14:textId="77777777" w:rsidTr="008B0905">
        <w:trPr>
          <w:trHeight w:val="339"/>
        </w:trPr>
        <w:tc>
          <w:tcPr>
            <w:tcW w:w="1871" w:type="dxa"/>
          </w:tcPr>
          <w:p w14:paraId="62E5E685" w14:textId="77777777" w:rsidR="00217F97" w:rsidRDefault="00217F97" w:rsidP="00217F97">
            <w:pPr>
              <w:pStyle w:val="BodyText"/>
              <w:spacing w:after="0"/>
              <w:rPr>
                <w:rFonts w:ascii="Times New Roman" w:hAnsi="Times New Roman"/>
                <w:szCs w:val="20"/>
                <w:lang w:eastAsia="zh-CN"/>
              </w:rPr>
            </w:pPr>
          </w:p>
        </w:tc>
        <w:tc>
          <w:tcPr>
            <w:tcW w:w="8021" w:type="dxa"/>
          </w:tcPr>
          <w:p w14:paraId="28C959C1" w14:textId="77777777" w:rsidR="00217F97" w:rsidRDefault="00217F97" w:rsidP="00217F97">
            <w:pPr>
              <w:pStyle w:val="BodyText"/>
              <w:spacing w:after="0"/>
              <w:rPr>
                <w:rFonts w:ascii="Times New Roman" w:hAnsi="Times New Roman"/>
                <w:szCs w:val="20"/>
                <w:lang w:eastAsia="zh-CN"/>
              </w:rPr>
            </w:pP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lastRenderedPageBreak/>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BB621D" w14:textId="77777777"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BodyText"/>
              <w:spacing w:after="0"/>
              <w:rPr>
                <w:rFonts w:ascii="Times New Roman" w:hAnsi="Times New Roman"/>
                <w:szCs w:val="20"/>
                <w:lang w:eastAsia="zh-CN"/>
              </w:rPr>
            </w:pPr>
            <w:r w:rsidRPr="00661617">
              <w:rPr>
                <w:rFonts w:ascii="Times New Roman" w:hAnsi="Times New Roman"/>
                <w:szCs w:val="20"/>
                <w:lang w:eastAsia="zh-CN"/>
              </w:rPr>
              <w:t>InterDigital</w:t>
            </w:r>
          </w:p>
        </w:tc>
        <w:tc>
          <w:tcPr>
            <w:tcW w:w="8021" w:type="dxa"/>
          </w:tcPr>
          <w:p w14:paraId="15F2797A" w14:textId="49E0F7BA" w:rsidR="0056332F" w:rsidRDefault="0056332F" w:rsidP="0056332F">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BodyText"/>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8B0905">
        <w:trPr>
          <w:trHeight w:val="339"/>
        </w:trPr>
        <w:tc>
          <w:tcPr>
            <w:tcW w:w="1871" w:type="dxa"/>
          </w:tcPr>
          <w:p w14:paraId="487F0C37" w14:textId="6BF3B2F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4717F" w14:textId="5E52F7D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lastRenderedPageBreak/>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deprioritize model inference at gNB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BodyText"/>
              <w:spacing w:after="0"/>
              <w:rPr>
                <w:rFonts w:ascii="Times New Roman" w:hAnsi="Times New Roman"/>
                <w:szCs w:val="20"/>
                <w:lang w:eastAsia="zh-CN"/>
              </w:rPr>
            </w:pPr>
            <w:r w:rsidRPr="009955D0">
              <w:rPr>
                <w:rFonts w:ascii="Times New Roman" w:hAnsi="Times New Roman"/>
                <w:szCs w:val="20"/>
                <w:lang w:eastAsia="zh-CN"/>
              </w:rPr>
              <w:t>InterDigital</w:t>
            </w:r>
          </w:p>
        </w:tc>
        <w:tc>
          <w:tcPr>
            <w:tcW w:w="8021" w:type="dxa"/>
          </w:tcPr>
          <w:p w14:paraId="224DD7D7" w14:textId="77777777" w:rsidR="009955D0" w:rsidRDefault="009955D0" w:rsidP="009955D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1F5E25E7" w14:textId="77777777" w:rsidR="009955D0" w:rsidRDefault="009955D0" w:rsidP="009955D0">
            <w:pPr>
              <w:pStyle w:val="Heading5"/>
              <w:outlineLvl w:val="4"/>
              <w:rPr>
                <w:lang w:eastAsia="zh-CN"/>
              </w:rPr>
            </w:pPr>
            <w:r w:rsidRPr="00CC1838">
              <w:rPr>
                <w:highlight w:val="cyan"/>
                <w:lang w:eastAsia="zh-CN"/>
              </w:rPr>
              <w:lastRenderedPageBreak/>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gNB-side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BodyText"/>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8BE48D2" w14:textId="4368B1F1" w:rsidR="00076A32" w:rsidRDefault="00076A32" w:rsidP="009955D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w:t>
            </w:r>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7F51C3">
        <w:trPr>
          <w:trHeight w:val="339"/>
        </w:trPr>
        <w:tc>
          <w:tcPr>
            <w:tcW w:w="1871" w:type="dxa"/>
          </w:tcPr>
          <w:p w14:paraId="22F1D51B" w14:textId="7B753E9F" w:rsidR="00217F97" w:rsidRDefault="00217F97" w:rsidP="007377EA">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289345E" w14:textId="20DD97CE" w:rsidR="00217F97" w:rsidRDefault="00217F97" w:rsidP="009955D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 xml:space="preserve">he sub use cases of positioning accuracy enhancements should include </w:t>
      </w:r>
      <w:r w:rsidR="00DA22FA" w:rsidRPr="00DA22FA">
        <w:rPr>
          <w:rFonts w:ascii="Times New Roman" w:hAnsi="Times New Roman"/>
          <w:szCs w:val="20"/>
          <w:lang w:eastAsia="zh-CN"/>
        </w:rPr>
        <w:lastRenderedPageBreak/>
        <w:t>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to conclude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lastRenderedPageBreak/>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lastRenderedPageBreak/>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(NRPPa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(NRPPa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(NRPPa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lastRenderedPageBreak/>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Full or partial model transfer;</w:t>
            </w:r>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Data size of model transfer;</w:t>
            </w:r>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deployment/update;</w:t>
            </w:r>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Latency and reliability requirements for model transfer;</w:t>
            </w:r>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lastRenderedPageBreak/>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000000"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000000"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lastRenderedPageBreak/>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lastRenderedPageBreak/>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NRPPa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TDoA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lastRenderedPageBreak/>
                    <w:t>assistance signalling and procedure for training data collection :</w:t>
                  </w:r>
                  <w:r w:rsidRPr="0043627F">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Proposal 6: RAN1 to study the condition/methods to recovery/update a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w:t>
      </w:r>
      <w:r>
        <w:rPr>
          <w:lang w:val="en-GB"/>
        </w:rPr>
        <w:lastRenderedPageBreak/>
        <w:t>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r w:rsidRPr="007F51C3">
        <w:rPr>
          <w:rFonts w:asciiTheme="minorHAnsi" w:hAnsiTheme="minorHAnsi" w:cstheme="minorHAnsi"/>
        </w:rPr>
        <w:t>tudy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lastRenderedPageBreak/>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assistance signalling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PRU is already agreed in Rel-17 ePOS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BodyText"/>
              <w:spacing w:after="0"/>
              <w:rPr>
                <w:rFonts w:ascii="Times New Roman" w:hAnsi="Times New Roman"/>
                <w:szCs w:val="20"/>
                <w:lang w:eastAsia="zh-CN"/>
              </w:rPr>
            </w:pPr>
          </w:p>
          <w:p w14:paraId="2AF81615"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BodyText"/>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BodyText"/>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BodyText"/>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signalling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InterDigital</w:t>
            </w:r>
          </w:p>
        </w:tc>
        <w:tc>
          <w:tcPr>
            <w:tcW w:w="8021" w:type="dxa"/>
          </w:tcPr>
          <w:p w14:paraId="09DBC8F0" w14:textId="517D2854" w:rsidR="00657671" w:rsidRP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3EFE4BB0" w14:textId="5ED0CAD3" w:rsidR="00E46B10" w:rsidRDefault="00E46B10" w:rsidP="00C72ADA">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we think it’s inevitable to use UE to obtain training data as well. So we suggest to add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703779">
        <w:trPr>
          <w:trHeight w:val="339"/>
        </w:trPr>
        <w:tc>
          <w:tcPr>
            <w:tcW w:w="1871" w:type="dxa"/>
          </w:tcPr>
          <w:p w14:paraId="70103CEA" w14:textId="2416594C" w:rsidR="00507AC9" w:rsidRDefault="00507AC9" w:rsidP="0065767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he metrics of performance monitoring is based on non-ideal results, e.g,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lastRenderedPageBreak/>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study the condition/methods to recovery/update a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BodyText"/>
              <w:spacing w:after="0"/>
              <w:rPr>
                <w:lang w:eastAsia="zh-CN"/>
              </w:rPr>
            </w:pPr>
            <w:r>
              <w:rPr>
                <w:rFonts w:ascii="Times New Roman" w:hAnsi="Times New Roman"/>
                <w:szCs w:val="20"/>
                <w:lang w:eastAsia="zh-CN"/>
              </w:rPr>
              <w:lastRenderedPageBreak/>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010189" w14:textId="77777777" w:rsidR="00E75DB5" w:rsidRDefault="00E75DB5" w:rsidP="00E75DB5">
            <w:pPr>
              <w:pStyle w:val="BodyText"/>
              <w:spacing w:after="0"/>
              <w:rPr>
                <w:rFonts w:ascii="Times New Roman" w:hAnsi="Times New Roman"/>
                <w:szCs w:val="20"/>
                <w:lang w:eastAsia="zh-CN"/>
              </w:rPr>
            </w:pPr>
          </w:p>
          <w:p w14:paraId="34D640B3"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5FBEE7A" w14:textId="1E441C04" w:rsidR="00D62520" w:rsidRDefault="00D62520" w:rsidP="00D62520">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Pr="00770756">
              <w:rPr>
                <w:rFonts w:ascii="Times New Roman" w:hAnsi="Times New Roman"/>
                <w:szCs w:val="20"/>
                <w:lang w:eastAsia="zh-CN"/>
              </w:rPr>
              <w:t>signalling and procedure</w:t>
            </w:r>
            <w:r>
              <w:rPr>
                <w:rFonts w:ascii="Times New Roman" w:hAnsi="Times New Roman"/>
                <w:szCs w:val="20"/>
                <w:lang w:eastAsia="zh-CN"/>
              </w:rPr>
              <w:t xml:space="preserve"> framework”</w:t>
            </w:r>
          </w:p>
          <w:p w14:paraId="71A1B38B" w14:textId="3145E949" w:rsidR="00186D16" w:rsidRDefault="00D62520" w:rsidP="005D2AE7">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signalling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805C78">
        <w:trPr>
          <w:trHeight w:val="339"/>
        </w:trPr>
        <w:tc>
          <w:tcPr>
            <w:tcW w:w="1871" w:type="dxa"/>
          </w:tcPr>
          <w:p w14:paraId="5F766584" w14:textId="201BCDC4" w:rsidR="00217F97" w:rsidRDefault="00217F97" w:rsidP="0023599B">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2158B6" w14:textId="3DC54FD6" w:rsidR="00217F97" w:rsidRDefault="00217F97" w:rsidP="00C72ADA">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e.g., required assistance signalling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The main sentence says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BodyText"/>
              <w:spacing w:after="0"/>
              <w:rPr>
                <w:rFonts w:ascii="Times New Roman" w:hAnsi="Times New Roman"/>
                <w:szCs w:val="20"/>
                <w:lang w:eastAsia="zh-CN"/>
              </w:rPr>
            </w:pPr>
            <w:r w:rsidRPr="00B33E5A">
              <w:rPr>
                <w:rFonts w:ascii="Times New Roman" w:hAnsi="Times New Roman"/>
                <w:szCs w:val="20"/>
                <w:lang w:eastAsia="zh-CN"/>
              </w:rPr>
              <w:t>InterDigital</w:t>
            </w:r>
          </w:p>
        </w:tc>
        <w:tc>
          <w:tcPr>
            <w:tcW w:w="8021" w:type="dxa"/>
          </w:tcPr>
          <w:p w14:paraId="6329E0FD" w14:textId="307F2EB2" w:rsidR="00B33E5A" w:rsidRDefault="00B33E5A" w:rsidP="00B33E5A">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5607E9F1" w14:textId="5876DB98"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237B50">
        <w:trPr>
          <w:trHeight w:val="339"/>
        </w:trPr>
        <w:tc>
          <w:tcPr>
            <w:tcW w:w="1871" w:type="dxa"/>
          </w:tcPr>
          <w:p w14:paraId="3340837F" w14:textId="7AB971BC"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D016139" w14:textId="0774048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szCs w:val="20"/>
                <w:lang w:eastAsia="zh-CN"/>
              </w:rPr>
              <w:t xml:space="preserve"> the proposal with Nokia/NSB’s revision.</w:t>
            </w: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lastRenderedPageBreak/>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B8D47A" w14:textId="77777777"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BodyText"/>
              <w:spacing w:after="0"/>
              <w:rPr>
                <w:rFonts w:ascii="Times New Roman" w:hAnsi="Times New Roman"/>
                <w:szCs w:val="20"/>
                <w:lang w:eastAsia="zh-CN"/>
              </w:rPr>
            </w:pPr>
            <w:r w:rsidRPr="00EA5C9C">
              <w:rPr>
                <w:rFonts w:ascii="Times New Roman" w:hAnsi="Times New Roman"/>
                <w:szCs w:val="20"/>
                <w:lang w:eastAsia="zh-CN"/>
              </w:rPr>
              <w:t>InterDigital</w:t>
            </w:r>
          </w:p>
        </w:tc>
        <w:tc>
          <w:tcPr>
            <w:tcW w:w="8021" w:type="dxa"/>
          </w:tcPr>
          <w:p w14:paraId="0E4E7486" w14:textId="13D0BDF0" w:rsidR="00E24C72" w:rsidRDefault="00EA5C9C"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68FAF0" w14:textId="77777777" w:rsidR="00E2204C"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4C2A23">
        <w:trPr>
          <w:trHeight w:val="339"/>
        </w:trPr>
        <w:tc>
          <w:tcPr>
            <w:tcW w:w="1871" w:type="dxa"/>
          </w:tcPr>
          <w:p w14:paraId="07D114A8" w14:textId="03F55AAD"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000000"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t>xiaomi</w:t>
      </w:r>
    </w:p>
    <w:p w14:paraId="7B276B67" w14:textId="1655821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t>Faunhofer IIS, Fraunhofer HHI</w:t>
      </w:r>
    </w:p>
    <w:p w14:paraId="4401CFD9" w14:textId="43EBE7F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5B35" w14:textId="77777777" w:rsidR="00F972A0" w:rsidRDefault="00F972A0">
      <w:r>
        <w:separator/>
      </w:r>
    </w:p>
  </w:endnote>
  <w:endnote w:type="continuationSeparator" w:id="0">
    <w:p w14:paraId="388AEF29" w14:textId="77777777" w:rsidR="00F972A0" w:rsidRDefault="00F9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933C66" w:rsidRDefault="00933C6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33C66" w:rsidRDefault="00933C6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45C1AAA3" w:rsidR="00933C66" w:rsidRDefault="00933C6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72ADA">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2ADA">
      <w:rPr>
        <w:rStyle w:val="PageNumber"/>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143B" w14:textId="77777777" w:rsidR="00F972A0" w:rsidRDefault="00F972A0">
      <w:r>
        <w:separator/>
      </w:r>
    </w:p>
  </w:footnote>
  <w:footnote w:type="continuationSeparator" w:id="0">
    <w:p w14:paraId="6035E12C" w14:textId="77777777" w:rsidR="00F972A0" w:rsidRDefault="00F9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933C66" w:rsidRDefault="00933C6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26552420">
    <w:abstractNumId w:val="17"/>
  </w:num>
  <w:num w:numId="2" w16cid:durableId="266012411">
    <w:abstractNumId w:val="34"/>
  </w:num>
  <w:num w:numId="3" w16cid:durableId="17135717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3132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688980">
    <w:abstractNumId w:val="1"/>
  </w:num>
  <w:num w:numId="6" w16cid:durableId="775447232">
    <w:abstractNumId w:val="8"/>
  </w:num>
  <w:num w:numId="7" w16cid:durableId="1765957622">
    <w:abstractNumId w:val="36"/>
  </w:num>
  <w:num w:numId="8" w16cid:durableId="357706964">
    <w:abstractNumId w:val="32"/>
  </w:num>
  <w:num w:numId="9" w16cid:durableId="1843932107">
    <w:abstractNumId w:val="14"/>
  </w:num>
  <w:num w:numId="10" w16cid:durableId="1788743531">
    <w:abstractNumId w:val="45"/>
  </w:num>
  <w:num w:numId="11" w16cid:durableId="1288244400">
    <w:abstractNumId w:val="13"/>
  </w:num>
  <w:num w:numId="12" w16cid:durableId="1023630960">
    <w:abstractNumId w:val="27"/>
  </w:num>
  <w:num w:numId="13" w16cid:durableId="1236404236">
    <w:abstractNumId w:val="19"/>
  </w:num>
  <w:num w:numId="14" w16cid:durableId="145099767">
    <w:abstractNumId w:val="30"/>
  </w:num>
  <w:num w:numId="15" w16cid:durableId="207767993">
    <w:abstractNumId w:val="4"/>
  </w:num>
  <w:num w:numId="16" w16cid:durableId="1135101717">
    <w:abstractNumId w:val="33"/>
  </w:num>
  <w:num w:numId="17" w16cid:durableId="910122481">
    <w:abstractNumId w:val="18"/>
  </w:num>
  <w:num w:numId="18" w16cid:durableId="578637441">
    <w:abstractNumId w:val="9"/>
  </w:num>
  <w:num w:numId="19" w16cid:durableId="1885873629">
    <w:abstractNumId w:val="5"/>
  </w:num>
  <w:num w:numId="20" w16cid:durableId="27294990">
    <w:abstractNumId w:val="38"/>
  </w:num>
  <w:num w:numId="21" w16cid:durableId="193736093">
    <w:abstractNumId w:val="23"/>
  </w:num>
  <w:num w:numId="22" w16cid:durableId="354622499">
    <w:abstractNumId w:val="41"/>
  </w:num>
  <w:num w:numId="23" w16cid:durableId="1247569165">
    <w:abstractNumId w:val="43"/>
  </w:num>
  <w:num w:numId="24" w16cid:durableId="2018993395">
    <w:abstractNumId w:val="2"/>
  </w:num>
  <w:num w:numId="25" w16cid:durableId="1285039181">
    <w:abstractNumId w:val="44"/>
  </w:num>
  <w:num w:numId="26" w16cid:durableId="1983656909">
    <w:abstractNumId w:val="15"/>
  </w:num>
  <w:num w:numId="27" w16cid:durableId="626468075">
    <w:abstractNumId w:val="22"/>
  </w:num>
  <w:num w:numId="28" w16cid:durableId="1025981340">
    <w:abstractNumId w:val="26"/>
  </w:num>
  <w:num w:numId="29" w16cid:durableId="2104566169">
    <w:abstractNumId w:val="11"/>
  </w:num>
  <w:num w:numId="30" w16cid:durableId="995065451">
    <w:abstractNumId w:val="27"/>
    <w:lvlOverride w:ilvl="0">
      <w:startOverride w:val="1"/>
    </w:lvlOverride>
  </w:num>
  <w:num w:numId="31" w16cid:durableId="1966964443">
    <w:abstractNumId w:val="13"/>
    <w:lvlOverride w:ilvl="0">
      <w:startOverride w:val="1"/>
    </w:lvlOverride>
  </w:num>
  <w:num w:numId="32" w16cid:durableId="56435817">
    <w:abstractNumId w:val="24"/>
  </w:num>
  <w:num w:numId="33" w16cid:durableId="617223462">
    <w:abstractNumId w:val="42"/>
  </w:num>
  <w:num w:numId="34" w16cid:durableId="1511602677">
    <w:abstractNumId w:val="10"/>
  </w:num>
  <w:num w:numId="35" w16cid:durableId="1217858124">
    <w:abstractNumId w:val="37"/>
  </w:num>
  <w:num w:numId="36" w16cid:durableId="1625304677">
    <w:abstractNumId w:val="29"/>
  </w:num>
  <w:num w:numId="37" w16cid:durableId="89158826">
    <w:abstractNumId w:val="12"/>
  </w:num>
  <w:num w:numId="38" w16cid:durableId="1634630689">
    <w:abstractNumId w:val="35"/>
  </w:num>
  <w:num w:numId="39" w16cid:durableId="1138378978">
    <w:abstractNumId w:val="40"/>
  </w:num>
  <w:num w:numId="40" w16cid:durableId="542910008">
    <w:abstractNumId w:val="20"/>
  </w:num>
  <w:num w:numId="41" w16cid:durableId="394162650">
    <w:abstractNumId w:val="28"/>
  </w:num>
  <w:num w:numId="42" w16cid:durableId="1043217936">
    <w:abstractNumId w:val="3"/>
  </w:num>
  <w:num w:numId="43" w16cid:durableId="952519648">
    <w:abstractNumId w:val="25"/>
  </w:num>
  <w:num w:numId="44" w16cid:durableId="2038584674">
    <w:abstractNumId w:val="39"/>
  </w:num>
  <w:num w:numId="45" w16cid:durableId="1597710206">
    <w:abstractNumId w:val="6"/>
  </w:num>
  <w:num w:numId="46" w16cid:durableId="1168598248">
    <w:abstractNumId w:val="7"/>
  </w:num>
  <w:num w:numId="47" w16cid:durableId="205291800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A3C22"/>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B419F4D-C9E8-4E90-B8FA-87CCC1DD1B4D}">
  <ds:schemaRefs>
    <ds:schemaRef ds:uri="http://schemas.openxmlformats.org/officeDocument/2006/bibliography"/>
  </ds:schemaRefs>
</ds:datastoreItem>
</file>

<file path=customXml/itemProps4.xml><?xml version="1.0" encoding="utf-8"?>
<ds:datastoreItem xmlns:ds="http://schemas.openxmlformats.org/officeDocument/2006/customXml" ds:itemID="{987399D8-B0E9-40BB-9954-5E3CF50947D1}">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47</Pages>
  <Words>19102</Words>
  <Characters>108886</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Xingqin Lin</cp:lastModifiedBy>
  <cp:revision>3</cp:revision>
  <cp:lastPrinted>2011-11-09T07:49:00Z</cp:lastPrinted>
  <dcterms:created xsi:type="dcterms:W3CDTF">2022-10-10T21:33:00Z</dcterms:created>
  <dcterms:modified xsi:type="dcterms:W3CDTF">2022-10-10T22:01:00Z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