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9C5C" w14:textId="77777777" w:rsidR="009701CA" w:rsidRDefault="009A06B8" w:rsidP="00921289">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48C46909" w14:textId="77777777" w:rsidR="009701CA" w:rsidRDefault="009A06B8">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SimSun"/>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3C199A1C" w:rsidR="009701CA" w:rsidRDefault="009A06B8">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proofErr w:type="spellStart"/>
            <w:r>
              <w:rPr>
                <w:rFonts w:eastAsia="SimSun"/>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SimSun"/>
                <w:smallCaps/>
                <w:lang w:eastAsia="zh-CN"/>
              </w:rPr>
            </w:pPr>
            <w:r>
              <w:rPr>
                <w:rFonts w:eastAsia="SimSun"/>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SimSun"/>
                <w:b/>
                <w:i/>
                <w:kern w:val="2"/>
                <w:szCs w:val="22"/>
                <w:lang w:eastAsia="zh-CN"/>
              </w:rPr>
            </w:pPr>
            <w:r>
              <w:rPr>
                <w:rStyle w:val="40"/>
                <w:rFonts w:eastAsia="SimSun"/>
                <w:b/>
                <w:bCs w:val="0"/>
                <w:i/>
                <w:iCs/>
                <w:u w:val="single"/>
              </w:rPr>
              <w:t>Proposal 2.1b:</w:t>
            </w:r>
            <w:r>
              <w:rPr>
                <w:rFonts w:eastAsia="SimSun"/>
                <w:b/>
                <w:i/>
                <w:kern w:val="2"/>
                <w:szCs w:val="22"/>
                <w:lang w:eastAsia="zh-CN"/>
              </w:rPr>
              <w:t xml:space="preserve"> </w:t>
            </w:r>
            <w:r w:rsidR="007F1BAC">
              <w:rPr>
                <w:rFonts w:eastAsia="SimSun"/>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SimSun"/>
                <w:b/>
                <w:i/>
                <w:color w:val="0070C0"/>
                <w:kern w:val="2"/>
                <w:szCs w:val="20"/>
                <w:lang w:eastAsia="zh-CN"/>
              </w:rPr>
            </w:pPr>
            <w:r w:rsidRPr="00305BB1">
              <w:rPr>
                <w:rFonts w:eastAsia="SimSun"/>
                <w:b/>
                <w:i/>
                <w:color w:val="0070C0"/>
                <w:kern w:val="2"/>
                <w:szCs w:val="20"/>
                <w:lang w:eastAsia="zh-CN"/>
              </w:rPr>
              <w:t>Alt 3 is not precluded</w:t>
            </w:r>
            <w:r w:rsidR="00592FDC">
              <w:rPr>
                <w:rFonts w:eastAsia="SimSun"/>
                <w:b/>
                <w:i/>
                <w:color w:val="0070C0"/>
                <w:kern w:val="2"/>
                <w:szCs w:val="20"/>
                <w:lang w:eastAsia="zh-CN"/>
              </w:rPr>
              <w:t xml:space="preserve"> and still can be discussed</w:t>
            </w:r>
            <w:r w:rsidR="000E43CE" w:rsidRPr="00305BB1">
              <w:rPr>
                <w:rFonts w:eastAsia="SimSun"/>
                <w:b/>
                <w:i/>
                <w:color w:val="0070C0"/>
                <w:kern w:val="2"/>
                <w:szCs w:val="20"/>
                <w:lang w:eastAsia="zh-CN"/>
              </w:rPr>
              <w:t>.</w:t>
            </w:r>
            <w:r w:rsidRPr="00305BB1">
              <w:rPr>
                <w:rFonts w:eastAsia="SimSun"/>
                <w:b/>
                <w:i/>
                <w:color w:val="0070C0"/>
                <w:kern w:val="2"/>
                <w:szCs w:val="20"/>
                <w:lang w:eastAsia="zh-CN"/>
              </w:rPr>
              <w:t xml:space="preserve"> </w:t>
            </w:r>
            <w:r w:rsidR="000E43CE" w:rsidRPr="00305BB1">
              <w:rPr>
                <w:rFonts w:eastAsia="SimSun"/>
                <w:b/>
                <w:i/>
                <w:color w:val="0070C0"/>
                <w:kern w:val="2"/>
                <w:szCs w:val="20"/>
                <w:lang w:eastAsia="zh-CN"/>
              </w:rPr>
              <w:t xml:space="preserve">It still can be evaluated under </w:t>
            </w:r>
            <w:r w:rsidR="000E43CE" w:rsidRPr="00305BB1">
              <w:rPr>
                <w:rFonts w:eastAsia="SimSun"/>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lang w:eastAsia="zh-CN"/>
              </w:rPr>
            </w:pP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r>
              <w:rPr>
                <w:rFonts w:hint="eastAsia"/>
              </w:rPr>
              <w:lastRenderedPageBreak/>
              <w:t>S</w:t>
            </w:r>
            <w:r>
              <w:t>preadtrum</w:t>
            </w:r>
            <w:proofErr w:type="spell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SimSun"/>
          <w:b/>
          <w:i/>
          <w:kern w:val="2"/>
          <w:szCs w:val="20"/>
          <w:lang w:eastAsia="zh-CN"/>
        </w:rPr>
        <w:lastRenderedPageBreak/>
        <w:t>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4BBA7D28" w:rsidR="009701CA" w:rsidRDefault="00222111">
      <w:pPr>
        <w:pStyle w:val="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 xml:space="preserve">including whether </w:t>
            </w:r>
            <w:r>
              <w:rPr>
                <w:rFonts w:eastAsia="SimSun"/>
                <w:b/>
                <w:i/>
                <w:strike/>
                <w:color w:val="FF0000"/>
                <w:kern w:val="2"/>
                <w:szCs w:val="22"/>
                <w:highlight w:val="yellow"/>
                <w:lang w:eastAsia="zh-CN"/>
              </w:rPr>
              <w:lastRenderedPageBreak/>
              <w:t>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SimSun"/>
                <w:smallCaps/>
                <w:lang w:eastAsia="zh-CN"/>
              </w:rPr>
            </w:pPr>
            <w:r>
              <w:rPr>
                <w:rFonts w:eastAsia="SimSun"/>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SimSun"/>
                <w:smallCaps/>
                <w:color w:val="ED7D31" w:themeColor="accent2"/>
                <w:lang w:eastAsia="zh-CN"/>
              </w:rPr>
            </w:pPr>
            <w:r w:rsidRPr="00776ECE">
              <w:rPr>
                <w:rFonts w:eastAsia="SimSun"/>
                <w:smallCaps/>
                <w:color w:val="ED7D31" w:themeColor="accent2"/>
                <w:lang w:eastAsia="zh-CN"/>
              </w:rPr>
              <w:t>Mod</w:t>
            </w:r>
          </w:p>
        </w:tc>
        <w:tc>
          <w:tcPr>
            <w:tcW w:w="7480" w:type="dxa"/>
          </w:tcPr>
          <w:p w14:paraId="1BDF1B8E" w14:textId="77777777" w:rsidR="00776ECE" w:rsidRPr="008066EE" w:rsidRDefault="00776ECE" w:rsidP="00776ECE">
            <w:pPr>
              <w:pStyle w:val="afa"/>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afa"/>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wei, Intel (only the main bullet)   (3)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SimSun"/>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lastRenderedPageBreak/>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lastRenderedPageBreak/>
              <w:t>I</w:t>
            </w:r>
            <w:r>
              <w:t>DC[6]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A23F0D2" w:rsidR="009701CA" w:rsidRDefault="00C12D16">
      <w:pPr>
        <w:pStyle w:val="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lastRenderedPageBreak/>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proofErr w:type="spellStart"/>
            <w:r>
              <w:rPr>
                <w:rFonts w:eastAsia="SimSun"/>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SimSun"/>
                <w:smallCaps/>
                <w:lang w:eastAsia="zh-CN"/>
              </w:rPr>
            </w:pPr>
            <w:r>
              <w:rPr>
                <w:rFonts w:eastAsia="SimSun"/>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a1"/>
      </w:pPr>
    </w:p>
    <w:p w14:paraId="2E8928E4" w14:textId="77777777" w:rsidR="0018468D" w:rsidRDefault="0018468D" w:rsidP="0018468D">
      <w:pPr>
        <w:spacing w:after="120"/>
      </w:pPr>
    </w:p>
    <w:p w14:paraId="5EF27AAF" w14:textId="53735D75" w:rsidR="0018468D" w:rsidRDefault="0018468D" w:rsidP="0018468D">
      <w:pPr>
        <w:pStyle w:val="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afa"/>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a1"/>
      </w:pPr>
    </w:p>
    <w:p w14:paraId="75D85F2A" w14:textId="77777777" w:rsidR="0018468D" w:rsidRDefault="0018468D" w:rsidP="0018468D">
      <w:pPr>
        <w:pStyle w:val="a1"/>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SimSun"/>
              </w:rPr>
            </w:pPr>
            <w:r>
              <w:rPr>
                <w:rFonts w:eastAsia="SimSun"/>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4B6A472C" w:rsidR="0018468D" w:rsidRPr="007C4F95" w:rsidRDefault="007C4F95" w:rsidP="004E5B1A">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F559F4" w14:textId="3C0BD263" w:rsidR="0018468D" w:rsidRPr="007C4F95" w:rsidRDefault="007C4F95" w:rsidP="004E5B1A">
            <w:pPr>
              <w:rPr>
                <w:rFonts w:eastAsiaTheme="minorEastAsia"/>
                <w:lang w:eastAsia="zh-CN"/>
              </w:rPr>
            </w:pPr>
            <w:r>
              <w:rPr>
                <w:rFonts w:eastAsiaTheme="minorEastAsia" w:hint="eastAsia"/>
                <w:lang w:eastAsia="zh-CN"/>
              </w:rPr>
              <w:t>s</w:t>
            </w:r>
            <w:r>
              <w:rPr>
                <w:rFonts w:eastAsiaTheme="minorEastAsia"/>
                <w:lang w:eastAsia="zh-CN"/>
              </w:rPr>
              <w:t>upport</w:t>
            </w: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8BFD27" w:rsidR="0018468D" w:rsidRDefault="00B70267" w:rsidP="004E5B1A">
            <w:pPr>
              <w:rPr>
                <w:rFonts w:eastAsiaTheme="minorEastAsia"/>
                <w:smallCaps/>
                <w:lang w:eastAsia="zh-CN"/>
              </w:rPr>
            </w:pPr>
            <w:r>
              <w:rPr>
                <w:rFonts w:eastAsiaTheme="minorEastAsia" w:hint="eastAsia"/>
                <w:smallCaps/>
                <w:lang w:eastAsia="zh-CN"/>
              </w:rPr>
              <w:t>X</w:t>
            </w:r>
            <w:r w:rsidR="00FF32F9">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094584A" w14:textId="35B82963" w:rsidR="0018468D" w:rsidRDefault="00B70267" w:rsidP="004E5B1A">
            <w:pPr>
              <w:rPr>
                <w:rFonts w:eastAsiaTheme="minorEastAsia"/>
                <w:lang w:eastAsia="zh-CN"/>
              </w:rPr>
            </w:pPr>
            <w:r>
              <w:rPr>
                <w:rFonts w:eastAsiaTheme="minorEastAsia"/>
                <w:lang w:eastAsia="zh-CN"/>
              </w:rPr>
              <w:t xml:space="preserve">Support </w:t>
            </w:r>
          </w:p>
        </w:tc>
      </w:tr>
      <w:tr w:rsidR="00921289"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41FF8BCB" w:rsidR="00921289" w:rsidRDefault="00921289" w:rsidP="00921289">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848ACE" w14:textId="03A2BC92" w:rsidR="00921289" w:rsidRDefault="00921289" w:rsidP="00921289">
            <w:pPr>
              <w:rPr>
                <w:rFonts w:eastAsia="SimSun"/>
                <w:lang w:eastAsia="zh-CN"/>
              </w:rPr>
            </w:pPr>
            <w:r>
              <w:rPr>
                <w:rFonts w:eastAsia="Yu Mincho" w:hint="eastAsia"/>
                <w:lang w:eastAsia="ja-JP"/>
              </w:rPr>
              <w:t>S</w:t>
            </w:r>
            <w:r>
              <w:rPr>
                <w:rFonts w:eastAsia="Yu Mincho"/>
                <w:lang w:eastAsia="ja-JP"/>
              </w:rPr>
              <w:t>upport the proposal.</w:t>
            </w:r>
          </w:p>
        </w:tc>
      </w:tr>
      <w:tr w:rsidR="00921289"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50B7FB92" w:rsidR="00921289" w:rsidRDefault="00F02A92" w:rsidP="00921289">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597D9B" w14:textId="155358F2" w:rsidR="00921289" w:rsidRDefault="00F02A92" w:rsidP="00921289">
            <w:pPr>
              <w:rPr>
                <w:rFonts w:eastAsia="SimSun"/>
                <w:lang w:eastAsia="zh-CN"/>
              </w:rPr>
            </w:pPr>
            <w:r>
              <w:rPr>
                <w:rFonts w:eastAsia="Malgun Gothic"/>
                <w:lang w:eastAsia="ko-KR"/>
              </w:rPr>
              <w:t>Sorry for our late reply, this proposal is fine for us.</w:t>
            </w:r>
          </w:p>
        </w:tc>
      </w:tr>
    </w:tbl>
    <w:p w14:paraId="292C9627" w14:textId="77777777" w:rsidR="0018468D" w:rsidRDefault="0018468D">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lastRenderedPageBreak/>
              <w:t>Huawei[2]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lastRenderedPageBreak/>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lastRenderedPageBreak/>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lastRenderedPageBreak/>
              <w:t>S</w:t>
            </w:r>
            <w:r>
              <w:t>amsung[27]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lastRenderedPageBreak/>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smallCaps/>
                <w:lang w:eastAsia="zh-CN"/>
              </w:rPr>
            </w:pPr>
            <w:proofErr w:type="spellStart"/>
            <w:r>
              <w:rPr>
                <w:rFonts w:eastAsia="SimSun"/>
                <w:smallCaps/>
                <w:lang w:eastAsia="zh-CN"/>
              </w:rPr>
              <w:t>InterDigital</w:t>
            </w:r>
            <w:proofErr w:type="spellEnd"/>
          </w:p>
        </w:tc>
        <w:tc>
          <w:tcPr>
            <w:tcW w:w="7480" w:type="dxa"/>
          </w:tcPr>
          <w:p w14:paraId="64652CAD" w14:textId="0B670465" w:rsidR="008A07C9" w:rsidRDefault="008A07C9">
            <w:pPr>
              <w:rPr>
                <w:rFonts w:eastAsia="SimSun"/>
                <w:lang w:eastAsia="zh-CN"/>
              </w:rPr>
            </w:pPr>
            <w:r>
              <w:rPr>
                <w:rFonts w:eastAsia="SimSun"/>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w:t>
            </w:r>
            <w:r>
              <w:rPr>
                <w:rFonts w:eastAsia="SimSun"/>
                <w:szCs w:val="20"/>
                <w:lang w:val="en-GB" w:eastAsia="ja-JP"/>
              </w:rPr>
              <w:lastRenderedPageBreak/>
              <w:t>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7"/>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lastRenderedPageBreak/>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 xml:space="preserve">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lastRenderedPageBreak/>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lastRenderedPageBreak/>
              <w:t>D</w:t>
            </w:r>
            <w:r>
              <w:t>CM[28]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t>Q</w:t>
            </w:r>
            <w:r>
              <w:t>C[29]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lastRenderedPageBreak/>
        <w:t xml:space="preserve">Whether to further split L1-RSRP + DL beam ID </w:t>
      </w:r>
      <w:r>
        <w:rPr>
          <w:rFonts w:hint="eastAsia"/>
        </w:rPr>
        <w:t>(</w:t>
      </w:r>
      <w:r>
        <w:t>Alt.4 for Case1, Alt.3 for Case2)  into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lastRenderedPageBreak/>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6"/>
        <w:spacing w:after="120"/>
        <w:rPr>
          <w:lang w:eastAsia="zh-CN"/>
        </w:rPr>
      </w:pPr>
      <w:r>
        <w:rPr>
          <w:lang w:eastAsia="zh-CN"/>
        </w:rPr>
        <w:lastRenderedPageBreak/>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SimSun"/>
              </w:rPr>
            </w:pPr>
            <w:r>
              <w:rPr>
                <w:rFonts w:eastAsia="SimSun"/>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SimSun"/>
                <w:smallCaps/>
                <w:color w:val="ED7D31" w:themeColor="accent2"/>
                <w:lang w:eastAsia="zh-CN"/>
              </w:rPr>
            </w:pPr>
            <w:r w:rsidRPr="00705604">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SimSun"/>
                <w:color w:val="ED7D31" w:themeColor="accent2"/>
                <w:lang w:eastAsia="zh-CN"/>
              </w:rPr>
            </w:pPr>
            <w:r w:rsidRPr="00705604">
              <w:rPr>
                <w:rFonts w:eastAsia="SimSun"/>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lastRenderedPageBreak/>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r>
              <w:t>vivo,CMCC</w:t>
            </w:r>
            <w:proofErr w:type="spell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r>
              <w:t>vivo,CMCC</w:t>
            </w:r>
            <w:proofErr w:type="spell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lastRenderedPageBreak/>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lastRenderedPageBreak/>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r>
              <w:t>vivo,CMCC</w:t>
            </w:r>
            <w:proofErr w:type="spell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r>
              <w:t>vivo,CMCC</w:t>
            </w:r>
            <w:proofErr w:type="spell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SimSun"/>
                <w:smallCaps/>
                <w:color w:val="ED7D31" w:themeColor="accent2"/>
                <w:lang w:eastAsia="zh-CN"/>
              </w:rPr>
            </w:pPr>
            <w:r w:rsidRPr="00F9581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SimSun"/>
                <w:color w:val="ED7D31" w:themeColor="accent2"/>
                <w:lang w:eastAsia="zh-CN"/>
              </w:rPr>
            </w:pPr>
            <w:r w:rsidRPr="00F9581A">
              <w:rPr>
                <w:rFonts w:eastAsia="SimSun"/>
                <w:color w:val="ED7D31" w:themeColor="accent2"/>
                <w:lang w:eastAsia="zh-CN"/>
              </w:rPr>
              <w:t>Companies are encouraged to take the above collection information into account</w:t>
            </w:r>
            <w:r w:rsidR="00F9581A" w:rsidRPr="00F9581A">
              <w:rPr>
                <w:rFonts w:eastAsia="SimSun"/>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6"/>
        <w:spacing w:after="120"/>
        <w:rPr>
          <w:lang w:eastAsia="zh-CN"/>
        </w:rPr>
      </w:pPr>
      <w:r>
        <w:rPr>
          <w:lang w:eastAsia="zh-CN"/>
        </w:rPr>
        <w:t>(Closed)</w:t>
      </w:r>
      <w:r w:rsidR="009A06B8">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sidRPr="008B393C">
              <w:rPr>
                <w:rFonts w:eastAsiaTheme="minorEastAsia"/>
                <w:color w:val="ED7D31" w:themeColor="accent2"/>
                <w:lang w:eastAsia="zh-CN"/>
              </w:rPr>
              <w:lastRenderedPageBreak/>
              <w:t xml:space="preserve">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afa"/>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SimSun"/>
                <w:lang w:eastAsia="zh-CN"/>
              </w:rPr>
            </w:pPr>
            <w:r>
              <w:rPr>
                <w:rFonts w:eastAsia="SimSun"/>
                <w:lang w:eastAsia="zh-CN"/>
              </w:rPr>
              <w:lastRenderedPageBreak/>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proofErr w:type="spellStart"/>
            <w:r w:rsidRPr="008A07C9">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SimSun"/>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lastRenderedPageBreak/>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lastRenderedPageBreak/>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t>H</w:t>
            </w:r>
            <w:r>
              <w:t>uawei[2]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lastRenderedPageBreak/>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lastRenderedPageBreak/>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lastRenderedPageBreak/>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lastRenderedPageBreak/>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lastRenderedPageBreak/>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1CF3D5BA" w:rsidR="009701CA" w:rsidRDefault="00A43922">
      <w:pPr>
        <w:pStyle w:val="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lastRenderedPageBreak/>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lastRenderedPageBreak/>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lastRenderedPageBreak/>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lastRenderedPageBreak/>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lastRenderedPageBreak/>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t>N</w:t>
            </w:r>
            <w:r>
              <w:t>VIDIA[26]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w:t>
            </w:r>
            <w:r>
              <w:rPr>
                <w:i/>
                <w:szCs w:val="20"/>
              </w:rPr>
              <w:lastRenderedPageBreak/>
              <w:t>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lastRenderedPageBreak/>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lastRenderedPageBreak/>
              <w:t>F</w:t>
            </w:r>
            <w:r>
              <w:t>ujitsu[12]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lastRenderedPageBreak/>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lastRenderedPageBreak/>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a"/>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lastRenderedPageBreak/>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t>FUTUREWEI[1]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t>H</w:t>
            </w:r>
            <w:r>
              <w:t>uawei[2]</w:t>
            </w:r>
          </w:p>
        </w:tc>
        <w:tc>
          <w:tcPr>
            <w:tcW w:w="7457" w:type="dxa"/>
            <w:vAlign w:val="center"/>
          </w:tcPr>
          <w:p w14:paraId="670F4971" w14:textId="77777777" w:rsidR="009701CA" w:rsidRDefault="009A06B8">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t>F</w:t>
            </w:r>
            <w:r>
              <w:t>ujitsu[12]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lastRenderedPageBreak/>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lastRenderedPageBreak/>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SimSun"/>
              </w:rPr>
            </w:pPr>
            <w:r>
              <w:rPr>
                <w:rFonts w:eastAsia="SimSun"/>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6FA31C6E" w:rsidR="00873578" w:rsidRDefault="007C4F95" w:rsidP="0087357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47320" w14:textId="68FDCC35" w:rsidR="00873578" w:rsidRPr="007C4F95" w:rsidRDefault="007C4F95" w:rsidP="0087357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747D7" w14:paraId="15873B5A" w14:textId="77777777" w:rsidTr="007B6BF1">
        <w:tc>
          <w:tcPr>
            <w:tcW w:w="1385" w:type="dxa"/>
            <w:tcBorders>
              <w:top w:val="single" w:sz="4" w:space="0" w:color="auto"/>
              <w:left w:val="single" w:sz="4" w:space="0" w:color="auto"/>
              <w:bottom w:val="single" w:sz="4" w:space="0" w:color="auto"/>
              <w:right w:val="single" w:sz="4" w:space="0" w:color="auto"/>
            </w:tcBorders>
          </w:tcPr>
          <w:p w14:paraId="6DF9A3DD" w14:textId="3B47154A" w:rsidR="001747D7" w:rsidRDefault="00FF32F9" w:rsidP="0087357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104DD9" w14:textId="4A1DF482" w:rsidR="001747D7" w:rsidRDefault="001747D7" w:rsidP="00873578">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921289" w14:paraId="6567CAEB" w14:textId="77777777" w:rsidTr="007B6BF1">
        <w:tc>
          <w:tcPr>
            <w:tcW w:w="1385" w:type="dxa"/>
            <w:tcBorders>
              <w:top w:val="single" w:sz="4" w:space="0" w:color="auto"/>
              <w:left w:val="single" w:sz="4" w:space="0" w:color="auto"/>
              <w:bottom w:val="single" w:sz="4" w:space="0" w:color="auto"/>
              <w:right w:val="single" w:sz="4" w:space="0" w:color="auto"/>
            </w:tcBorders>
          </w:tcPr>
          <w:p w14:paraId="526750F0" w14:textId="62704564" w:rsidR="00921289" w:rsidRDefault="00921289" w:rsidP="00921289">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98EA77" w14:textId="5E7A6F53" w:rsidR="00921289" w:rsidRDefault="00921289" w:rsidP="00921289">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lastRenderedPageBreak/>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lastRenderedPageBreak/>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lastRenderedPageBreak/>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lastRenderedPageBreak/>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lastRenderedPageBreak/>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lastRenderedPageBreak/>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w:t>
            </w:r>
            <w:proofErr w:type="gramStart"/>
            <w:r>
              <w:rPr>
                <w:rFonts w:eastAsia="SimSun"/>
                <w:b/>
                <w:i/>
                <w:color w:val="FF0000"/>
                <w:highlight w:val="yellow"/>
                <w:lang w:eastAsia="zh-CN"/>
              </w:rPr>
              <w:t>dB,+</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2AF67CC2" w:rsidR="009701CA" w:rsidRDefault="009140BC">
      <w:pPr>
        <w:pStyle w:val="6"/>
        <w:spacing w:after="120"/>
        <w:rPr>
          <w:lang w:eastAsia="zh-CN"/>
        </w:rPr>
      </w:pPr>
      <w:r>
        <w:rPr>
          <w:lang w:eastAsia="zh-CN"/>
        </w:rPr>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SimSun"/>
                <w:smallCaps/>
                <w:lang w:eastAsia="zh-CN"/>
              </w:rPr>
            </w:pPr>
            <w:r w:rsidRPr="008A3AA2">
              <w:rPr>
                <w:rFonts w:eastAsia="SimSun"/>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lastRenderedPageBreak/>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lastRenderedPageBreak/>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lastRenderedPageBreak/>
              <w:t>S</w:t>
            </w:r>
            <w:r>
              <w:t>amsung[27]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lastRenderedPageBreak/>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lastRenderedPageBreak/>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lastRenderedPageBreak/>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5DD1C524" w:rsidR="009701CA" w:rsidRDefault="00C96839">
      <w:pPr>
        <w:pStyle w:val="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proofErr w:type="gramStart"/>
            <w:r w:rsidR="007B712A" w:rsidRPr="0063189D">
              <w:rPr>
                <w:rFonts w:eastAsia="Malgun Gothic"/>
                <w:b/>
                <w:lang w:eastAsia="ko-KR"/>
              </w:rPr>
              <w:t>study..</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a1"/>
      </w:pPr>
    </w:p>
    <w:p w14:paraId="5D860F0D" w14:textId="77777777" w:rsidR="00207F1D" w:rsidRDefault="00207F1D" w:rsidP="00207F1D">
      <w:pPr>
        <w:pStyle w:val="a1"/>
      </w:pPr>
    </w:p>
    <w:p w14:paraId="7AFC4554" w14:textId="7B4ADFFE" w:rsidR="00207F1D" w:rsidRDefault="00207F1D" w:rsidP="00207F1D">
      <w:pPr>
        <w:pStyle w:val="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SimSun"/>
          <w:b/>
          <w:i/>
          <w:kern w:val="2"/>
          <w:szCs w:val="22"/>
          <w:u w:val="single"/>
          <w:lang w:eastAsia="zh-CN"/>
        </w:rPr>
        <w:t>Proposal 4.4.3.1</w:t>
      </w:r>
      <w:r w:rsidR="00796B08">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a1"/>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SimSun"/>
              </w:rPr>
            </w:pPr>
            <w:r>
              <w:rPr>
                <w:rFonts w:eastAsia="SimSun"/>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2E27B646" w:rsidR="00207F1D" w:rsidRPr="007C4F95" w:rsidRDefault="00FF32F9" w:rsidP="0012243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F11139" w14:textId="6DEC644B" w:rsidR="00207F1D" w:rsidRPr="007C4F95" w:rsidRDefault="00EF1B06" w:rsidP="00EF1B06">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921289"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0040845C"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24B3A2" w14:textId="46225C71"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921289"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71B45E53"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3DC231" w14:textId="127A1CED"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4C664DF2"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921289" w:rsidRDefault="00921289" w:rsidP="00921289">
            <w:pPr>
              <w:autoSpaceDE w:val="0"/>
              <w:autoSpaceDN w:val="0"/>
              <w:adjustRightInd w:val="0"/>
              <w:snapToGrid w:val="0"/>
              <w:spacing w:after="120" w:line="259" w:lineRule="auto"/>
              <w:rPr>
                <w:rFonts w:eastAsia="SimSun"/>
                <w:lang w:eastAsia="zh-CN"/>
              </w:rPr>
            </w:pPr>
          </w:p>
        </w:tc>
      </w:tr>
      <w:tr w:rsidR="00921289"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921289" w:rsidRDefault="00921289" w:rsidP="00921289">
            <w:pPr>
              <w:autoSpaceDE w:val="0"/>
              <w:autoSpaceDN w:val="0"/>
              <w:adjustRightInd w:val="0"/>
              <w:snapToGrid w:val="0"/>
              <w:spacing w:after="120" w:line="259" w:lineRule="auto"/>
              <w:jc w:val="both"/>
              <w:rPr>
                <w:rFonts w:eastAsia="SimSun"/>
                <w:lang w:eastAsia="zh-CN"/>
              </w:rPr>
            </w:pPr>
          </w:p>
        </w:tc>
      </w:tr>
    </w:tbl>
    <w:p w14:paraId="13DE9851" w14:textId="77777777" w:rsidR="00207F1D" w:rsidRDefault="00207F1D">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lastRenderedPageBreak/>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AC47C28" w:rsidR="009701CA" w:rsidRDefault="00796B08">
      <w:pPr>
        <w:pStyle w:val="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proofErr w:type="gramStart"/>
            <w:r w:rsidRPr="0063189D">
              <w:rPr>
                <w:rFonts w:eastAsia="Malgun Gothic"/>
                <w:b/>
                <w:lang w:eastAsia="ko-KR"/>
              </w:rPr>
              <w:t>study..</w:t>
            </w:r>
            <w:proofErr w:type="gramEnd"/>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a1"/>
      </w:pPr>
    </w:p>
    <w:p w14:paraId="73B24107" w14:textId="1875AC4C" w:rsidR="00796B08" w:rsidRDefault="00796B08">
      <w:pPr>
        <w:pStyle w:val="a1"/>
      </w:pPr>
    </w:p>
    <w:p w14:paraId="6E66C6FD" w14:textId="77777777" w:rsidR="00796B08" w:rsidRDefault="00796B08" w:rsidP="00796B08">
      <w:pPr>
        <w:pStyle w:val="a1"/>
      </w:pPr>
    </w:p>
    <w:p w14:paraId="77ECD51D" w14:textId="60DB668D" w:rsidR="00796B08" w:rsidRDefault="00796B08" w:rsidP="00796B08">
      <w:pPr>
        <w:pStyle w:val="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SimSun"/>
          <w:b/>
          <w:i/>
          <w:kern w:val="2"/>
          <w:szCs w:val="22"/>
          <w:u w:val="single"/>
          <w:lang w:eastAsia="zh-CN"/>
        </w:rPr>
        <w:lastRenderedPageBreak/>
        <w:t>Proposal 4.4.3.2</w:t>
      </w:r>
      <w:r w:rsidR="007B5179">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a1"/>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SimSun"/>
              </w:rPr>
            </w:pPr>
            <w:r>
              <w:rPr>
                <w:rFonts w:eastAsia="SimSun"/>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3D9DFC90" w:rsidR="00796B08" w:rsidRDefault="00FF32F9" w:rsidP="0012243F">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C3F07C4" w14:textId="07A34B08" w:rsidR="00796B08" w:rsidRDefault="00026F86" w:rsidP="0012243F">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921289"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501975DE"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ED1693" w14:textId="7BCB9BF6"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21289"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10CC0F60" w:rsidR="00921289" w:rsidRDefault="00F02A92" w:rsidP="00921289">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7CE4D4" w14:textId="1F986B6A" w:rsidR="00921289" w:rsidRDefault="00F02A92" w:rsidP="00921289">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921289"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5974E5C"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B2B17" w14:textId="00D424E0"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146664D0"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921289" w:rsidRDefault="00921289" w:rsidP="00921289">
            <w:pPr>
              <w:overflowPunct w:val="0"/>
              <w:autoSpaceDE w:val="0"/>
              <w:autoSpaceDN w:val="0"/>
              <w:adjustRightInd w:val="0"/>
              <w:spacing w:after="120"/>
              <w:textAlignment w:val="baseline"/>
              <w:rPr>
                <w:rFonts w:eastAsia="SimSun"/>
                <w:lang w:eastAsia="zh-CN"/>
              </w:rPr>
            </w:pPr>
          </w:p>
        </w:tc>
      </w:tr>
      <w:tr w:rsidR="00921289"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921289" w:rsidRDefault="00921289" w:rsidP="00921289">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921289" w:rsidRDefault="00921289" w:rsidP="00921289">
            <w:pPr>
              <w:autoSpaceDE w:val="0"/>
              <w:autoSpaceDN w:val="0"/>
              <w:adjustRightInd w:val="0"/>
              <w:snapToGrid w:val="0"/>
              <w:spacing w:after="120" w:line="259" w:lineRule="auto"/>
              <w:jc w:val="both"/>
              <w:rPr>
                <w:rFonts w:eastAsia="Malgun Gothic"/>
                <w:lang w:eastAsia="ko-KR"/>
              </w:rPr>
            </w:pPr>
          </w:p>
        </w:tc>
      </w:tr>
      <w:tr w:rsidR="00921289"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921289" w:rsidRDefault="00921289" w:rsidP="00921289">
            <w:pPr>
              <w:autoSpaceDE w:val="0"/>
              <w:autoSpaceDN w:val="0"/>
              <w:adjustRightInd w:val="0"/>
              <w:snapToGrid w:val="0"/>
              <w:spacing w:after="120" w:line="259" w:lineRule="auto"/>
              <w:jc w:val="both"/>
              <w:rPr>
                <w:rFonts w:eastAsia="SimSun"/>
                <w:lang w:eastAsia="zh-CN"/>
              </w:rPr>
            </w:pPr>
          </w:p>
        </w:tc>
      </w:tr>
      <w:tr w:rsidR="00921289" w14:paraId="29D1B79E" w14:textId="77777777" w:rsidTr="0012243F">
        <w:tc>
          <w:tcPr>
            <w:tcW w:w="1385" w:type="dxa"/>
          </w:tcPr>
          <w:p w14:paraId="3286B212" w14:textId="1AFB5D6B" w:rsidR="00921289" w:rsidRDefault="00921289" w:rsidP="00921289">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921289" w:rsidRDefault="00921289" w:rsidP="00921289">
            <w:pPr>
              <w:autoSpaceDE w:val="0"/>
              <w:autoSpaceDN w:val="0"/>
              <w:adjustRightInd w:val="0"/>
              <w:snapToGrid w:val="0"/>
              <w:spacing w:after="120" w:line="256" w:lineRule="auto"/>
              <w:jc w:val="both"/>
              <w:rPr>
                <w:rFonts w:eastAsia="Malgun Gothic"/>
                <w:lang w:eastAsia="ko-KR"/>
              </w:rPr>
            </w:pPr>
          </w:p>
        </w:tc>
      </w:tr>
      <w:tr w:rsidR="00921289"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921289" w:rsidRDefault="00921289" w:rsidP="00921289">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921289" w:rsidRDefault="00921289" w:rsidP="00921289">
            <w:pPr>
              <w:autoSpaceDE w:val="0"/>
              <w:autoSpaceDN w:val="0"/>
              <w:adjustRightInd w:val="0"/>
              <w:snapToGrid w:val="0"/>
              <w:spacing w:after="120" w:line="259" w:lineRule="auto"/>
              <w:jc w:val="both"/>
              <w:rPr>
                <w:rFonts w:eastAsia="SimSun"/>
                <w:lang w:eastAsia="zh-CN"/>
              </w:rPr>
            </w:pPr>
          </w:p>
        </w:tc>
      </w:tr>
    </w:tbl>
    <w:p w14:paraId="755F91BC" w14:textId="77777777" w:rsidR="00796B08" w:rsidRDefault="00796B08">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Eventual KPI, e.g., RSRP, throughput, etc.</w:t>
            </w:r>
          </w:p>
          <w:p w14:paraId="27E2969D" w14:textId="77777777" w:rsidR="009701CA" w:rsidRDefault="009A06B8">
            <w:pPr>
              <w:pStyle w:val="a7"/>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lastRenderedPageBreak/>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lastRenderedPageBreak/>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lastRenderedPageBreak/>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t>N</w:t>
            </w:r>
            <w:r>
              <w:t>VIDIA[26]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lastRenderedPageBreak/>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lastRenderedPageBreak/>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t>Q</w:t>
            </w:r>
            <w:r>
              <w:t>C[29]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lastRenderedPageBreak/>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lastRenderedPageBreak/>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69F5CA6A" w:rsidR="00533859" w:rsidRDefault="008A3AA2" w:rsidP="00533859">
      <w:pPr>
        <w:pStyle w:val="6"/>
        <w:spacing w:after="120"/>
        <w:rPr>
          <w:lang w:eastAsia="zh-CN"/>
        </w:rPr>
      </w:pPr>
      <w:r>
        <w:rPr>
          <w:lang w:eastAsia="zh-CN"/>
        </w:rPr>
        <w:lastRenderedPageBreak/>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SimSun"/>
                <w:smallCaps/>
                <w:color w:val="ED7D31" w:themeColor="accent2"/>
                <w:lang w:eastAsia="zh-CN"/>
              </w:rPr>
            </w:pPr>
            <w:r w:rsidRPr="008A3AA2">
              <w:rPr>
                <w:rFonts w:eastAsia="SimSun"/>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lastRenderedPageBreak/>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3ABD3996" w:rsidR="005502B4" w:rsidRDefault="000A6991" w:rsidP="005502B4">
      <w:pPr>
        <w:pStyle w:val="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SimSun"/>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a1"/>
              <w:widowControl w:val="0"/>
              <w:snapToGrid w:val="0"/>
              <w:spacing w:beforeLines="30" w:before="72" w:after="6" w:line="288" w:lineRule="auto"/>
              <w:rPr>
                <w:rFonts w:eastAsia="SimSun"/>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lastRenderedPageBreak/>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lastRenderedPageBreak/>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lastRenderedPageBreak/>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617C1" w14:paraId="6F29C398" w14:textId="77777777">
        <w:tc>
          <w:tcPr>
            <w:tcW w:w="1385" w:type="dxa"/>
          </w:tcPr>
          <w:p w14:paraId="14CB1413" w14:textId="304184CC" w:rsidR="002617C1" w:rsidRDefault="002617C1"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37519758" w14:textId="3BBF9F2B" w:rsidR="002617C1" w:rsidRDefault="002617C1"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want to clarify the definition of “monitor the performance metric”. In our understanding, “monitor the performance metric” means compar</w:t>
            </w:r>
            <w:r w:rsidR="00473BA7">
              <w:rPr>
                <w:rFonts w:eastAsiaTheme="minorEastAsia"/>
                <w:lang w:eastAsia="zh-CN"/>
              </w:rPr>
              <w:t>ing the performance metric with a threshold, but not including the calculation of the performance metric. So, we suggest to add a FFS to Alt 2.</w:t>
            </w:r>
            <w:r>
              <w:rPr>
                <w:rFonts w:eastAsiaTheme="minorEastAsia"/>
                <w:lang w:eastAsia="zh-CN"/>
              </w:rPr>
              <w:t xml:space="preserve"> </w:t>
            </w:r>
          </w:p>
          <w:p w14:paraId="414A010C" w14:textId="30E4FFFC" w:rsidR="004D3222" w:rsidRDefault="004D3222"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5027D1A0" w14:textId="77777777" w:rsidR="004D3222" w:rsidRDefault="004D3222" w:rsidP="00473BA7">
            <w:pPr>
              <w:autoSpaceDE w:val="0"/>
              <w:autoSpaceDN w:val="0"/>
              <w:adjustRightInd w:val="0"/>
              <w:snapToGrid w:val="0"/>
              <w:spacing w:after="120" w:line="259" w:lineRule="auto"/>
              <w:jc w:val="both"/>
              <w:rPr>
                <w:rFonts w:eastAsiaTheme="minorEastAsia"/>
                <w:lang w:eastAsia="zh-CN"/>
              </w:rPr>
            </w:pPr>
          </w:p>
          <w:p w14:paraId="22A1CBFB" w14:textId="77777777" w:rsidR="004D3222" w:rsidRDefault="004D3222" w:rsidP="004D3222">
            <w:pPr>
              <w:pStyle w:val="a"/>
              <w:numPr>
                <w:ilvl w:val="0"/>
                <w:numId w:val="89"/>
              </w:numPr>
              <w:rPr>
                <w:rFonts w:eastAsia="Yu Mincho"/>
                <w:b/>
                <w:i/>
              </w:rPr>
            </w:pPr>
            <w:r>
              <w:rPr>
                <w:rFonts w:hint="eastAsia"/>
                <w:b/>
                <w:i/>
              </w:rPr>
              <w:t>A</w:t>
            </w:r>
            <w:r>
              <w:rPr>
                <w:b/>
                <w:i/>
              </w:rPr>
              <w:t>tl2. NW-side Model monitoring</w:t>
            </w:r>
          </w:p>
          <w:p w14:paraId="341B2264" w14:textId="77777777" w:rsidR="004D3222" w:rsidRDefault="004D3222" w:rsidP="004D322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00337BD" w14:textId="77777777" w:rsidR="004D3222" w:rsidRDefault="004D3222" w:rsidP="004D322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667E063B" w14:textId="77777777" w:rsidR="004D3222" w:rsidRDefault="004D3222" w:rsidP="004D322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DCDE728" w14:textId="5F13E56C" w:rsidR="004D3222" w:rsidRPr="004D3222" w:rsidRDefault="004D3222" w:rsidP="00473BA7">
            <w:pPr>
              <w:autoSpaceDE w:val="0"/>
              <w:autoSpaceDN w:val="0"/>
              <w:adjustRightInd w:val="0"/>
              <w:snapToGrid w:val="0"/>
              <w:spacing w:after="120" w:line="259" w:lineRule="auto"/>
              <w:jc w:val="both"/>
              <w:rPr>
                <w:rFonts w:eastAsiaTheme="minorEastAsia"/>
                <w:lang w:eastAsia="zh-CN"/>
              </w:rPr>
            </w:pP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lastRenderedPageBreak/>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SimSun"/>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lastRenderedPageBreak/>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SimSun"/>
          <w:b/>
          <w:i/>
          <w:kern w:val="2"/>
          <w:szCs w:val="20"/>
          <w:highlight w:val="yellow"/>
          <w:lang w:eastAsia="zh-CN"/>
        </w:rPr>
      </w:pPr>
    </w:p>
    <w:p w14:paraId="49482021" w14:textId="77777777" w:rsidR="009701CA" w:rsidRDefault="009A06B8">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lastRenderedPageBreak/>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sidRPr="001B734B">
        <w:rPr>
          <w:rFonts w:eastAsia="SimSun"/>
          <w:kern w:val="2"/>
          <w:szCs w:val="20"/>
          <w:highlight w:val="yellow"/>
          <w:lang w:eastAsia="zh-CN"/>
        </w:rPr>
        <w:t>(23)</w:t>
      </w:r>
    </w:p>
    <w:p w14:paraId="5C2F8417"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sidRPr="001B734B">
        <w:rPr>
          <w:rFonts w:eastAsia="SimSun"/>
          <w:kern w:val="2"/>
          <w:szCs w:val="20"/>
          <w:highlight w:val="yellow"/>
          <w:lang w:eastAsia="zh-CN"/>
        </w:rPr>
        <w:t>16</w:t>
      </w:r>
      <w:r>
        <w:rPr>
          <w:rFonts w:eastAsia="SimSun"/>
          <w:kern w:val="2"/>
          <w:szCs w:val="20"/>
          <w:lang w:eastAsia="zh-CN"/>
        </w:rPr>
        <w:t xml:space="preserve"> companies. </w:t>
      </w:r>
    </w:p>
    <w:p w14:paraId="25EB4152" w14:textId="77777777" w:rsidR="005B7BF3" w:rsidRDefault="005B7BF3" w:rsidP="005B7BF3">
      <w:pPr>
        <w:widowControl w:val="0"/>
        <w:spacing w:afterLines="50" w:after="120"/>
        <w:jc w:val="both"/>
        <w:rPr>
          <w:rFonts w:eastAsia="SimSun"/>
          <w:kern w:val="2"/>
          <w:szCs w:val="20"/>
          <w:lang w:eastAsia="zh-CN"/>
        </w:rPr>
      </w:pPr>
    </w:p>
    <w:p w14:paraId="4D35ADE5" w14:textId="77777777" w:rsidR="005B7BF3" w:rsidRDefault="005B7BF3" w:rsidP="005B7BF3">
      <w:pPr>
        <w:widowControl w:val="0"/>
        <w:spacing w:afterLines="50" w:after="120"/>
        <w:jc w:val="both"/>
        <w:rPr>
          <w:rFonts w:eastAsia="SimSun"/>
          <w:b/>
          <w:i/>
          <w:kern w:val="2"/>
          <w:szCs w:val="22"/>
          <w:lang w:eastAsia="zh-CN"/>
        </w:rPr>
      </w:pPr>
      <w:r>
        <w:rPr>
          <w:rStyle w:val="40"/>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SimSun"/>
          <w:b/>
          <w:i/>
          <w:kern w:val="2"/>
          <w:szCs w:val="20"/>
          <w:lang w:eastAsia="zh-CN"/>
        </w:rPr>
      </w:pPr>
      <w:r w:rsidRPr="001646E1">
        <w:rPr>
          <w:rFonts w:eastAsia="SimSun"/>
          <w:b/>
          <w:i/>
          <w:kern w:val="2"/>
          <w:szCs w:val="20"/>
          <w:lang w:eastAsia="zh-CN"/>
        </w:rPr>
        <w:t>Defer the discussion on Alt.3 for</w:t>
      </w:r>
      <w:r>
        <w:rPr>
          <w:rFonts w:eastAsia="SimSun"/>
          <w:b/>
          <w:i/>
          <w:kern w:val="2"/>
          <w:szCs w:val="20"/>
          <w:lang w:eastAsia="zh-CN"/>
        </w:rPr>
        <w:t xml:space="preserve"> BM-Case1 and BM-</w:t>
      </w:r>
      <w:r w:rsidRPr="001646E1">
        <w:rPr>
          <w:rFonts w:eastAsia="SimSun"/>
          <w:b/>
          <w:i/>
          <w:kern w:val="2"/>
          <w:szCs w:val="20"/>
          <w:lang w:eastAsia="zh-CN"/>
        </w:rPr>
        <w:t>Case2 to wait</w:t>
      </w:r>
      <w:r>
        <w:rPr>
          <w:rFonts w:eastAsia="SimSun"/>
          <w:b/>
          <w:i/>
          <w:kern w:val="2"/>
          <w:szCs w:val="20"/>
          <w:lang w:eastAsia="zh-CN"/>
        </w:rPr>
        <w:t xml:space="preserve"> for the conclusion/agreement of Agenda item 9.2.1 on whether to support </w:t>
      </w:r>
      <w:r w:rsidRPr="001646E1">
        <w:rPr>
          <w:rFonts w:eastAsia="SimSun"/>
          <w:b/>
          <w:i/>
          <w:kern w:val="2"/>
          <w:szCs w:val="20"/>
          <w:lang w:eastAsia="zh-CN"/>
        </w:rPr>
        <w:t>model transfer for UE-side AI/ML model</w:t>
      </w:r>
      <w:r w:rsidRPr="001646E1">
        <w:rPr>
          <w:rFonts w:eastAsia="SimSun"/>
          <w:b/>
          <w:i/>
          <w:color w:val="FF0000"/>
          <w:kern w:val="2"/>
          <w:szCs w:val="20"/>
          <w:lang w:eastAsia="zh-CN"/>
        </w:rPr>
        <w:t xml:space="preserve"> </w:t>
      </w:r>
      <w:r w:rsidRPr="001646E1">
        <w:rPr>
          <w:rFonts w:eastAsia="SimSun"/>
          <w:b/>
          <w:i/>
          <w:kern w:val="2"/>
          <w:szCs w:val="20"/>
          <w:lang w:eastAsia="zh-CN"/>
        </w:rPr>
        <w:t>or</w:t>
      </w:r>
      <w:r>
        <w:rPr>
          <w:rFonts w:eastAsia="SimSun"/>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lastRenderedPageBreak/>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SimSun"/>
          <w:b/>
          <w:i/>
          <w:kern w:val="2"/>
          <w:szCs w:val="22"/>
          <w:u w:val="single"/>
          <w:lang w:eastAsia="zh-CN"/>
        </w:rPr>
      </w:pPr>
    </w:p>
    <w:p w14:paraId="19743CB8" w14:textId="77777777" w:rsidR="005B7BF3" w:rsidRDefault="005B7BF3" w:rsidP="005B7BF3">
      <w:pPr>
        <w:spacing w:after="120"/>
        <w:rPr>
          <w:rFonts w:eastAsia="SimSun"/>
          <w:kern w:val="2"/>
          <w:szCs w:val="22"/>
          <w:lang w:eastAsia="zh-CN"/>
        </w:rPr>
      </w:pPr>
      <w:r>
        <w:rPr>
          <w:rFonts w:eastAsia="SimSun"/>
          <w:kern w:val="2"/>
          <w:szCs w:val="22"/>
          <w:lang w:eastAsia="zh-CN"/>
        </w:rPr>
        <w:t>Proposal 4.5.1.1d is the same as Proposal 4.5.1.1b</w:t>
      </w:r>
    </w:p>
    <w:p w14:paraId="1B4A2FFE" w14:textId="77777777" w:rsidR="005B7BF3" w:rsidRDefault="005B7BF3" w:rsidP="005B7BF3">
      <w:pPr>
        <w:spacing w:after="120"/>
        <w:rPr>
          <w:rFonts w:eastAsia="SimSun"/>
          <w:kern w:val="2"/>
          <w:szCs w:val="22"/>
          <w:lang w:eastAsia="zh-CN"/>
        </w:rPr>
      </w:pPr>
      <w:r>
        <w:rPr>
          <w:rFonts w:eastAsia="SimSun"/>
          <w:kern w:val="2"/>
          <w:szCs w:val="22"/>
          <w:lang w:eastAsia="zh-CN"/>
        </w:rPr>
        <w:t xml:space="preserve">A note is included in </w:t>
      </w:r>
      <w:r w:rsidRPr="002F12DA">
        <w:rPr>
          <w:rFonts w:eastAsia="SimSun"/>
          <w:kern w:val="2"/>
          <w:szCs w:val="22"/>
          <w:lang w:eastAsia="zh-CN"/>
        </w:rPr>
        <w:t>Proposal 4.5.1.2d</w:t>
      </w:r>
      <w:r>
        <w:rPr>
          <w:rFonts w:eastAsia="SimSun"/>
          <w:kern w:val="2"/>
          <w:szCs w:val="22"/>
          <w:lang w:eastAsia="zh-CN"/>
        </w:rPr>
        <w:t xml:space="preserve"> to address the concern of QC </w:t>
      </w:r>
    </w:p>
    <w:p w14:paraId="081FF240" w14:textId="77777777" w:rsidR="005B7BF3" w:rsidRDefault="005B7BF3" w:rsidP="005B7BF3">
      <w:pPr>
        <w:spacing w:after="120"/>
        <w:rPr>
          <w:rFonts w:eastAsia="SimSun"/>
          <w:b/>
          <w:i/>
          <w:kern w:val="2"/>
          <w:szCs w:val="22"/>
          <w:u w:val="single"/>
          <w:lang w:eastAsia="zh-CN"/>
        </w:rPr>
      </w:pPr>
    </w:p>
    <w:p w14:paraId="4C9D45F5" w14:textId="77777777" w:rsidR="005B7BF3" w:rsidRDefault="005B7BF3" w:rsidP="005B7BF3">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SimSun"/>
          <w:b/>
          <w:i/>
          <w:kern w:val="2"/>
          <w:szCs w:val="22"/>
          <w:u w:val="single"/>
          <w:lang w:eastAsia="zh-CN"/>
        </w:rPr>
      </w:pPr>
    </w:p>
    <w:p w14:paraId="45A4AF6B" w14:textId="77777777" w:rsidR="005B7BF3" w:rsidRDefault="005B7BF3" w:rsidP="005B7BF3">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SimSun"/>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F02A92">
            <w:pPr>
              <w:pStyle w:val="a1"/>
              <w:spacing w:before="40"/>
              <w:rPr>
                <w:lang w:eastAsia="ko-KR"/>
              </w:rPr>
            </w:pPr>
            <w:hyperlink r:id="rId12" w:history="1">
              <w:r w:rsidR="009A06B8">
                <w:rPr>
                  <w:rStyle w:val="af7"/>
                  <w:lang w:eastAsia="ko-KR"/>
                </w:rPr>
                <w:t>jw.kang@lge.com</w:t>
              </w:r>
            </w:hyperlink>
          </w:p>
          <w:p w14:paraId="4924EF64" w14:textId="77777777" w:rsidR="009701CA" w:rsidRDefault="00F02A92">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lastRenderedPageBreak/>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F02A92"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F02A92" w14:paraId="0BB613AC" w14:textId="77777777">
        <w:tc>
          <w:tcPr>
            <w:tcW w:w="2263" w:type="dxa"/>
          </w:tcPr>
          <w:p w14:paraId="76468805" w14:textId="77777777" w:rsidR="009701CA" w:rsidRDefault="009A06B8">
            <w:pPr>
              <w:pStyle w:val="a1"/>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F02A92" w14:paraId="089B1629" w14:textId="77777777">
        <w:tc>
          <w:tcPr>
            <w:tcW w:w="2263" w:type="dxa"/>
          </w:tcPr>
          <w:p w14:paraId="631D630E" w14:textId="77777777" w:rsidR="009701CA" w:rsidRDefault="009701CA">
            <w:pPr>
              <w:pStyle w:val="a1"/>
              <w:spacing w:before="40"/>
              <w:rPr>
                <w:rFonts w:eastAsia="SimSun"/>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SimSun"/>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SimSun"/>
          <w:lang w:eastAsia="zh-CN"/>
        </w:rPr>
      </w:pPr>
    </w:p>
    <w:p w14:paraId="5A846375" w14:textId="77777777" w:rsidR="009701CA" w:rsidRDefault="009701CA">
      <w:pPr>
        <w:pStyle w:val="a1"/>
        <w:rPr>
          <w:rFonts w:eastAsia="SimSun"/>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lastRenderedPageBreak/>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lastRenderedPageBreak/>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a1"/>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C250E" w14:textId="77777777" w:rsidR="00B20D0D" w:rsidRDefault="00B20D0D">
      <w:r>
        <w:separator/>
      </w:r>
    </w:p>
  </w:endnote>
  <w:endnote w:type="continuationSeparator" w:id="0">
    <w:p w14:paraId="4AF70B88" w14:textId="77777777" w:rsidR="00B20D0D" w:rsidRDefault="00B2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00000000"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FCDA4" w14:textId="77777777" w:rsidR="00B20D0D" w:rsidRDefault="00B20D0D">
      <w:r>
        <w:separator/>
      </w:r>
    </w:p>
  </w:footnote>
  <w:footnote w:type="continuationSeparator" w:id="0">
    <w:p w14:paraId="41250007" w14:textId="77777777" w:rsidR="00B20D0D" w:rsidRDefault="00B2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2AEF8" w14:textId="77777777" w:rsidR="00B70267" w:rsidRDefault="00B70267">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32D840-3031-46EE-88EF-8F2B2BBF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57487</Words>
  <Characters>327677</Characters>
  <Application>Microsoft Office Word</Application>
  <DocSecurity>0</DocSecurity>
  <Lines>2730</Lines>
  <Paragraphs>768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2022-10-18T10:30:00Z</dcterms:created>
  <dcterms:modified xsi:type="dcterms:W3CDTF">2022-10-18T10:30:00Z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