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bookmarkStart w:id="4" w:name="_GoBack"/>
      <w:bookmarkEnd w:id="4"/>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8A017F"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7777777" w:rsidR="008A017F" w:rsidRDefault="008A017F">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52C576" w14:textId="77777777" w:rsidR="008A017F" w:rsidRDefault="008A017F">
            <w:pPr>
              <w:autoSpaceDE w:val="0"/>
              <w:autoSpaceDN w:val="0"/>
              <w:adjustRightInd w:val="0"/>
              <w:snapToGrid w:val="0"/>
              <w:spacing w:line="259" w:lineRule="auto"/>
              <w:jc w:val="both"/>
              <w:rPr>
                <w:rFonts w:eastAsiaTheme="minorEastAsia"/>
                <w:lang w:eastAsia="zh-CN"/>
              </w:rPr>
            </w:pP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lastRenderedPageBreak/>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5"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5"/>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6"/>
          </w:p>
          <w:p w14:paraId="216EE597" w14:textId="77777777" w:rsidR="008A017F" w:rsidRDefault="000407EF">
            <w:pPr>
              <w:pStyle w:val="BodyText"/>
              <w:rPr>
                <w:i/>
                <w:iCs/>
                <w:szCs w:val="20"/>
              </w:rPr>
            </w:pPr>
            <w:bookmarkStart w:id="7"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w:t>
      </w:r>
      <w:r>
        <w:lastRenderedPageBreak/>
        <w:t xml:space="preserve">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75224D">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75224D">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8E3058">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8E3058">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8E3058">
            <w:pPr>
              <w:rPr>
                <w:rFonts w:eastAsiaTheme="minorEastAsia"/>
                <w:lang w:eastAsia="zh-CN"/>
              </w:rPr>
            </w:pPr>
          </w:p>
          <w:p w14:paraId="56FCE329" w14:textId="77777777" w:rsidR="00E43427" w:rsidRDefault="00E43427" w:rsidP="008E3058">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8E3058">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8E3058"/>
          <w:p w14:paraId="58CEF5B3" w14:textId="77777777" w:rsidR="00E43427" w:rsidRDefault="00E43427" w:rsidP="008E305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8E3058"/>
          <w:p w14:paraId="30646272" w14:textId="77777777" w:rsidR="00E43427" w:rsidRDefault="00E43427" w:rsidP="008E3058">
            <w:r>
              <w:t xml:space="preserve">We suggest the following update, </w:t>
            </w:r>
          </w:p>
          <w:p w14:paraId="16217E3E" w14:textId="77777777" w:rsidR="00E43427" w:rsidRDefault="00E43427" w:rsidP="008E305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8E3058">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8E3058">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3FD0A410" w14:textId="77777777" w:rsidR="00E43427" w:rsidRPr="00F70CB9" w:rsidRDefault="00E43427" w:rsidP="008E3058">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tc>
      </w:tr>
      <w:tr w:rsidR="00523CAA" w:rsidRPr="00F70CB9" w14:paraId="34CB56D4" w14:textId="77777777" w:rsidTr="00E43427">
        <w:tc>
          <w:tcPr>
            <w:tcW w:w="1385" w:type="dxa"/>
          </w:tcPr>
          <w:p w14:paraId="0CE1BCD8" w14:textId="3C7017A5" w:rsidR="00523CAA" w:rsidRDefault="00523CAA" w:rsidP="008E3058">
            <w:pPr>
              <w:rPr>
                <w:rFonts w:eastAsiaTheme="minorEastAsia"/>
                <w:smallCaps/>
                <w:lang w:eastAsia="zh-CN"/>
              </w:rPr>
            </w:pPr>
            <w:r>
              <w:rPr>
                <w:rFonts w:eastAsiaTheme="minorEastAsia"/>
                <w:smallCaps/>
                <w:lang w:eastAsia="zh-CN"/>
              </w:rPr>
              <w:t>HW/HiSi</w:t>
            </w:r>
          </w:p>
        </w:tc>
        <w:tc>
          <w:tcPr>
            <w:tcW w:w="7480" w:type="dxa"/>
          </w:tcPr>
          <w:p w14:paraId="4B166271" w14:textId="683BD05D" w:rsidR="00523CAA" w:rsidRDefault="00523CAA" w:rsidP="008E3058">
            <w:pPr>
              <w:rPr>
                <w:rFonts w:eastAsiaTheme="minorEastAsia"/>
                <w:lang w:eastAsia="zh-CN"/>
              </w:rPr>
            </w:pPr>
            <w:r>
              <w:rPr>
                <w:rFonts w:eastAsiaTheme="minorEastAsia"/>
                <w:lang w:eastAsia="zh-CN"/>
              </w:rPr>
              <w:t>Support</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lastRenderedPageBreak/>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8"/>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9"/>
          </w:p>
          <w:p w14:paraId="40E6C210" w14:textId="77777777" w:rsidR="008A017F" w:rsidRDefault="000407EF">
            <w:pPr>
              <w:pStyle w:val="Caption"/>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0"/>
          </w:p>
          <w:p w14:paraId="6FAFA438" w14:textId="77777777" w:rsidR="008A017F" w:rsidRDefault="000407EF">
            <w:pPr>
              <w:pStyle w:val="Caption"/>
              <w:spacing w:after="120"/>
              <w:rPr>
                <w:rFonts w:ascii="Times New Roman" w:eastAsia="SimSun"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lastRenderedPageBreak/>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lastRenderedPageBreak/>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lastRenderedPageBreak/>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3"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r>
              <w:rPr>
                <w:rFonts w:hint="eastAsia"/>
              </w:rPr>
              <w:lastRenderedPageBreak/>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lastRenderedPageBreak/>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lastRenderedPageBreak/>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lastRenderedPageBreak/>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7777777" w:rsidR="008A017F" w:rsidRDefault="000407EF">
      <w:pPr>
        <w:pStyle w:val="Heading6"/>
        <w:spacing w:after="120"/>
        <w:rPr>
          <w:lang w:eastAsia="zh-CN"/>
        </w:rPr>
      </w:pPr>
      <w:r>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lastRenderedPageBreak/>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77777777" w:rsidR="008A017F" w:rsidRDefault="000407EF">
      <w:pPr>
        <w:pStyle w:val="Heading6"/>
        <w:spacing w:after="120"/>
        <w:rPr>
          <w:lang w:eastAsia="zh-CN"/>
        </w:rPr>
      </w:pPr>
      <w:r>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w:t>
            </w:r>
            <w:r>
              <w:rPr>
                <w:rFonts w:hint="eastAsia"/>
              </w:rPr>
              <w:lastRenderedPageBreak/>
              <w:t>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lastRenderedPageBreak/>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hint="eastAsia"/>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w:t>
            </w:r>
            <w:r>
              <w:t>s</w:t>
            </w:r>
            <w:r>
              <w:t xml:space="preserve"> the input size to the AI model. Therefore, we think Interpretation</w:t>
            </w:r>
            <w:r>
              <w:t xml:space="preserve"> 2</w:t>
            </w:r>
            <w:r>
              <w:t xml:space="preserve">, should be valid for both </w:t>
            </w:r>
            <w:proofErr w:type="spellStart"/>
            <w:r>
              <w:t>gNB</w:t>
            </w:r>
            <w:proofErr w:type="spellEnd"/>
            <w:r>
              <w:t xml:space="preserve"> and UE side model.</w:t>
            </w:r>
            <w:r>
              <w:t xml:space="preserve"> For the UE side, is the intention with interpretation 1, that more beams of Set B are measured than what are given to the AI model as input?</w:t>
            </w:r>
          </w:p>
        </w:tc>
      </w:tr>
    </w:tbl>
    <w:p w14:paraId="74B1A5E1" w14:textId="77777777" w:rsidR="008A017F" w:rsidRDefault="008A017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6"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6"/>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lastRenderedPageBreak/>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7" w:name="OLE_LINK35"/>
            <w:bookmarkStart w:id="18" w:name="OLE_LINK34"/>
            <w:r>
              <w:rPr>
                <w:rFonts w:eastAsia="SimSun"/>
                <w:szCs w:val="20"/>
                <w:lang w:val="en-GB" w:eastAsia="ja-JP"/>
              </w:rPr>
              <w:t>L1-RSRP measurement based on Set B and the corresponding DL Tx and/or Rx beam ID</w:t>
            </w:r>
            <w:bookmarkEnd w:id="17"/>
            <w:bookmarkEnd w:id="18"/>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9"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9"/>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20"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0"/>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lastRenderedPageBreak/>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 xml:space="preserve">The feasibility of defining a meaningful TX/RX beam shape information </w:t>
            </w:r>
            <w:r>
              <w:rPr>
                <w:rFonts w:eastAsia="SimSun"/>
                <w:i/>
                <w:iCs/>
                <w:kern w:val="2"/>
                <w:szCs w:val="20"/>
                <w:lang w:val="en-GB" w:eastAsia="zh-CN"/>
              </w:rPr>
              <w:lastRenderedPageBreak/>
              <w:t>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lastRenderedPageBreak/>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lastRenderedPageBreak/>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lastRenderedPageBreak/>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lastRenderedPageBreak/>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w:t>
            </w:r>
            <w:r>
              <w:rPr>
                <w:rFonts w:eastAsia="SimSun"/>
                <w:lang w:eastAsia="zh-CN"/>
              </w:rPr>
              <w:lastRenderedPageBreak/>
              <w:t xml:space="preserve">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lastRenderedPageBreak/>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1"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1"/>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lastRenderedPageBreak/>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2"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2"/>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3"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3"/>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lastRenderedPageBreak/>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F31C006" w14:textId="77777777" w:rsidR="008A017F" w:rsidRDefault="000407EF">
            <w:pPr>
              <w:rPr>
                <w:rFonts w:eastAsiaTheme="minorEastAsia"/>
                <w:lang w:eastAsia="zh-CN"/>
              </w:rPr>
            </w:pPr>
            <w:r>
              <w:rPr>
                <w:rFonts w:eastAsia="Malgun Gothic"/>
                <w:lang w:eastAsia="ko-KR"/>
              </w:rPr>
              <w:t>We are ok with other parts.</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75224D">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75224D">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15A22DD" w14:textId="147A2DE6" w:rsidR="00E43427" w:rsidRDefault="00E43427" w:rsidP="00E43427">
            <w:pPr>
              <w:rPr>
                <w:rFonts w:eastAsia="Yu Mincho"/>
                <w:lang w:eastAsia="ja-JP"/>
              </w:rPr>
            </w:pPr>
            <w:r>
              <w:rPr>
                <w:rFonts w:eastAsiaTheme="minorEastAsia"/>
                <w:lang w:eastAsia="zh-CN"/>
              </w:rPr>
              <w:t xml:space="preserve">We think that further clarification on what is refer by assistance information may be needed. We provided our comment in the earlier round, so not repeating here. </w:t>
            </w: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EE2AE4"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77777777" w:rsidR="00EE2AE4" w:rsidRDefault="00EE2AE4" w:rsidP="00EE2AE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828813" w14:textId="77777777" w:rsidR="00EE2AE4" w:rsidRDefault="00EE2AE4" w:rsidP="00EE2AE4">
            <w:pPr>
              <w:rPr>
                <w:rFonts w:eastAsia="Malgun Gothic"/>
                <w:lang w:eastAsia="zh-CN"/>
              </w:rPr>
            </w:pP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w:t>
      </w:r>
      <w:r>
        <w:lastRenderedPageBreak/>
        <w:t xml:space="preserve">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SimSun"/>
                <w:lang w:eastAsia="zh-CN"/>
              </w:rPr>
            </w:pPr>
            <w:r>
              <w:t>Nokia, Ericsson</w:t>
            </w:r>
            <w:r>
              <w:rPr>
                <w:rFonts w:eastAsia="SimSun"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SimSun"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4"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4"/>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HW/HiSi</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lastRenderedPageBreak/>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HW/HiSi</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75224D">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75224D">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lastRenderedPageBreak/>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lastRenderedPageBreak/>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5"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5"/>
          </w:p>
          <w:p w14:paraId="19B92C0A" w14:textId="77777777" w:rsidR="008A017F" w:rsidRDefault="000407EF">
            <w:pPr>
              <w:pStyle w:val="Caption"/>
              <w:spacing w:after="120"/>
              <w:rPr>
                <w:rFonts w:ascii="Times New Roman" w:hAnsi="Times New Roman" w:cs="Times New Roman"/>
                <w:i/>
                <w:iCs/>
              </w:rPr>
            </w:pPr>
            <w:bookmarkStart w:id="26"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6"/>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lastRenderedPageBreak/>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lastRenderedPageBreak/>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lastRenderedPageBreak/>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lastRenderedPageBreak/>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lastRenderedPageBreak/>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lastRenderedPageBreak/>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7"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7"/>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lastRenderedPageBreak/>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lastRenderedPageBreak/>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lastRenderedPageBreak/>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hint="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hint="eastAsia"/>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8"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8"/>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9"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30"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0"/>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w:t>
            </w:r>
            <w:r>
              <w:rPr>
                <w:rFonts w:eastAsia="SimSun"/>
                <w:bCs/>
                <w:kern w:val="2"/>
                <w:szCs w:val="20"/>
                <w:lang w:eastAsia="zh-CN"/>
              </w:rPr>
              <w:lastRenderedPageBreak/>
              <w:t>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1"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1"/>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8"/>
            <w:r>
              <w:rPr>
                <w:rFonts w:ascii="Times New Roman" w:hAnsi="Times New Roman" w:cs="Times New Roman"/>
                <w:b w:val="0"/>
                <w:szCs w:val="20"/>
              </w:rPr>
              <w:t>DL-RS or UL-RS resource set configuration,</w:t>
            </w:r>
            <w:bookmarkEnd w:id="32"/>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69"/>
            <w:r>
              <w:rPr>
                <w:rFonts w:ascii="Times New Roman" w:hAnsi="Times New Roman" w:cs="Times New Roman"/>
                <w:b w:val="0"/>
                <w:szCs w:val="20"/>
              </w:rPr>
              <w:t>signaling for collected assistance information, if justified</w:t>
            </w:r>
            <w:bookmarkEnd w:id="33"/>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0"/>
            <w:r>
              <w:rPr>
                <w:rFonts w:ascii="Times New Roman" w:hAnsi="Times New Roman" w:cs="Times New Roman"/>
                <w:b w:val="0"/>
                <w:szCs w:val="20"/>
              </w:rPr>
              <w:t>signaling and configurations to support UE performing data logging/collection for model training,</w:t>
            </w:r>
            <w:bookmarkEnd w:id="34"/>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1"/>
            <w:r>
              <w:rPr>
                <w:rFonts w:ascii="Times New Roman" w:hAnsi="Times New Roman" w:cs="Times New Roman"/>
                <w:b w:val="0"/>
                <w:szCs w:val="20"/>
              </w:rPr>
              <w:t>signaling and configurations to support UE reporting the collected/logged data to the NW,</w:t>
            </w:r>
            <w:bookmarkEnd w:id="35"/>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6" w:name="_Toc115451772"/>
            <w:r>
              <w:rPr>
                <w:rFonts w:ascii="Times New Roman" w:hAnsi="Times New Roman" w:cs="Times New Roman"/>
                <w:b w:val="0"/>
                <w:szCs w:val="20"/>
              </w:rPr>
              <w:lastRenderedPageBreak/>
              <w:t>signaling for indicating UE capability for data collection.</w:t>
            </w:r>
            <w:bookmarkEnd w:id="36"/>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lastRenderedPageBreak/>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9"/>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lastRenderedPageBreak/>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A417FF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AFD8E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C41B98A" w14:textId="77777777" w:rsidR="008A017F" w:rsidRDefault="000407E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lastRenderedPageBreak/>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F04A07">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F04A07">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F04A07">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F04A07">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8E305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8E3058">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8E3058">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8E3058">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We prefer to remov</w:t>
            </w:r>
            <w:r>
              <w:rPr>
                <w:rFonts w:eastAsia="SimSun"/>
                <w:lang w:eastAsia="zh-CN"/>
              </w:rPr>
              <w:t xml:space="preserve">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w:t>
            </w:r>
            <w:r>
              <w:rPr>
                <w:rFonts w:eastAsia="SimSun"/>
                <w:lang w:eastAsia="zh-CN"/>
              </w:rPr>
              <w:t xml:space="preserve">side model, this can have </w:t>
            </w:r>
            <w:r>
              <w:rPr>
                <w:rFonts w:eastAsia="SimSun"/>
                <w:lang w:eastAsia="zh-CN"/>
              </w:rPr>
              <w:t>impact on the overhead during training</w:t>
            </w:r>
            <w:r>
              <w:rPr>
                <w:rFonts w:eastAsia="SimSun"/>
                <w:lang w:eastAsia="zh-CN"/>
              </w:rPr>
              <w:t xml:space="preserve"> to obtain the label</w:t>
            </w:r>
            <w:r>
              <w:rPr>
                <w:rFonts w:eastAsia="SimSun"/>
                <w:lang w:eastAsia="zh-CN"/>
              </w:rPr>
              <w:t xml:space="preserve">.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w:t>
            </w:r>
            <w:r>
              <w:rPr>
                <w:rFonts w:eastAsia="SimSun"/>
                <w:lang w:eastAsia="zh-CN"/>
              </w:rPr>
              <w:t>RSRPs for all</w:t>
            </w:r>
            <w:r>
              <w:rPr>
                <w:rFonts w:eastAsia="SimSun"/>
                <w:lang w:eastAsia="zh-CN"/>
              </w:rPr>
              <w:t xml:space="preserve"> Set </w:t>
            </w:r>
            <w:proofErr w:type="gramStart"/>
            <w:r>
              <w:rPr>
                <w:rFonts w:eastAsia="SimSun"/>
                <w:lang w:eastAsia="zh-CN"/>
              </w:rPr>
              <w:t>A</w:t>
            </w:r>
            <w:proofErr w:type="gramEnd"/>
            <w:r>
              <w:rPr>
                <w:rFonts w:eastAsia="SimSun"/>
                <w:lang w:eastAsia="zh-CN"/>
              </w:rPr>
              <w:t xml:space="preserve"> are reported during training (larger overhead).  Another method is that </w:t>
            </w:r>
            <w:r>
              <w:rPr>
                <w:rFonts w:eastAsia="SimSun"/>
                <w:lang w:eastAsia="zh-CN"/>
              </w:rPr>
              <w:t xml:space="preserve">RSRPs for Set B </w:t>
            </w:r>
            <w:r>
              <w:rPr>
                <w:rFonts w:eastAsia="SimSun"/>
                <w:lang w:eastAsia="zh-CN"/>
              </w:rPr>
              <w:t>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lastRenderedPageBreak/>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lastRenderedPageBreak/>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lastRenderedPageBreak/>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lastRenderedPageBreak/>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18EE40" w14:textId="77777777" w:rsidR="008A017F"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necessary of this proposal.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D736A9" w14:textId="77777777" w:rsidR="008A017F" w:rsidRDefault="000407EF">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4497FBF" w14:textId="77777777" w:rsidR="008A017F"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tc>
      </w:tr>
      <w:tr w:rsidR="005E5E7A" w14:paraId="44458145" w14:textId="77777777">
        <w:tc>
          <w:tcPr>
            <w:tcW w:w="1385" w:type="dxa"/>
          </w:tcPr>
          <w:p w14:paraId="7CD750D3" w14:textId="77777777" w:rsidR="005E5E7A" w:rsidRDefault="005E5E7A" w:rsidP="0075224D">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75224D">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12DC9F65" w14:textId="707D78B9"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E5E7A" w14:paraId="77820E77" w14:textId="77777777">
        <w:tc>
          <w:tcPr>
            <w:tcW w:w="1385" w:type="dxa"/>
          </w:tcPr>
          <w:p w14:paraId="76318822" w14:textId="77777777" w:rsidR="005E5E7A" w:rsidRDefault="005E5E7A">
            <w:pPr>
              <w:rPr>
                <w:rFonts w:eastAsia="Malgun Gothic"/>
                <w:smallCaps/>
                <w:lang w:eastAsia="ko-KR"/>
              </w:rPr>
            </w:pPr>
          </w:p>
        </w:tc>
        <w:tc>
          <w:tcPr>
            <w:tcW w:w="7480" w:type="dxa"/>
          </w:tcPr>
          <w:p w14:paraId="654086D9" w14:textId="77777777" w:rsidR="005E5E7A" w:rsidRDefault="005E5E7A">
            <w:pPr>
              <w:rPr>
                <w:rFonts w:eastAsia="Malgun Gothic"/>
                <w:bCs/>
                <w:iCs/>
                <w:lang w:eastAsia="ko-KR"/>
              </w:rPr>
            </w:pP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lastRenderedPageBreak/>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lastRenderedPageBreak/>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lastRenderedPageBreak/>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75224D">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w:t>
            </w:r>
            <w:r>
              <w:rPr>
                <w:rFonts w:eastAsia="SimSun"/>
                <w:lang w:eastAsia="zh-CN"/>
              </w:rPr>
              <w:t xml:space="preserve"> only the first </w:t>
            </w:r>
            <w:proofErr w:type="gramStart"/>
            <w:r>
              <w:rPr>
                <w:rFonts w:eastAsia="SimSun"/>
                <w:lang w:eastAsia="zh-CN"/>
              </w:rPr>
              <w:t>bu</w:t>
            </w:r>
            <w:r>
              <w:rPr>
                <w:rFonts w:eastAsia="SimSun"/>
                <w:lang w:eastAsia="zh-CN"/>
              </w:rPr>
              <w:t>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For the second bullet, </w:t>
            </w:r>
            <w:r>
              <w:rPr>
                <w:rFonts w:eastAsia="SimSun"/>
                <w:lang w:eastAsia="zh-CN"/>
              </w:rPr>
              <w:t xml:space="preserve">we agree with Nokia, </w:t>
            </w:r>
            <w:r>
              <w:rPr>
                <w:rFonts w:eastAsia="SimSun"/>
                <w:lang w:eastAsia="zh-CN"/>
              </w:rPr>
              <w:t xml:space="preserve">the examples are too detailed and prior evaluation and discussion would be needed to understand the benefits. We can live with keeping the main part of the </w:t>
            </w:r>
            <w:r>
              <w:rPr>
                <w:rFonts w:eastAsia="SimSun"/>
                <w:lang w:eastAsia="zh-CN"/>
              </w:rPr>
              <w:t>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w:t>
            </w:r>
            <w:r w:rsidRPr="001C2436">
              <w:rPr>
                <w:b/>
                <w:i/>
                <w:strike/>
                <w:highlight w:val="yellow"/>
                <w:lang w:eastAsia="zh-CN"/>
              </w:rPr>
              <w:lastRenderedPageBreak/>
              <w:t xml:space="preserve">RSRP/L1-SINR measurements, </w:t>
            </w:r>
            <w:r w:rsidRPr="001C2436">
              <w:rPr>
                <w:rFonts w:eastAsia="SimSun"/>
                <w:b/>
                <w:i/>
                <w:strike/>
                <w:highlight w:val="yellow"/>
                <w:lang w:eastAsia="zh-CN"/>
              </w:rPr>
              <w:t>measurement imperfection indication (e.g. +- 3dB</w:t>
            </w:r>
            <w:proofErr w:type="gramStart"/>
            <w:r w:rsidRPr="001C2436">
              <w:rPr>
                <w:rFonts w:eastAsia="SimSun"/>
                <w:b/>
                <w:i/>
                <w:strike/>
                <w:highlight w:val="yellow"/>
                <w:lang w:eastAsia="zh-CN"/>
              </w:rPr>
              <w:t>,+</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lastRenderedPageBreak/>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7"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lastRenderedPageBreak/>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7"/>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8"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8"/>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75224D">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75224D">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8E305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8E305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8E305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8E305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75224D">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8E305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8E305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8E3058">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Fine in principle,</w:t>
            </w:r>
            <w:r>
              <w:rPr>
                <w:rFonts w:eastAsia="SimSun"/>
                <w:lang w:eastAsia="zh-CN"/>
              </w:rPr>
              <w:t xml:space="preserve"> except for the </w:t>
            </w:r>
            <w:proofErr w:type="spellStart"/>
            <w:r>
              <w:rPr>
                <w:rFonts w:eastAsia="SimSun"/>
                <w:lang w:eastAsia="zh-CN"/>
              </w:rPr>
              <w:t>the</w:t>
            </w:r>
            <w:proofErr w:type="spellEnd"/>
            <w:r>
              <w:rPr>
                <w:rFonts w:eastAsia="SimSun"/>
                <w:lang w:eastAsia="zh-CN"/>
              </w:rPr>
              <w:t xml:space="preserve"> timestamp</w:t>
            </w:r>
            <w:r>
              <w:rPr>
                <w:rFonts w:eastAsia="SimSun"/>
                <w:lang w:eastAsia="zh-CN"/>
              </w:rPr>
              <w:t>. Also considering the comments from other companies, this</w:t>
            </w:r>
            <w:r>
              <w:rPr>
                <w:rFonts w:eastAsia="SimSun"/>
                <w:lang w:eastAsia="zh-CN"/>
              </w:rPr>
              <w:t xml:space="preserve"> should be FFS at this stage</w:t>
            </w:r>
            <w:r>
              <w:rPr>
                <w:rFonts w:eastAsia="SimSun"/>
                <w:lang w:eastAsia="zh-CN"/>
              </w:rPr>
              <w:t xml:space="preserv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8E3058">
            <w:pPr>
              <w:autoSpaceDE w:val="0"/>
              <w:autoSpaceDN w:val="0"/>
              <w:adjustRightInd w:val="0"/>
              <w:snapToGrid w:val="0"/>
              <w:spacing w:after="120" w:line="259" w:lineRule="auto"/>
              <w:jc w:val="both"/>
              <w:rPr>
                <w:rFonts w:eastAsia="SimSun"/>
                <w:lang w:eastAsia="zh-CN"/>
              </w:rPr>
            </w:pPr>
          </w:p>
        </w:tc>
      </w:tr>
    </w:tbl>
    <w:p w14:paraId="180D09F4" w14:textId="77777777" w:rsidR="008A017F" w:rsidRDefault="008A017F">
      <w:pPr>
        <w:pStyle w:val="BodyText"/>
      </w:pPr>
    </w:p>
    <w:p w14:paraId="4743831F" w14:textId="77777777" w:rsidR="008A017F" w:rsidRDefault="008A017F">
      <w:pPr>
        <w:pStyle w:val="BodyText"/>
      </w:pPr>
    </w:p>
    <w:p w14:paraId="040A1FEC"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lastRenderedPageBreak/>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9"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9"/>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lastRenderedPageBreak/>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lastRenderedPageBreak/>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40"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0"/>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1" w:name="_Toc115451783"/>
            <w:r>
              <w:rPr>
                <w:rFonts w:ascii="Times New Roman" w:hAnsi="Times New Roman" w:cs="Times New Roman"/>
                <w:b w:val="0"/>
                <w:bCs w:val="0"/>
                <w:i/>
                <w:iCs/>
                <w:lang w:val="en-GB"/>
              </w:rPr>
              <w:t>triggering conditions for model monitoring</w:t>
            </w:r>
            <w:bookmarkEnd w:id="41"/>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2" w:name="_Toc115451784"/>
            <w:r>
              <w:rPr>
                <w:rFonts w:ascii="Times New Roman" w:hAnsi="Times New Roman" w:cs="Times New Roman"/>
                <w:b w:val="0"/>
                <w:bCs w:val="0"/>
                <w:i/>
                <w:iCs/>
                <w:lang w:val="en-GB"/>
              </w:rPr>
              <w:t>mechanisms to support UE reporting its model performance related metric to the NW</w:t>
            </w:r>
            <w:bookmarkEnd w:id="42"/>
            <w:r>
              <w:rPr>
                <w:rFonts w:ascii="Times New Roman" w:hAnsi="Times New Roman" w:cs="Times New Roman"/>
                <w:b w:val="0"/>
                <w:bCs w:val="0"/>
                <w:i/>
                <w:iCs/>
                <w:lang w:val="en-GB"/>
              </w:rPr>
              <w:t xml:space="preserve"> </w:t>
            </w:r>
            <w:bookmarkStart w:id="43"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3"/>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lastRenderedPageBreak/>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lastRenderedPageBreak/>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lastRenderedPageBreak/>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1E16E986" w14:textId="77777777" w:rsidR="008A017F" w:rsidRDefault="000407EF">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40F6B6" w14:textId="44F8EEE9"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8E305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8E305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8E305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8E305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lastRenderedPageBreak/>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7777777"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as a starting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7262B0"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lastRenderedPageBreak/>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2B223D"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75224D">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lastRenderedPageBreak/>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75224D">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75224D">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75224D">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lastRenderedPageBreak/>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lastRenderedPageBreak/>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lastRenderedPageBreak/>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Thomas Novlan</w:t>
            </w:r>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r>
              <w:rPr>
                <w:lang w:eastAsia="ko-KR"/>
              </w:rPr>
              <w:t>Haewook Park</w:t>
            </w:r>
          </w:p>
        </w:tc>
        <w:tc>
          <w:tcPr>
            <w:tcW w:w="4389" w:type="dxa"/>
            <w:vAlign w:val="center"/>
          </w:tcPr>
          <w:p w14:paraId="18AEFDDF" w14:textId="77777777" w:rsidR="008A017F" w:rsidRDefault="00630A1E">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630A1E">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BodyText"/>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BodyText"/>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523CAA"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523CAA"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lastRenderedPageBreak/>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401BA" w14:textId="77777777" w:rsidR="00630A1E" w:rsidRDefault="00630A1E">
      <w:r>
        <w:separator/>
      </w:r>
    </w:p>
  </w:endnote>
  <w:endnote w:type="continuationSeparator" w:id="0">
    <w:p w14:paraId="72095E7F" w14:textId="77777777" w:rsidR="00630A1E" w:rsidRDefault="0063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88FAA" w14:textId="77777777" w:rsidR="00630A1E" w:rsidRDefault="00630A1E">
      <w:r>
        <w:separator/>
      </w:r>
    </w:p>
  </w:footnote>
  <w:footnote w:type="continuationSeparator" w:id="0">
    <w:p w14:paraId="1C91D949" w14:textId="77777777" w:rsidR="00630A1E" w:rsidRDefault="0063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EF0C" w14:textId="77777777" w:rsidR="008A017F" w:rsidRDefault="008A017F">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3EB6"/>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78A757-B155-47FC-A99C-2C699B99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38612</Words>
  <Characters>220093</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2022-10-12T13:29:00Z</dcterms:created>
  <dcterms:modified xsi:type="dcterms:W3CDTF">2022-10-12T13:52:00Z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