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r>
              <w:rPr>
                <w:rFonts w:hint="eastAsia"/>
              </w:rPr>
              <w:lastRenderedPageBreak/>
              <w:t>R</w:t>
            </w:r>
            <w:r>
              <w:t>akuten[25]</w:t>
            </w:r>
          </w:p>
        </w:tc>
        <w:tc>
          <w:tcPr>
            <w:tcW w:w="7507" w:type="dxa"/>
            <w:vAlign w:val="center"/>
          </w:tcPr>
          <w:p w14:paraId="798267D7" w14:textId="77777777" w:rsidR="006768CC" w:rsidRDefault="00451D06">
            <w:pPr>
              <w:pStyle w:val="BodyText"/>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BodyText"/>
            </w:pPr>
            <w:r>
              <w:rPr>
                <w:rFonts w:hint="eastAsia"/>
              </w:rPr>
              <w:t>S</w:t>
            </w:r>
            <w:r>
              <w:t>preadtrum[4],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BodyText"/>
            </w:pPr>
            <w:r>
              <w:t>Alt.4. AI/ML model training at UE side, AI/ML model inference at gNB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r>
              <w:rPr>
                <w:rFonts w:hint="eastAsia"/>
              </w:rPr>
              <w:t>S</w:t>
            </w:r>
            <w:r>
              <w:t>preadtrum[4]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lastRenderedPageBreak/>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Note: the notion of (near) real-time vs. non real-time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r>
              <w:rPr>
                <w:rFonts w:eastAsiaTheme="minorEastAsia" w:hint="eastAsia"/>
                <w:smallCaps/>
                <w:lang w:eastAsia="zh-CN"/>
              </w:rPr>
              <w:t>Futurewei</w:t>
            </w:r>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lastRenderedPageBreak/>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1198A57E" w14:textId="77777777" w:rsidR="006768CC" w:rsidRDefault="00451D06">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81185E0" w14:textId="77777777" w:rsidR="006768CC" w:rsidRDefault="00451D06">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BodyText"/>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Pr>
                <w:b w:val="0"/>
                <w:i/>
                <w:iCs/>
              </w:rPr>
              <w:lastRenderedPageBreak/>
              <w:t>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lastRenderedPageBreak/>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lastRenderedPageBreak/>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Alt.1: DL Tx beam prediction</w:t>
            </w:r>
          </w:p>
        </w:tc>
        <w:tc>
          <w:tcPr>
            <w:tcW w:w="3021" w:type="dxa"/>
          </w:tcPr>
          <w:p w14:paraId="52992C06" w14:textId="035043BC" w:rsidR="006768CC" w:rsidRDefault="007668F5">
            <w:pPr>
              <w:pStyle w:val="BodyText"/>
            </w:pPr>
            <w:r>
              <w:t>Google</w:t>
            </w: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BodyText"/>
            </w:pPr>
            <w:r>
              <w:t>Alt.1: DL Tx beam prediction</w:t>
            </w:r>
          </w:p>
        </w:tc>
        <w:tc>
          <w:tcPr>
            <w:tcW w:w="3021" w:type="dxa"/>
          </w:tcPr>
          <w:p w14:paraId="2282F34A" w14:textId="2B957DFF" w:rsidR="006768CC" w:rsidRDefault="007668F5">
            <w:pPr>
              <w:pStyle w:val="BodyText"/>
            </w:pPr>
            <w:r>
              <w:t>Google</w:t>
            </w: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SimSun"/>
                <w:lang w:eastAsia="zh-CN"/>
              </w:rPr>
            </w:pPr>
            <w:r>
              <w:rPr>
                <w:rFonts w:eastAsia="SimSun"/>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E3058">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E305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E3058">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E3058">
            <w:pPr>
              <w:rPr>
                <w:rFonts w:eastAsiaTheme="minorEastAsia"/>
                <w:lang w:eastAsia="zh-CN"/>
              </w:rPr>
            </w:pPr>
            <w:r>
              <w:rPr>
                <w:rFonts w:eastAsiaTheme="minorEastAsia"/>
                <w:lang w:eastAsia="zh-CN"/>
              </w:rPr>
              <w:t>We support the proposal. Alt 1 and 3 can be evaluated at both UE or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E3058">
            <w:pPr>
              <w:rPr>
                <w:rFonts w:eastAsiaTheme="minorEastAsia"/>
                <w:smallCaps/>
                <w:lang w:eastAsia="zh-CN"/>
              </w:rPr>
            </w:pPr>
            <w:r>
              <w:rPr>
                <w:rFonts w:eastAsiaTheme="minorEastAsia"/>
                <w:smallCaps/>
                <w:lang w:eastAsia="zh-CN"/>
              </w:rPr>
              <w:t>Futurewei</w:t>
            </w:r>
          </w:p>
        </w:tc>
        <w:tc>
          <w:tcPr>
            <w:tcW w:w="7480" w:type="dxa"/>
          </w:tcPr>
          <w:p w14:paraId="70CC9090" w14:textId="312A021F" w:rsidR="00520B14" w:rsidRDefault="00520B14" w:rsidP="008E3058">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w:t>
            </w:r>
            <w:proofErr w:type="gramStart"/>
            <w:r>
              <w:rPr>
                <w:rFonts w:eastAsiaTheme="minorEastAsia"/>
                <w:lang w:eastAsia="zh-CN"/>
              </w:rPr>
              <w:t xml:space="preserve">3, </w:t>
            </w:r>
            <w:r w:rsidR="009013F2">
              <w:rPr>
                <w:rFonts w:eastAsiaTheme="minorEastAsia"/>
                <w:lang w:eastAsia="zh-CN"/>
              </w:rPr>
              <w:t xml:space="preserve"> and</w:t>
            </w:r>
            <w:proofErr w:type="gramEnd"/>
            <w:r w:rsidR="009013F2">
              <w:rPr>
                <w:rFonts w:eastAsiaTheme="minorEastAsia"/>
                <w:lang w:eastAsia="zh-CN"/>
              </w:rPr>
              <w:t xml:space="preserve"> we agree with Fujitsu that there is no need </w:t>
            </w:r>
            <w:r w:rsidR="009013F2">
              <w:rPr>
                <w:rFonts w:eastAsia="SimSun"/>
                <w:lang w:eastAsia="zh-CN"/>
              </w:rPr>
              <w:t>to down-select in current stage</w:t>
            </w:r>
            <w:r>
              <w:rPr>
                <w:rFonts w:eastAsiaTheme="minorEastAsia"/>
                <w:lang w:eastAsia="zh-CN"/>
              </w:rPr>
              <w:t>.</w:t>
            </w:r>
          </w:p>
        </w:tc>
      </w:tr>
      <w:tr w:rsidR="00C10690" w14:paraId="17C39917" w14:textId="77777777" w:rsidTr="003F7683">
        <w:tc>
          <w:tcPr>
            <w:tcW w:w="1385" w:type="dxa"/>
          </w:tcPr>
          <w:p w14:paraId="76ABA46F" w14:textId="19C44169" w:rsidR="00C10690" w:rsidRDefault="00C10690" w:rsidP="00C1069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1D01BB4" w14:textId="190E2713" w:rsidR="00C10690" w:rsidRDefault="00C10690" w:rsidP="00C10690">
            <w:pPr>
              <w:rPr>
                <w:rFonts w:eastAsiaTheme="minorEastAsia"/>
                <w:lang w:eastAsia="zh-CN"/>
              </w:rPr>
            </w:pPr>
            <w:r>
              <w:rPr>
                <w:rFonts w:eastAsiaTheme="minorEastAsia"/>
                <w:lang w:eastAsia="zh-CN"/>
              </w:rPr>
              <w:t>Alt. 1 should be the baseline.</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BodyText"/>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 xml:space="preserve">Proposal #3: For the relation between Set A and Set B of BM-Case2, start from Alt3 to see the feasibility and performance gain of pure TD prediction as an independent approach as </w:t>
            </w:r>
            <w:r>
              <w:rPr>
                <w:bCs/>
                <w:i/>
                <w:szCs w:val="20"/>
                <w:lang w:val="en-GB"/>
              </w:rPr>
              <w:lastRenderedPageBreak/>
              <w:t>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lastRenderedPageBreak/>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lastRenderedPageBreak/>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proofErr w:type="gramStart"/>
            <w:r w:rsidR="00FA5FBB" w:rsidRPr="00262CD0">
              <w:rPr>
                <w:rFonts w:eastAsiaTheme="minorEastAsia"/>
                <w:lang w:eastAsia="zh-CN"/>
              </w:rPr>
              <w:t>Fujitsu</w:t>
            </w:r>
            <w:r w:rsidR="000A6CB3" w:rsidRPr="00262CD0">
              <w:rPr>
                <w:rFonts w:eastAsiaTheme="minorEastAsia"/>
                <w:lang w:eastAsia="zh-CN"/>
              </w:rPr>
              <w:t>,CMCC</w:t>
            </w:r>
            <w:proofErr w:type="spellEnd"/>
            <w:proofErr w:type="gram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654AC864"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lastRenderedPageBreak/>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r>
              <w:rPr>
                <w:rFonts w:eastAsiaTheme="minorEastAsia"/>
                <w:lang w:eastAsia="zh-CN"/>
              </w:rPr>
              <w:t>Futurewei</w:t>
            </w:r>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r w:rsidR="00C10690" w:rsidRPr="00945F66" w14:paraId="79A5F018" w14:textId="77777777" w:rsidTr="009B08E0">
        <w:tc>
          <w:tcPr>
            <w:tcW w:w="1413" w:type="dxa"/>
          </w:tcPr>
          <w:p w14:paraId="0638B429" w14:textId="231E7429" w:rsidR="00C10690" w:rsidRDefault="00C10690" w:rsidP="00C10690">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486431A8" w14:textId="77777777" w:rsidR="00C10690" w:rsidRDefault="00C10690" w:rsidP="00C10690">
            <w:pPr>
              <w:rPr>
                <w:rFonts w:eastAsiaTheme="minorEastAsia"/>
                <w:lang w:eastAsia="zh-CN"/>
              </w:rPr>
            </w:pPr>
          </w:p>
        </w:tc>
        <w:tc>
          <w:tcPr>
            <w:tcW w:w="6662" w:type="dxa"/>
          </w:tcPr>
          <w:p w14:paraId="625B188B" w14:textId="77777777" w:rsidR="00C10690" w:rsidRDefault="00C10690" w:rsidP="00C10690">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6D1CCAD" w14:textId="5BC9698E" w:rsidR="00C10690" w:rsidRDefault="00C10690" w:rsidP="00C10690">
            <w:pPr>
              <w:rPr>
                <w:lang w:eastAsia="zh-CN"/>
              </w:rPr>
            </w:pPr>
            <w:r>
              <w:rPr>
                <w:rFonts w:eastAsiaTheme="minorEastAsia"/>
                <w:lang w:eastAsia="zh-CN"/>
              </w:rPr>
              <w:t>For BM-Case2, we prefer Alt3.</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r w:rsidR="00806672">
              <w:rPr>
                <w:rFonts w:eastAsiaTheme="minorEastAsia"/>
                <w:lang w:eastAsia="zh-CN"/>
              </w:rPr>
              <w:t xml:space="preserve">, </w:t>
            </w:r>
            <w:r w:rsidR="00806672" w:rsidRPr="00203698">
              <w:rPr>
                <w:rFonts w:eastAsiaTheme="minorEastAsia"/>
                <w:smallCaps/>
                <w:lang w:eastAsia="zh-CN"/>
              </w:rPr>
              <w:t>Futurewei</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 xml:space="preserve">So for UE-side DL beam prediction, </w:t>
            </w:r>
            <w:r>
              <w:rPr>
                <w:rFonts w:eastAsia="Malgun Gothic"/>
                <w:lang w:eastAsia="ko-KR"/>
              </w:rPr>
              <w:lastRenderedPageBreak/>
              <w:t>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lastRenderedPageBreak/>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r>
              <w:t>Futurewei</w:t>
            </w:r>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lastRenderedPageBreak/>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r w:rsidR="00E944D2" w14:paraId="16D4D1AF" w14:textId="77777777" w:rsidTr="009B08E0">
        <w:tc>
          <w:tcPr>
            <w:tcW w:w="1385" w:type="dxa"/>
          </w:tcPr>
          <w:p w14:paraId="1F87EA73" w14:textId="581B7882" w:rsidR="00E944D2" w:rsidRDefault="00E944D2" w:rsidP="00FA5FBB">
            <w:pPr>
              <w:rPr>
                <w:rFonts w:eastAsia="SimSun"/>
                <w:smallCaps/>
                <w:lang w:eastAsia="zh-CN"/>
              </w:rPr>
            </w:pPr>
            <w:r>
              <w:rPr>
                <w:rFonts w:eastAsia="SimSun" w:hint="eastAsia"/>
                <w:smallCaps/>
                <w:lang w:eastAsia="zh-CN"/>
              </w:rPr>
              <w:t>CATT</w:t>
            </w:r>
          </w:p>
        </w:tc>
        <w:tc>
          <w:tcPr>
            <w:tcW w:w="7480" w:type="dxa"/>
          </w:tcPr>
          <w:p w14:paraId="3C39F766" w14:textId="3E64F1BA" w:rsidR="00E944D2" w:rsidRDefault="00E944D2" w:rsidP="00FA5FBB">
            <w:pPr>
              <w:rPr>
                <w:rFonts w:eastAsia="SimSun"/>
                <w:lang w:eastAsia="zh-CN"/>
              </w:rPr>
            </w:pPr>
            <w:r>
              <w:rPr>
                <w:rFonts w:eastAsia="SimSun"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SimSun"/>
                <w:smallCaps/>
                <w:lang w:eastAsia="zh-CN"/>
              </w:rPr>
            </w:pPr>
            <w:r>
              <w:rPr>
                <w:rFonts w:eastAsia="SimSun"/>
                <w:smallCaps/>
                <w:lang w:eastAsia="zh-CN"/>
              </w:rPr>
              <w:t>Futurewei</w:t>
            </w:r>
          </w:p>
        </w:tc>
        <w:tc>
          <w:tcPr>
            <w:tcW w:w="7480" w:type="dxa"/>
          </w:tcPr>
          <w:p w14:paraId="1CA97277" w14:textId="2345BCEE" w:rsidR="00C90B54" w:rsidRDefault="00DF6F94" w:rsidP="00FA5FBB">
            <w:pPr>
              <w:rPr>
                <w:rFonts w:eastAsia="SimSun"/>
                <w:lang w:eastAsia="zh-CN"/>
              </w:rPr>
            </w:pPr>
            <w:r>
              <w:rPr>
                <w:rFonts w:eastAsia="SimSun"/>
                <w:lang w:eastAsia="zh-CN"/>
              </w:rPr>
              <w:t>We are ok with moderator’s suggestion and the topic of whether to down-select or not can be discussed under 9.2.3.1.</w:t>
            </w:r>
            <w:r w:rsidR="00437AE4">
              <w:rPr>
                <w:rFonts w:eastAsia="SimSun"/>
                <w:lang w:eastAsia="zh-CN"/>
              </w:rPr>
              <w:t xml:space="preserve"> Note: we think companies can decide which option to study, thus down selection is not necessary at this stage.</w:t>
            </w:r>
          </w:p>
        </w:tc>
      </w:tr>
      <w:tr w:rsidR="00C10690" w14:paraId="4B981799" w14:textId="77777777" w:rsidTr="009B08E0">
        <w:tc>
          <w:tcPr>
            <w:tcW w:w="1385" w:type="dxa"/>
          </w:tcPr>
          <w:p w14:paraId="67C2E3FF" w14:textId="5A9CEF37" w:rsidR="00C10690" w:rsidRDefault="00C10690" w:rsidP="00C10690">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AB1A1C7" w14:textId="5192027F" w:rsidR="00C10690" w:rsidRDefault="00C10690" w:rsidP="00C10690">
            <w:pPr>
              <w:rPr>
                <w:rFonts w:eastAsia="SimSun"/>
                <w:lang w:eastAsia="zh-CN"/>
              </w:rPr>
            </w:pPr>
            <w:r>
              <w:rPr>
                <w:rFonts w:eastAsia="SimSun" w:hint="eastAsia"/>
                <w:lang w:eastAsia="zh-CN"/>
              </w:rPr>
              <w:t>A</w:t>
            </w:r>
            <w:r>
              <w:rPr>
                <w:rFonts w:eastAsia="SimSun"/>
                <w:lang w:eastAsia="zh-CN"/>
              </w:rPr>
              <w:t>gree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4"/>
            <w:bookmarkStart w:id="17" w:name="OLE_LINK35"/>
            <w:r>
              <w:rPr>
                <w:rFonts w:eastAsia="SimSun"/>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lastRenderedPageBreak/>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lastRenderedPageBreak/>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Pr>
                <w:rFonts w:eastAsia="SimSun"/>
                <w:i/>
                <w:iCs/>
                <w:szCs w:val="20"/>
                <w:lang w:val="en-GB" w:eastAsia="ja-JP"/>
              </w:rPr>
              <w:lastRenderedPageBreak/>
              <w:t xml:space="preserve">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lastRenderedPageBreak/>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lastRenderedPageBreak/>
              <w:t>Q</w:t>
            </w:r>
            <w:r>
              <w:t>C[29]</w:t>
            </w:r>
          </w:p>
        </w:tc>
        <w:tc>
          <w:tcPr>
            <w:tcW w:w="7457" w:type="dxa"/>
            <w:vAlign w:val="center"/>
          </w:tcPr>
          <w:p w14:paraId="7897E04E" w14:textId="77777777" w:rsidR="006768CC" w:rsidRDefault="00451D06">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6A724AEA" w:rsidR="006768CC" w:rsidRDefault="00451D06">
            <w:pPr>
              <w:rPr>
                <w:rFonts w:eastAsia="SimSun"/>
                <w:lang w:eastAsia="zh-CN"/>
              </w:rPr>
            </w:pPr>
            <w:r>
              <w:t>Google, DCM, Xiaomi, NEC</w:t>
            </w:r>
            <w:r>
              <w:rPr>
                <w:rFonts w:eastAsia="SimSun" w:hint="eastAsia"/>
                <w:lang w:eastAsia="zh-CN"/>
              </w:rPr>
              <w:t xml:space="preserve">, </w:t>
            </w:r>
            <w:proofErr w:type="gramStart"/>
            <w:r>
              <w:rPr>
                <w:rFonts w:eastAsia="SimSun" w:hint="eastAsia"/>
                <w:lang w:eastAsia="zh-CN"/>
              </w:rPr>
              <w:t>ZTE</w:t>
            </w:r>
            <w:r w:rsidR="000A6CB3">
              <w:rPr>
                <w:rFonts w:eastAsia="SimSun"/>
                <w:lang w:eastAsia="zh-CN"/>
              </w:rPr>
              <w:t>,CMCC</w:t>
            </w:r>
            <w:proofErr w:type="gramEnd"/>
            <w:r w:rsidR="00812C00">
              <w:rPr>
                <w:rFonts w:eastAsia="SimSun"/>
                <w:lang w:eastAsia="zh-CN"/>
              </w:rPr>
              <w:t>, HW/</w:t>
            </w:r>
            <w:proofErr w:type="spellStart"/>
            <w:r w:rsidR="00812C00">
              <w:rPr>
                <w:rFonts w:eastAsia="SimSun"/>
                <w:lang w:eastAsia="zh-CN"/>
              </w:rPr>
              <w:t>HiSi</w:t>
            </w:r>
            <w:proofErr w:type="spellEnd"/>
            <w:r w:rsidR="003F7683">
              <w:rPr>
                <w:rFonts w:eastAsia="SimSun"/>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749C2532" w:rsidR="006768CC" w:rsidRDefault="00451D06">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E3058">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E305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E3058">
            <w:pPr>
              <w:rPr>
                <w:rFonts w:eastAsiaTheme="minorEastAsia"/>
                <w:lang w:eastAsia="zh-CN"/>
              </w:rPr>
            </w:pPr>
            <w:r>
              <w:rPr>
                <w:rFonts w:eastAsiaTheme="minorEastAsia"/>
                <w:lang w:eastAsia="zh-CN"/>
              </w:rPr>
              <w:t>Futurewei</w:t>
            </w:r>
          </w:p>
        </w:tc>
        <w:tc>
          <w:tcPr>
            <w:tcW w:w="6515" w:type="dxa"/>
          </w:tcPr>
          <w:p w14:paraId="7DAB9CC0" w14:textId="582BE882" w:rsidR="00373BFC" w:rsidRDefault="00373BFC" w:rsidP="008E3058">
            <w:pPr>
              <w:rPr>
                <w:rFonts w:eastAsiaTheme="minorEastAsia"/>
                <w:lang w:eastAsia="zh-CN"/>
              </w:rPr>
            </w:pPr>
            <w:r>
              <w:rPr>
                <w:rFonts w:eastAsiaTheme="minorEastAsia"/>
                <w:lang w:eastAsia="zh-CN"/>
              </w:rPr>
              <w:t>We agree with vivo; from spec impact point of view, this classification may not be needed.</w:t>
            </w:r>
          </w:p>
        </w:tc>
      </w:tr>
      <w:tr w:rsidR="00C10690" w14:paraId="6F266A83" w14:textId="77777777" w:rsidTr="003F7683">
        <w:tc>
          <w:tcPr>
            <w:tcW w:w="2547" w:type="dxa"/>
          </w:tcPr>
          <w:p w14:paraId="541F89F7" w14:textId="2168F70A" w:rsidR="00C10690" w:rsidRDefault="00C10690" w:rsidP="00C10690">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58FCA3D8" w14:textId="52D9F7F7" w:rsidR="00C10690" w:rsidRDefault="00C10690" w:rsidP="00C10690">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lastRenderedPageBreak/>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w:t>
            </w:r>
            <w:r>
              <w:rPr>
                <w:rFonts w:eastAsia="SimSun"/>
                <w:lang w:eastAsia="zh-CN"/>
              </w:rPr>
              <w:lastRenderedPageBreak/>
              <w:t xml:space="preserve">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lastRenderedPageBreak/>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SimSun"/>
                <w:b/>
                <w:i/>
                <w:kern w:val="2"/>
                <w:szCs w:val="22"/>
                <w:u w:val="single"/>
                <w:lang w:eastAsia="zh-CN"/>
              </w:rPr>
            </w:pPr>
          </w:p>
          <w:p w14:paraId="7FBD10ED" w14:textId="77777777" w:rsidR="003F7683" w:rsidRPr="00103873" w:rsidRDefault="003F7683" w:rsidP="008E3058">
            <w:pPr>
              <w:rPr>
                <w:rFonts w:eastAsia="SimSun"/>
                <w:b/>
                <w:iCs/>
                <w:kern w:val="2"/>
                <w:szCs w:val="22"/>
                <w:highlight w:val="green"/>
                <w:lang w:eastAsia="zh-CN"/>
              </w:rPr>
            </w:pPr>
            <w:bookmarkStart w:id="20" w:name="_Hlk115180985"/>
            <w:r w:rsidRPr="00103873">
              <w:rPr>
                <w:rFonts w:eastAsia="SimSun"/>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E3058">
            <w:pPr>
              <w:rPr>
                <w:lang w:eastAsia="x-none"/>
              </w:rPr>
            </w:pPr>
          </w:p>
          <w:p w14:paraId="0CEBE3F5" w14:textId="77777777" w:rsidR="003F7683" w:rsidRPr="00103873" w:rsidRDefault="003F7683" w:rsidP="008E3058">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lastRenderedPageBreak/>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E3058">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EF0F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EF0F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EF0F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EF0FB8">
            <w:pPr>
              <w:rPr>
                <w:rFonts w:eastAsiaTheme="minorEastAsia"/>
                <w:lang w:eastAsia="zh-CN"/>
              </w:rPr>
            </w:pPr>
          </w:p>
          <w:p w14:paraId="7F5702E1" w14:textId="77777777" w:rsidR="00C6561A" w:rsidRPr="00880DAD" w:rsidRDefault="00C6561A" w:rsidP="00EF0FB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EF0FB8">
            <w:pPr>
              <w:pStyle w:val="ListParagraph"/>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E3058">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E3058">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EF0FB8">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to remove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E3058">
            <w:pPr>
              <w:rPr>
                <w:rFonts w:eastAsiaTheme="minorEastAsia"/>
                <w:smallCaps/>
                <w:lang w:eastAsia="zh-CN"/>
              </w:rPr>
            </w:pPr>
            <w:r>
              <w:rPr>
                <w:rFonts w:eastAsiaTheme="minorEastAsia"/>
                <w:smallCaps/>
                <w:lang w:eastAsia="zh-CN"/>
              </w:rPr>
              <w:t>Futurewei</w:t>
            </w:r>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3F18086F" w14:textId="6791297E" w:rsidR="00373BF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tc>
      </w:tr>
      <w:tr w:rsidR="00C10690" w14:paraId="5B479417" w14:textId="77777777" w:rsidTr="003F7683">
        <w:tc>
          <w:tcPr>
            <w:tcW w:w="1385" w:type="dxa"/>
          </w:tcPr>
          <w:p w14:paraId="597DF1B0" w14:textId="0E698570" w:rsidR="00C10690" w:rsidRDefault="00C10690" w:rsidP="00C1069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FADD816" w14:textId="2BB6EAB6" w:rsidR="00C10690" w:rsidRDefault="00C10690" w:rsidP="00C10690">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w:t>
            </w:r>
            <w:r w:rsidRPr="006509DD">
              <w:rPr>
                <w:rFonts w:eastAsia="Malgun Gothic"/>
                <w:lang w:eastAsia="zh-CN"/>
              </w:rPr>
              <w:t>assistance information</w:t>
            </w:r>
            <w:r>
              <w:rPr>
                <w:rFonts w:eastAsia="Malgun Gothic"/>
                <w:lang w:eastAsia="zh-CN"/>
              </w:rPr>
              <w:t xml:space="preserve"> and we can further which type of information is proprietary and cannot be used as </w:t>
            </w:r>
            <w:r w:rsidRPr="006509DD">
              <w:rPr>
                <w:rFonts w:eastAsia="Malgun Gothic"/>
                <w:lang w:eastAsia="zh-CN"/>
              </w:rPr>
              <w:t>assistance information</w:t>
            </w:r>
            <w:r>
              <w:rPr>
                <w:rFonts w:eastAsia="Malgun Gothic"/>
                <w:lang w:eastAsia="zh-CN"/>
              </w:rPr>
              <w:t>.</w:t>
            </w:r>
          </w:p>
        </w:tc>
      </w:tr>
      <w:tr w:rsidR="001321D3" w14:paraId="62BCFC8A" w14:textId="77777777" w:rsidTr="003F7683">
        <w:tc>
          <w:tcPr>
            <w:tcW w:w="1385" w:type="dxa"/>
          </w:tcPr>
          <w:p w14:paraId="0311564C" w14:textId="11E0031B" w:rsidR="001321D3" w:rsidRDefault="001321D3" w:rsidP="00C10690">
            <w:pPr>
              <w:rPr>
                <w:rFonts w:eastAsiaTheme="minorEastAsia" w:hint="eastAsia"/>
                <w:smallCaps/>
                <w:lang w:eastAsia="zh-CN"/>
              </w:rPr>
            </w:pPr>
            <w:r>
              <w:rPr>
                <w:rFonts w:eastAsiaTheme="minorEastAsia"/>
                <w:smallCaps/>
                <w:lang w:eastAsia="zh-CN"/>
              </w:rPr>
              <w:t>Google</w:t>
            </w:r>
          </w:p>
        </w:tc>
        <w:tc>
          <w:tcPr>
            <w:tcW w:w="7480" w:type="dxa"/>
          </w:tcPr>
          <w:p w14:paraId="4B2843C7" w14:textId="2930D1AC" w:rsidR="001321D3" w:rsidRDefault="001321D3" w:rsidP="00C10690">
            <w:pPr>
              <w:rPr>
                <w:rFonts w:eastAsiaTheme="minorEastAsia" w:hint="eastAsia"/>
                <w:lang w:eastAsia="zh-CN"/>
              </w:rPr>
            </w:pPr>
            <w:r>
              <w:rPr>
                <w:rFonts w:eastAsiaTheme="minorEastAsia"/>
                <w:lang w:eastAsia="zh-CN"/>
              </w:rPr>
              <w:t>We are fine in general, but should this be a general principle for all use cases?</w:t>
            </w:r>
          </w:p>
        </w:tc>
      </w:tr>
    </w:tbl>
    <w:p w14:paraId="77036529" w14:textId="77777777" w:rsidR="006768CC" w:rsidRDefault="006768CC">
      <w:pPr>
        <w:spacing w:after="120"/>
      </w:pPr>
    </w:p>
    <w:p w14:paraId="584CBE1E" w14:textId="77777777" w:rsidR="006768CC" w:rsidRDefault="006768CC">
      <w:pPr>
        <w:spacing w:after="120"/>
      </w:pPr>
    </w:p>
    <w:p w14:paraId="13267837" w14:textId="73193874" w:rsidR="006768CC" w:rsidRDefault="006E36EA">
      <w:pPr>
        <w:pStyle w:val="Heading6"/>
        <w:spacing w:after="120"/>
        <w:rPr>
          <w:lang w:eastAsia="zh-CN"/>
        </w:rPr>
      </w:pPr>
      <w:r>
        <w:rPr>
          <w:lang w:eastAsia="zh-CN"/>
        </w:rPr>
        <w:lastRenderedPageBreak/>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E00C732" w:rsidR="003854A8" w:rsidRDefault="001321D3" w:rsidP="003854A8">
            <w:r>
              <w:t>Google</w:t>
            </w:r>
          </w:p>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1FFA1296" w:rsidR="003854A8" w:rsidRDefault="001321D3" w:rsidP="003854A8">
            <w:r>
              <w:t>Google</w:t>
            </w:r>
          </w:p>
        </w:tc>
      </w:tr>
      <w:tr w:rsidR="003854A8" w14:paraId="510186C5" w14:textId="77777777">
        <w:tc>
          <w:tcPr>
            <w:tcW w:w="3114" w:type="dxa"/>
          </w:tcPr>
          <w:p w14:paraId="46D46990" w14:textId="02930A8F"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lastRenderedPageBreak/>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E3058">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EF0FB8">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E305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E3058">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EF0F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EF0FB8">
            <w:pPr>
              <w:rPr>
                <w:rFonts w:eastAsiaTheme="minorEastAsia"/>
                <w:lang w:eastAsia="zh-CN"/>
              </w:rPr>
            </w:pP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lastRenderedPageBreak/>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lastRenderedPageBreak/>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23"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3"/>
          </w:p>
          <w:p w14:paraId="5B2C2CF6" w14:textId="77777777" w:rsidR="006768CC" w:rsidRDefault="00451D06">
            <w:pPr>
              <w:pStyle w:val="Caption"/>
              <w:spacing w:after="120"/>
              <w:rPr>
                <w:rFonts w:ascii="Times New Roman" w:hAnsi="Times New Roman" w:cs="Times New Roman"/>
                <w:i/>
                <w:iCs/>
              </w:rPr>
            </w:pPr>
            <w:bookmarkStart w:id="24"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4"/>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lastRenderedPageBreak/>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lastRenderedPageBreak/>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3211114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lastRenderedPageBreak/>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lastRenderedPageBreak/>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Fujitsu).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BodyText"/>
              <w:rPr>
                <w:rFonts w:eastAsiaTheme="minorEastAsia"/>
                <w:lang w:eastAsia="zh-CN"/>
              </w:rPr>
            </w:pPr>
            <w:r>
              <w:rPr>
                <w:rFonts w:eastAsia="SimSun"/>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BodyText"/>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BodyText"/>
              <w:rPr>
                <w:rFonts w:eastAsia="Malgun Gothic"/>
                <w:smallCaps/>
                <w:lang w:eastAsia="ko-KR"/>
              </w:rPr>
            </w:pPr>
            <w:r w:rsidRPr="009A2F27">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BodyText"/>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BodyText"/>
              <w:rPr>
                <w:rFonts w:eastAsiaTheme="minorEastAsia"/>
                <w:lang w:eastAsia="zh-CN"/>
              </w:rPr>
            </w:pPr>
            <w:r>
              <w:rPr>
                <w:rFonts w:eastAsiaTheme="minorEastAsia"/>
                <w:lang w:eastAsia="zh-CN"/>
              </w:rPr>
              <w:t>Support</w:t>
            </w:r>
          </w:p>
        </w:tc>
      </w:tr>
      <w:tr w:rsidR="00C10690" w14:paraId="64D34CB4" w14:textId="77777777">
        <w:tc>
          <w:tcPr>
            <w:tcW w:w="1385" w:type="dxa"/>
            <w:tcBorders>
              <w:top w:val="single" w:sz="4" w:space="0" w:color="auto"/>
              <w:left w:val="single" w:sz="4" w:space="0" w:color="auto"/>
              <w:bottom w:val="single" w:sz="4" w:space="0" w:color="auto"/>
              <w:right w:val="single" w:sz="4" w:space="0" w:color="auto"/>
            </w:tcBorders>
          </w:tcPr>
          <w:p w14:paraId="4B71E1C3" w14:textId="1A286AF8" w:rsidR="00C10690" w:rsidRDefault="00C10690" w:rsidP="003854A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EC39D" w14:textId="57911637" w:rsidR="00C10690" w:rsidRDefault="00C10690" w:rsidP="003854A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3A1DA7" w14:paraId="369E1FFC" w14:textId="77777777">
        <w:tc>
          <w:tcPr>
            <w:tcW w:w="1385" w:type="dxa"/>
            <w:tcBorders>
              <w:top w:val="single" w:sz="4" w:space="0" w:color="auto"/>
              <w:left w:val="single" w:sz="4" w:space="0" w:color="auto"/>
              <w:bottom w:val="single" w:sz="4" w:space="0" w:color="auto"/>
              <w:right w:val="single" w:sz="4" w:space="0" w:color="auto"/>
            </w:tcBorders>
          </w:tcPr>
          <w:p w14:paraId="6802C813" w14:textId="2012D654" w:rsidR="003A1DA7" w:rsidRDefault="003A1DA7" w:rsidP="003854A8">
            <w:pPr>
              <w:pStyle w:val="BodyText"/>
              <w:rPr>
                <w:rFonts w:eastAsiaTheme="minorEastAsia" w:hint="eastAsia"/>
                <w:smallCaps/>
                <w:lang w:eastAsia="zh-CN"/>
              </w:rPr>
            </w:pPr>
            <w:r>
              <w:rPr>
                <w:rFonts w:eastAsiaTheme="minorEastAsia"/>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4DC26B60" w14:textId="659ED1A9" w:rsidR="003A1DA7" w:rsidRDefault="003A1DA7" w:rsidP="003854A8">
            <w:pPr>
              <w:pStyle w:val="BodyText"/>
              <w:rPr>
                <w:rFonts w:eastAsiaTheme="minorEastAsia" w:hint="eastAsia"/>
                <w:lang w:eastAsia="zh-CN"/>
              </w:rPr>
            </w:pPr>
            <w:r>
              <w:rPr>
                <w:rFonts w:eastAsiaTheme="minorEastAsia"/>
                <w:lang w:eastAsia="zh-CN"/>
              </w:rPr>
              <w:t>OK, as long as this conclusion has no impact on current work on BM-Case 1/2.</w:t>
            </w: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lastRenderedPageBreak/>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5"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5"/>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lastRenderedPageBreak/>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lastRenderedPageBreak/>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BodyText"/>
            </w:pPr>
            <w:r>
              <w:rPr>
                <w:rFonts w:hint="eastAsia"/>
              </w:rPr>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BodyText"/>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lastRenderedPageBreak/>
              <w:t>N</w:t>
            </w:r>
            <w:r>
              <w:t>VIDIA[26]</w:t>
            </w:r>
          </w:p>
        </w:tc>
        <w:tc>
          <w:tcPr>
            <w:tcW w:w="7457" w:type="dxa"/>
            <w:vAlign w:val="center"/>
          </w:tcPr>
          <w:p w14:paraId="42D09EAA" w14:textId="77777777" w:rsidR="006768CC" w:rsidRDefault="00451D06">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r w:rsidR="008611BE" w14:paraId="1F96D449" w14:textId="77777777" w:rsidTr="009B08E0">
        <w:tc>
          <w:tcPr>
            <w:tcW w:w="1385" w:type="dxa"/>
          </w:tcPr>
          <w:p w14:paraId="66D337B5" w14:textId="755B111B" w:rsidR="008611BE" w:rsidRDefault="008611BE" w:rsidP="0095109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951090">
            <w:pPr>
              <w:rPr>
                <w:rFonts w:eastAsia="SimSun"/>
                <w:lang w:eastAsia="zh-CN"/>
              </w:rPr>
            </w:pPr>
            <w:r>
              <w:rPr>
                <w:rFonts w:eastAsia="SimSun" w:hint="eastAsia"/>
                <w:lang w:eastAsia="zh-CN"/>
              </w:rPr>
              <w:t>Support</w:t>
            </w:r>
          </w:p>
        </w:tc>
      </w:tr>
      <w:tr w:rsidR="000C4FEE" w14:paraId="6B5A9EF0" w14:textId="77777777" w:rsidTr="009B08E0">
        <w:tc>
          <w:tcPr>
            <w:tcW w:w="1385" w:type="dxa"/>
          </w:tcPr>
          <w:p w14:paraId="34A3417A" w14:textId="0E905EBE" w:rsidR="000C4FEE" w:rsidRDefault="000C4FEE" w:rsidP="0095109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951090">
            <w:pPr>
              <w:rPr>
                <w:rFonts w:eastAsia="SimSun"/>
                <w:lang w:eastAsia="zh-CN"/>
              </w:rPr>
            </w:pPr>
            <w:r>
              <w:rPr>
                <w:rFonts w:eastAsia="SimSun" w:hint="eastAsia"/>
                <w:lang w:eastAsia="zh-CN"/>
              </w:rPr>
              <w:t>Support</w:t>
            </w:r>
          </w:p>
        </w:tc>
      </w:tr>
      <w:tr w:rsidR="00BD06AA" w14:paraId="1DFAA79F" w14:textId="77777777" w:rsidTr="009B08E0">
        <w:tc>
          <w:tcPr>
            <w:tcW w:w="1385" w:type="dxa"/>
          </w:tcPr>
          <w:p w14:paraId="6CE69E48" w14:textId="4CF9EAE3" w:rsidR="00BD06AA" w:rsidRPr="000C4FEE" w:rsidRDefault="00BD06AA" w:rsidP="00951090">
            <w:pPr>
              <w:rPr>
                <w:rFonts w:eastAsiaTheme="minorEastAsia"/>
                <w:lang w:eastAsia="zh-CN"/>
              </w:rPr>
            </w:pPr>
            <w:r>
              <w:rPr>
                <w:rFonts w:eastAsiaTheme="minorEastAsia"/>
                <w:lang w:eastAsia="zh-CN"/>
              </w:rPr>
              <w:t>Futurewei</w:t>
            </w:r>
          </w:p>
        </w:tc>
        <w:tc>
          <w:tcPr>
            <w:tcW w:w="7480" w:type="dxa"/>
          </w:tcPr>
          <w:p w14:paraId="66531FDF" w14:textId="0603A1AB" w:rsidR="00BD06AA" w:rsidRDefault="00BD06AA" w:rsidP="00951090">
            <w:pPr>
              <w:rPr>
                <w:rFonts w:eastAsia="SimSun"/>
                <w:lang w:eastAsia="zh-CN"/>
              </w:rPr>
            </w:pPr>
            <w:r>
              <w:rPr>
                <w:rFonts w:eastAsia="SimSun"/>
                <w:lang w:eastAsia="zh-CN"/>
              </w:rPr>
              <w:t>OK with this recommendation.</w:t>
            </w:r>
          </w:p>
        </w:tc>
      </w:tr>
      <w:tr w:rsidR="00050164" w14:paraId="69373CA9" w14:textId="77777777" w:rsidTr="009B08E0">
        <w:tc>
          <w:tcPr>
            <w:tcW w:w="1385" w:type="dxa"/>
          </w:tcPr>
          <w:p w14:paraId="6AD56122" w14:textId="2BB1833E" w:rsidR="00050164" w:rsidRDefault="00050164" w:rsidP="00050164">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6FC5435" w14:textId="54049B98" w:rsidR="00050164" w:rsidRDefault="00050164" w:rsidP="00050164">
            <w:pPr>
              <w:rPr>
                <w:rFonts w:eastAsia="SimSun"/>
                <w:lang w:eastAsia="zh-CN"/>
              </w:rPr>
            </w:pPr>
            <w:r>
              <w:rPr>
                <w:rFonts w:eastAsia="SimSun" w:hint="eastAsia"/>
                <w:lang w:eastAsia="zh-CN"/>
              </w:rPr>
              <w:t>S</w:t>
            </w:r>
            <w:r>
              <w:rPr>
                <w:rFonts w:eastAsia="SimSun"/>
                <w:lang w:eastAsia="zh-CN"/>
              </w:rPr>
              <w:t>upport</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26"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6"/>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27"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28"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8"/>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 xml:space="preserve">Tx beam information and/or expected beam information as assistance </w:t>
            </w:r>
            <w:r>
              <w:rPr>
                <w:rFonts w:eastAsia="SimSun"/>
                <w:bCs/>
                <w:kern w:val="2"/>
                <w:szCs w:val="20"/>
                <w:lang w:eastAsia="zh-CN"/>
              </w:rPr>
              <w:lastRenderedPageBreak/>
              <w:t>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lastRenderedPageBreak/>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29"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29"/>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0" w:name="_Toc115451768"/>
            <w:r>
              <w:rPr>
                <w:rFonts w:ascii="Times New Roman" w:hAnsi="Times New Roman" w:cs="Times New Roman"/>
                <w:b w:val="0"/>
                <w:szCs w:val="20"/>
              </w:rPr>
              <w:t>DL-RS or UL-RS resource set configuration,</w:t>
            </w:r>
            <w:bookmarkEnd w:id="30"/>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9"/>
            <w:r>
              <w:rPr>
                <w:rFonts w:ascii="Times New Roman" w:hAnsi="Times New Roman" w:cs="Times New Roman"/>
                <w:b w:val="0"/>
                <w:szCs w:val="20"/>
              </w:rPr>
              <w:t>signaling for collected assistance information, if justified</w:t>
            </w:r>
            <w:bookmarkEnd w:id="31"/>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70"/>
            <w:r>
              <w:rPr>
                <w:rFonts w:ascii="Times New Roman" w:hAnsi="Times New Roman" w:cs="Times New Roman"/>
                <w:b w:val="0"/>
                <w:szCs w:val="20"/>
              </w:rPr>
              <w:t>signaling and configurations to support UE performing data logging/collection for model training,</w:t>
            </w:r>
            <w:bookmarkEnd w:id="32"/>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1"/>
            <w:r>
              <w:rPr>
                <w:rFonts w:ascii="Times New Roman" w:hAnsi="Times New Roman" w:cs="Times New Roman"/>
                <w:b w:val="0"/>
                <w:szCs w:val="20"/>
              </w:rPr>
              <w:t>signaling and configurations to support UE reporting the collected/logged data to the NW,</w:t>
            </w:r>
            <w:bookmarkEnd w:id="33"/>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2"/>
            <w:r>
              <w:rPr>
                <w:rFonts w:ascii="Times New Roman" w:hAnsi="Times New Roman" w:cs="Times New Roman"/>
                <w:b w:val="0"/>
                <w:szCs w:val="20"/>
              </w:rPr>
              <w:t>signaling for indicating UE capability for data collection.</w:t>
            </w:r>
            <w:bookmarkEnd w:id="34"/>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lastRenderedPageBreak/>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lastRenderedPageBreak/>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7"/>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ListParagraph"/>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ListParagraph"/>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ListParagraph"/>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SimSun"/>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398398C" w14:textId="2040546D" w:rsidR="00BD06AA" w:rsidRDefault="00BD06AA" w:rsidP="00504D96">
            <w:pPr>
              <w:spacing w:after="120"/>
              <w:rPr>
                <w:rFonts w:eastAsia="SimSun"/>
                <w:lang w:eastAsia="zh-CN"/>
              </w:rPr>
            </w:pPr>
            <w:r>
              <w:rPr>
                <w:rFonts w:eastAsia="SimSun"/>
                <w:lang w:eastAsia="zh-CN"/>
              </w:rPr>
              <w:t>Support</w:t>
            </w:r>
            <w:r w:rsidR="00D47976">
              <w:rPr>
                <w:rFonts w:eastAsia="SimSun"/>
                <w:lang w:eastAsia="zh-CN"/>
              </w:rPr>
              <w:t xml:space="preserve"> the updated proposal.</w:t>
            </w:r>
          </w:p>
        </w:tc>
      </w:tr>
      <w:tr w:rsidR="00050164" w14:paraId="3D152594" w14:textId="77777777" w:rsidTr="009B08E0">
        <w:tc>
          <w:tcPr>
            <w:tcW w:w="1385" w:type="dxa"/>
          </w:tcPr>
          <w:p w14:paraId="7B885367" w14:textId="57129819"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F61DB08" w14:textId="77777777" w:rsidR="00050164" w:rsidRDefault="00050164" w:rsidP="00050164">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681CCDF2" w14:textId="77777777" w:rsidR="00050164" w:rsidRDefault="00050164" w:rsidP="00050164">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3415A97C" w14:textId="77777777" w:rsidR="00050164" w:rsidRDefault="00050164" w:rsidP="00050164">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sidRPr="00E9680D">
              <w:rPr>
                <w:b/>
                <w:i/>
                <w:color w:val="FF0000"/>
                <w:lang w:eastAsia="zh-CN"/>
              </w:rPr>
              <w:t xml:space="preserve"> are reported in a beam report</w:t>
            </w:r>
            <w:r>
              <w:rPr>
                <w:b/>
                <w:i/>
                <w:lang w:eastAsia="zh-CN"/>
              </w:rPr>
              <w:t>, where M can be larger than 4</w:t>
            </w:r>
          </w:p>
          <w:p w14:paraId="3E13DB74" w14:textId="77777777" w:rsidR="00050164" w:rsidRDefault="00050164" w:rsidP="00050164">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7F4956C" w14:textId="1AD6D014" w:rsidR="00050164" w:rsidRDefault="00050164" w:rsidP="00050164">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3A1DA7" w14:paraId="46B82C04" w14:textId="77777777" w:rsidTr="009B08E0">
        <w:tc>
          <w:tcPr>
            <w:tcW w:w="1385" w:type="dxa"/>
          </w:tcPr>
          <w:p w14:paraId="7456B692" w14:textId="064C4842" w:rsidR="003A1DA7" w:rsidRDefault="003A1DA7" w:rsidP="00050164">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Google</w:t>
            </w:r>
          </w:p>
        </w:tc>
        <w:tc>
          <w:tcPr>
            <w:tcW w:w="7480" w:type="dxa"/>
          </w:tcPr>
          <w:p w14:paraId="3DA6E551" w14:textId="34DCE700" w:rsidR="003A1DA7" w:rsidRDefault="003A1DA7" w:rsidP="00050164">
            <w:pPr>
              <w:spacing w:after="120"/>
              <w:rPr>
                <w:rFonts w:eastAsiaTheme="minorEastAsia"/>
                <w:lang w:eastAsia="zh-CN"/>
              </w:rPr>
            </w:pPr>
            <w:r>
              <w:rPr>
                <w:rFonts w:eastAsiaTheme="minorEastAsia"/>
                <w:lang w:eastAsia="zh-CN"/>
              </w:rPr>
              <w:t>If this is for training, we think the whole proposal is not needed. Model training should have no spec impact.</w:t>
            </w:r>
          </w:p>
        </w:tc>
      </w:tr>
    </w:tbl>
    <w:p w14:paraId="3A68C94D" w14:textId="77777777" w:rsidR="006768CC" w:rsidRDefault="006768CC">
      <w:pPr>
        <w:pStyle w:val="BodyText"/>
      </w:pPr>
    </w:p>
    <w:p w14:paraId="60FF692F" w14:textId="77777777" w:rsidR="006768CC" w:rsidRDefault="00451D06">
      <w:pPr>
        <w:pStyle w:val="Heading2"/>
      </w:pPr>
      <w:r>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lastRenderedPageBreak/>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ListParagraph"/>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lastRenderedPageBreak/>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lastRenderedPageBreak/>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BodyText"/>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BodyText"/>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lastRenderedPageBreak/>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Can you please give an example when a gNB side model would have this issue.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E3058">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E305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E3058">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E3058">
            <w:pPr>
              <w:rPr>
                <w:rFonts w:eastAsiaTheme="minorEastAsia"/>
                <w:bCs/>
                <w:iCs/>
                <w:lang w:eastAsia="zh-CN"/>
              </w:rPr>
            </w:pPr>
            <w:r>
              <w:rPr>
                <w:rFonts w:eastAsiaTheme="minorEastAsia"/>
                <w:bCs/>
                <w:iCs/>
                <w:lang w:eastAsia="zh-CN"/>
              </w:rPr>
              <w:t>Ok with the update</w:t>
            </w:r>
          </w:p>
        </w:tc>
      </w:tr>
      <w:tr w:rsidR="00050164" w14:paraId="63190D89" w14:textId="77777777" w:rsidTr="003F7683">
        <w:tc>
          <w:tcPr>
            <w:tcW w:w="1385" w:type="dxa"/>
          </w:tcPr>
          <w:p w14:paraId="4BD08B7F" w14:textId="2B445AA3" w:rsidR="00050164" w:rsidRPr="004106B3" w:rsidRDefault="00050164" w:rsidP="0005016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A845E0E" w14:textId="7855F00F" w:rsidR="00050164" w:rsidRDefault="00050164" w:rsidP="00050164">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r w:rsidR="003A1DA7" w14:paraId="20A2C74A" w14:textId="77777777" w:rsidTr="003F7683">
        <w:tc>
          <w:tcPr>
            <w:tcW w:w="1385" w:type="dxa"/>
          </w:tcPr>
          <w:p w14:paraId="4C6D491C" w14:textId="38D3B693" w:rsidR="003A1DA7" w:rsidRDefault="003A1DA7" w:rsidP="00050164">
            <w:pPr>
              <w:rPr>
                <w:rFonts w:eastAsiaTheme="minorEastAsia" w:hint="eastAsia"/>
                <w:smallCaps/>
                <w:lang w:eastAsia="zh-CN"/>
              </w:rPr>
            </w:pPr>
            <w:r>
              <w:rPr>
                <w:rFonts w:eastAsiaTheme="minorEastAsia"/>
                <w:smallCaps/>
                <w:lang w:eastAsia="zh-CN"/>
              </w:rPr>
              <w:t>Google</w:t>
            </w:r>
          </w:p>
        </w:tc>
        <w:tc>
          <w:tcPr>
            <w:tcW w:w="7480" w:type="dxa"/>
          </w:tcPr>
          <w:p w14:paraId="0CD1A41A" w14:textId="77777777" w:rsidR="003A1DA7" w:rsidRDefault="003A1DA7" w:rsidP="00050164">
            <w:pPr>
              <w:rPr>
                <w:rFonts w:eastAsiaTheme="minorEastAsia"/>
                <w:lang w:eastAsia="zh-CN"/>
              </w:rPr>
            </w:pPr>
            <w:r>
              <w:rPr>
                <w:rFonts w:eastAsiaTheme="minorEastAsia"/>
                <w:lang w:eastAsia="zh-CN"/>
              </w:rPr>
              <w:t>We can study potential beam indication enhancement for AI/ML based beam prediction, but current formulation seems to suggest a different thing. We suggest the following proposal:</w:t>
            </w:r>
          </w:p>
          <w:p w14:paraId="19FC4555" w14:textId="77777777" w:rsidR="003A1DA7" w:rsidRDefault="003A1DA7" w:rsidP="00050164">
            <w:pPr>
              <w:rPr>
                <w:rFonts w:eastAsiaTheme="minorEastAsia"/>
                <w:lang w:eastAsia="zh-CN"/>
              </w:rPr>
            </w:pPr>
          </w:p>
          <w:p w14:paraId="79834B56" w14:textId="540D6346" w:rsidR="00561792" w:rsidRDefault="00561792" w:rsidP="0056179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sidRPr="00561792">
              <w:rPr>
                <w:rFonts w:ascii="Times" w:eastAsia="Batang" w:hAnsi="Times"/>
                <w:b/>
                <w:i/>
                <w:strike/>
                <w:color w:val="0070C0"/>
                <w:lang w:val="en-GB"/>
              </w:rPr>
              <w:t>In order to facilitate the AI/ML model inference,</w:t>
            </w:r>
            <w:r w:rsidRPr="00561792">
              <w:rPr>
                <w:rFonts w:ascii="Times" w:eastAsia="Batang" w:hAnsi="Times"/>
                <w:b/>
                <w:i/>
                <w:color w:val="0070C0"/>
                <w:lang w:val="en-GB"/>
              </w:rPr>
              <w:t xml:space="preserve"> </w:t>
            </w:r>
            <w:proofErr w:type="gramStart"/>
            <w:r w:rsidRPr="00561792">
              <w:rPr>
                <w:rFonts w:ascii="Times" w:eastAsia="Batang" w:hAnsi="Times"/>
                <w:b/>
                <w:i/>
                <w:color w:val="0070C0"/>
                <w:lang w:val="en-GB"/>
              </w:rPr>
              <w:t>With</w:t>
            </w:r>
            <w:proofErr w:type="gramEnd"/>
            <w:r w:rsidRPr="00561792">
              <w:rPr>
                <w:rFonts w:ascii="Times" w:eastAsia="Batang" w:hAnsi="Times"/>
                <w:b/>
                <w:i/>
                <w:color w:val="0070C0"/>
                <w:lang w:val="en-GB"/>
              </w:rPr>
              <w:t xml:space="preserve"> regard to AI/ML based beam prediction,</w:t>
            </w:r>
            <w:r w:rsidRPr="00561792">
              <w:rPr>
                <w:rFonts w:ascii="Times" w:eastAsia="Batang" w:hAnsi="Times"/>
                <w:b/>
                <w:i/>
                <w:color w:val="0070C0"/>
                <w:lang w:val="en-GB"/>
              </w:rPr>
              <w:t xml:space="preserve"> </w:t>
            </w:r>
            <w:r>
              <w:rPr>
                <w:rFonts w:ascii="Times" w:eastAsia="Batang" w:hAnsi="Times"/>
                <w:b/>
                <w:i/>
                <w:lang w:val="en-GB"/>
              </w:rPr>
              <w:t>study the following additional aspect:</w:t>
            </w:r>
          </w:p>
          <w:p w14:paraId="3CEE2704" w14:textId="7958ABB9" w:rsidR="00561792" w:rsidRDefault="00561792" w:rsidP="00561792">
            <w:pPr>
              <w:pStyle w:val="BodyText"/>
              <w:numPr>
                <w:ilvl w:val="0"/>
                <w:numId w:val="65"/>
              </w:numPr>
              <w:rPr>
                <w:b/>
                <w:i/>
              </w:rPr>
            </w:pPr>
            <w:r w:rsidRPr="00561792">
              <w:rPr>
                <w:b/>
                <w:i/>
                <w:strike/>
                <w:color w:val="0070C0"/>
              </w:rPr>
              <w:lastRenderedPageBreak/>
              <w:t>Beam indication</w:t>
            </w:r>
            <w:r w:rsidRPr="00561792">
              <w:rPr>
                <w:b/>
                <w:i/>
                <w:color w:val="0070C0"/>
              </w:rPr>
              <w:t xml:space="preserve"> </w:t>
            </w:r>
            <w:r>
              <w:rPr>
                <w:b/>
                <w:i/>
                <w:color w:val="0070C0"/>
              </w:rPr>
              <w:t xml:space="preserve">Enhancement of </w:t>
            </w:r>
            <w:r w:rsidRPr="00561792">
              <w:rPr>
                <w:b/>
                <w:i/>
                <w:color w:val="0070C0"/>
              </w:rPr>
              <w:t>TCI update signaling</w:t>
            </w:r>
            <w:r w:rsidRPr="00561792">
              <w:rPr>
                <w:b/>
                <w:i/>
                <w:color w:val="0070C0"/>
              </w:rPr>
              <w:t xml:space="preserve"> </w:t>
            </w:r>
            <w:r>
              <w:rPr>
                <w:b/>
                <w:i/>
              </w:rPr>
              <w:t xml:space="preserve">of the predicted </w:t>
            </w:r>
            <w:r>
              <w:rPr>
                <w:b/>
                <w:i/>
                <w:highlight w:val="yellow"/>
              </w:rPr>
              <w:t>DL Tx</w:t>
            </w:r>
            <w:r>
              <w:rPr>
                <w:b/>
                <w:i/>
              </w:rPr>
              <w:t xml:space="preserve"> beam(s) </w:t>
            </w:r>
          </w:p>
          <w:p w14:paraId="45907664" w14:textId="2AC6B60A" w:rsidR="00561792" w:rsidRPr="00561792" w:rsidRDefault="00561792" w:rsidP="00561792">
            <w:pPr>
              <w:pStyle w:val="BodyText"/>
              <w:numPr>
                <w:ilvl w:val="0"/>
                <w:numId w:val="65"/>
              </w:numPr>
              <w:rPr>
                <w:b/>
                <w:i/>
              </w:rPr>
            </w:pPr>
            <w:r w:rsidRPr="00561792">
              <w:rPr>
                <w:b/>
                <w:i/>
                <w:color w:val="0070C0"/>
              </w:rPr>
              <w:t xml:space="preserve">FFS: Whether this is based on Rel-17 </w:t>
            </w:r>
            <w:r>
              <w:rPr>
                <w:b/>
                <w:i/>
                <w:color w:val="0070C0"/>
              </w:rPr>
              <w:t xml:space="preserve">unified </w:t>
            </w:r>
            <w:r w:rsidRPr="00561792">
              <w:rPr>
                <w:b/>
                <w:i/>
                <w:color w:val="0070C0"/>
              </w:rPr>
              <w:t>TCI framework or Rel-15/Rel-16 TCI framew</w:t>
            </w:r>
            <w:r>
              <w:rPr>
                <w:b/>
                <w:i/>
                <w:color w:val="0070C0"/>
              </w:rPr>
              <w:t>o</w:t>
            </w:r>
            <w:r w:rsidRPr="00561792">
              <w:rPr>
                <w:b/>
                <w:i/>
                <w:color w:val="0070C0"/>
              </w:rPr>
              <w:t>rk</w:t>
            </w:r>
          </w:p>
          <w:p w14:paraId="179A9715" w14:textId="1C87365C" w:rsidR="003A1DA7" w:rsidRDefault="003A1DA7" w:rsidP="00050164">
            <w:pPr>
              <w:rPr>
                <w:rFonts w:eastAsiaTheme="minorEastAsia"/>
                <w:lang w:eastAsia="zh-CN"/>
              </w:rPr>
            </w:pP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gNB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lastRenderedPageBreak/>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lastRenderedPageBreak/>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32854D" w14:textId="7A1695C7" w:rsidR="00B955AA" w:rsidRDefault="00B955AA"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tc>
      </w:tr>
      <w:tr w:rsidR="00FD0C38" w14:paraId="09639D44" w14:textId="77777777" w:rsidTr="003F7683">
        <w:tc>
          <w:tcPr>
            <w:tcW w:w="1385" w:type="dxa"/>
          </w:tcPr>
          <w:p w14:paraId="398DD53E" w14:textId="4D950215" w:rsidR="00FD0C38" w:rsidRDefault="00FD0C38" w:rsidP="008E3058">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sidRPr="00FD0C38">
              <w:rPr>
                <w:rFonts w:eastAsia="SimSun"/>
                <w:b/>
                <w:i/>
                <w:color w:val="4472C4" w:themeColor="accent1"/>
                <w:lang w:eastAsia="zh-CN"/>
              </w:rPr>
              <w:t>measurement imperfection indication</w:t>
            </w:r>
            <w:r>
              <w:rPr>
                <w:rFonts w:eastAsia="SimSun"/>
                <w:b/>
                <w:i/>
                <w:color w:val="4472C4" w:themeColor="accent1"/>
                <w:lang w:eastAsia="zh-CN"/>
              </w:rPr>
              <w:t xml:space="preserve">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sidRPr="00D71193">
              <w:rPr>
                <w:rFonts w:eastAsia="SimSun"/>
                <w:b/>
                <w:i/>
                <w:color w:val="4472C4" w:themeColor="accent1"/>
                <w:lang w:eastAsia="zh-CN"/>
              </w:rPr>
              <w:t>)</w:t>
            </w:r>
            <w:r w:rsidRPr="00D71193">
              <w:rPr>
                <w:rFonts w:eastAsia="SimSun"/>
                <w:b/>
                <w:i/>
                <w:color w:val="FF0000"/>
                <w:lang w:eastAsia="zh-CN"/>
              </w:rPr>
              <w:t>, report of temporal variance of L1-RSRP/L1-SINR measurements, etc.</w:t>
            </w:r>
          </w:p>
          <w:p w14:paraId="113A6C90" w14:textId="77777777" w:rsidR="00FD0C38" w:rsidRDefault="00FD0C38" w:rsidP="008E3058">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050164" w14:paraId="5F2AC14F" w14:textId="77777777" w:rsidTr="003F7683">
        <w:tc>
          <w:tcPr>
            <w:tcW w:w="1385" w:type="dxa"/>
          </w:tcPr>
          <w:p w14:paraId="674C6498" w14:textId="729EBAC9"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8BBFECC" w14:textId="4E70B8A4" w:rsidR="00050164" w:rsidRDefault="00050164" w:rsidP="00050164">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 xml:space="preserve">If the model is inferred at UE side, how to indicate the N predicted Tx beams to gNB </w:t>
            </w:r>
            <w:r>
              <w:rPr>
                <w:i/>
                <w:iCs/>
                <w:szCs w:val="20"/>
              </w:rPr>
              <w:lastRenderedPageBreak/>
              <w:t>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lastRenderedPageBreak/>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35"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5"/>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36"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36"/>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E3058">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r w:rsidR="005F08C2">
              <w:rPr>
                <w:rFonts w:eastAsia="SimSun"/>
                <w:bCs/>
                <w:iCs/>
                <w:lang w:eastAsia="zh-CN"/>
              </w:rPr>
              <w:t xml:space="preserve"> and we are ok with Xiaomi’s updates.</w:t>
            </w:r>
          </w:p>
        </w:tc>
      </w:tr>
      <w:tr w:rsidR="00050164" w14:paraId="38617140" w14:textId="77777777" w:rsidTr="003F7683">
        <w:tc>
          <w:tcPr>
            <w:tcW w:w="1385" w:type="dxa"/>
          </w:tcPr>
          <w:p w14:paraId="49E01191" w14:textId="6A801AC6"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40ED72C" w14:textId="4F900003" w:rsidR="00050164" w:rsidRDefault="00050164" w:rsidP="00050164">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561792" w14:paraId="3A4DF440" w14:textId="77777777" w:rsidTr="003F7683">
        <w:tc>
          <w:tcPr>
            <w:tcW w:w="1385" w:type="dxa"/>
          </w:tcPr>
          <w:p w14:paraId="72B5BA69" w14:textId="45E407E3" w:rsidR="00561792" w:rsidRDefault="00561792" w:rsidP="00050164">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Google</w:t>
            </w:r>
          </w:p>
        </w:tc>
        <w:tc>
          <w:tcPr>
            <w:tcW w:w="7480" w:type="dxa"/>
          </w:tcPr>
          <w:p w14:paraId="40BD540B" w14:textId="2B665763" w:rsidR="00561792" w:rsidRDefault="00561792" w:rsidP="00050164">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We still do not think UE needs to report the predicted L1-RSRP. UE does not need to predict L1-RSRP.</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37"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7"/>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lastRenderedPageBreak/>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8"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8"/>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39" w:name="_Toc115451783"/>
            <w:r>
              <w:rPr>
                <w:rFonts w:ascii="Times New Roman" w:hAnsi="Times New Roman" w:cs="Times New Roman"/>
                <w:b w:val="0"/>
                <w:bCs w:val="0"/>
                <w:i/>
                <w:iCs/>
                <w:lang w:val="en-GB"/>
              </w:rPr>
              <w:t>triggering conditions for model monitoring</w:t>
            </w:r>
            <w:bookmarkEnd w:id="39"/>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0" w:name="_Toc115451784"/>
            <w:r>
              <w:rPr>
                <w:rFonts w:ascii="Times New Roman" w:hAnsi="Times New Roman" w:cs="Times New Roman"/>
                <w:b w:val="0"/>
                <w:bCs w:val="0"/>
                <w:i/>
                <w:iCs/>
                <w:lang w:val="en-GB"/>
              </w:rPr>
              <w:t>mechanisms to support UE reporting its model performance related metric to the NW</w:t>
            </w:r>
            <w:bookmarkEnd w:id="40"/>
            <w:r>
              <w:rPr>
                <w:rFonts w:ascii="Times New Roman" w:hAnsi="Times New Roman" w:cs="Times New Roman"/>
                <w:b w:val="0"/>
                <w:bCs w:val="0"/>
                <w:i/>
                <w:iCs/>
                <w:lang w:val="en-GB"/>
              </w:rPr>
              <w:t xml:space="preserve"> </w:t>
            </w:r>
            <w:bookmarkStart w:id="41"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1"/>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lastRenderedPageBreak/>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E3058">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r w:rsidR="00050164" w14:paraId="486FC218" w14:textId="77777777" w:rsidTr="003F7683">
        <w:tc>
          <w:tcPr>
            <w:tcW w:w="1385" w:type="dxa"/>
          </w:tcPr>
          <w:p w14:paraId="3BB870C1" w14:textId="725AA09B" w:rsidR="00050164" w:rsidRDefault="00050164" w:rsidP="0005016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CA641F" w14:textId="19D05F29" w:rsidR="00050164" w:rsidRDefault="00050164" w:rsidP="00050164">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561792" w14:paraId="143D4ED9" w14:textId="77777777" w:rsidTr="003F7683">
        <w:tc>
          <w:tcPr>
            <w:tcW w:w="1385" w:type="dxa"/>
          </w:tcPr>
          <w:p w14:paraId="3458CAD9" w14:textId="238FB20E" w:rsidR="00561792" w:rsidRDefault="00561792" w:rsidP="00050164">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Google</w:t>
            </w:r>
          </w:p>
        </w:tc>
        <w:tc>
          <w:tcPr>
            <w:tcW w:w="7480" w:type="dxa"/>
          </w:tcPr>
          <w:p w14:paraId="4D6AC611" w14:textId="4C4806B6" w:rsidR="00561792" w:rsidRDefault="00561792" w:rsidP="00050164">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 DOCOMO’s proposal</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lastRenderedPageBreak/>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0B167011" w:rsidR="006768CC" w:rsidRDefault="00561792">
            <w:pPr>
              <w:spacing w:after="120"/>
            </w:pPr>
            <w:r>
              <w:t>Google</w:t>
            </w: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E3058">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6642D7CE" w14:textId="3A486D8C" w:rsidR="00E17130" w:rsidRDefault="00E17130" w:rsidP="008E305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w:t>
            </w:r>
            <w:r w:rsidR="00A86598">
              <w:rPr>
                <w:rFonts w:eastAsia="SimSun" w:hint="eastAsia"/>
                <w:color w:val="000000" w:themeColor="text1"/>
                <w:lang w:eastAsia="zh-CN"/>
              </w:rPr>
              <w:t>not fair at current stage</w:t>
            </w:r>
            <w:r>
              <w:rPr>
                <w:rFonts w:eastAsia="SimSun" w:hint="eastAsia"/>
                <w:color w:val="000000" w:themeColor="text1"/>
                <w:lang w:eastAsia="zh-CN"/>
              </w:rPr>
              <w:t xml:space="preserv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E3058">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E305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E305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3E8357FC" w14:textId="25C0CB98" w:rsidR="008143BE" w:rsidRDefault="008143BE" w:rsidP="008E305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lastRenderedPageBreak/>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r>
              <w:rPr>
                <w:rFonts w:hint="eastAsia"/>
              </w:rPr>
              <w:t>Z</w:t>
            </w:r>
            <w:r>
              <w:t>hihua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r>
              <w:t>Weidong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t>AT&amp;T</w:t>
            </w:r>
          </w:p>
        </w:tc>
        <w:tc>
          <w:tcPr>
            <w:tcW w:w="2410" w:type="dxa"/>
            <w:vAlign w:val="center"/>
          </w:tcPr>
          <w:p w14:paraId="57BADC05" w14:textId="77777777" w:rsidR="006768CC" w:rsidRDefault="00451D06">
            <w:pPr>
              <w:pStyle w:val="BodyText"/>
              <w:spacing w:before="40"/>
            </w:pPr>
            <w:r>
              <w:t>Thomas Novlan</w:t>
            </w:r>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r>
              <w:rPr>
                <w:smallCaps/>
              </w:rPr>
              <w:t>Futurewei</w:t>
            </w:r>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r>
              <w:rPr>
                <w:lang w:eastAsia="ko-KR"/>
              </w:rPr>
              <w:t>Jiwon Kang</w:t>
            </w:r>
          </w:p>
          <w:p w14:paraId="36FE0A91" w14:textId="77777777" w:rsidR="006768CC" w:rsidRDefault="00451D06">
            <w:pPr>
              <w:pStyle w:val="BodyText"/>
              <w:spacing w:before="40"/>
              <w:rPr>
                <w:rFonts w:eastAsiaTheme="minorEastAsia"/>
                <w:lang w:eastAsia="zh-CN"/>
              </w:rPr>
            </w:pPr>
            <w:r>
              <w:rPr>
                <w:lang w:eastAsia="ko-KR"/>
              </w:rPr>
              <w:t>Haewook Park</w:t>
            </w:r>
          </w:p>
        </w:tc>
        <w:tc>
          <w:tcPr>
            <w:tcW w:w="4389" w:type="dxa"/>
            <w:vAlign w:val="center"/>
          </w:tcPr>
          <w:p w14:paraId="4AE81F5D" w14:textId="77777777" w:rsidR="006768CC" w:rsidRDefault="00000000">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000000">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Henrik Ryden</w:t>
            </w:r>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Mihai Enescu</w:t>
            </w:r>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lastRenderedPageBreak/>
              <w:t>CATT</w:t>
            </w:r>
          </w:p>
        </w:tc>
        <w:tc>
          <w:tcPr>
            <w:tcW w:w="2410" w:type="dxa"/>
            <w:vAlign w:val="center"/>
          </w:tcPr>
          <w:p w14:paraId="62A094DE" w14:textId="77777777" w:rsidR="006768CC" w:rsidRDefault="00451D06">
            <w:pPr>
              <w:pStyle w:val="BodyText"/>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12EF9D"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D7AA310" w14:textId="77777777" w:rsidR="006768CC" w:rsidRDefault="00451D06">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7668F5"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7668F5"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2B37" w14:textId="77777777" w:rsidR="00A10D32" w:rsidRDefault="00A10D32">
      <w:r>
        <w:separator/>
      </w:r>
    </w:p>
  </w:endnote>
  <w:endnote w:type="continuationSeparator" w:id="0">
    <w:p w14:paraId="71CEC53E" w14:textId="77777777" w:rsidR="00A10D32" w:rsidRDefault="00A1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5DFF" w14:textId="77777777" w:rsidR="00A10D32" w:rsidRDefault="00A10D32">
      <w:r>
        <w:separator/>
      </w:r>
    </w:p>
  </w:footnote>
  <w:footnote w:type="continuationSeparator" w:id="0">
    <w:p w14:paraId="1FAF4C69" w14:textId="77777777" w:rsidR="00A10D32" w:rsidRDefault="00A1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520B79"/>
    <w:multiLevelType w:val="hybridMultilevel"/>
    <w:tmpl w:val="91E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2"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7"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1"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2"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01555862">
    <w:abstractNumId w:val="24"/>
  </w:num>
  <w:num w:numId="2" w16cid:durableId="1660306485">
    <w:abstractNumId w:val="51"/>
  </w:num>
  <w:num w:numId="3" w16cid:durableId="1172187182">
    <w:abstractNumId w:val="62"/>
  </w:num>
  <w:num w:numId="4" w16cid:durableId="1670328321">
    <w:abstractNumId w:val="69"/>
  </w:num>
  <w:num w:numId="5" w16cid:durableId="1188789546">
    <w:abstractNumId w:val="1"/>
  </w:num>
  <w:num w:numId="6" w16cid:durableId="15363880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265545">
    <w:abstractNumId w:val="42"/>
  </w:num>
  <w:num w:numId="8" w16cid:durableId="34815708">
    <w:abstractNumId w:val="33"/>
    <w:lvlOverride w:ilvl="0">
      <w:startOverride w:val="1"/>
    </w:lvlOverride>
  </w:num>
  <w:num w:numId="9" w16cid:durableId="20750089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990788">
    <w:abstractNumId w:val="66"/>
  </w:num>
  <w:num w:numId="11" w16cid:durableId="1376200890">
    <w:abstractNumId w:val="47"/>
  </w:num>
  <w:num w:numId="12" w16cid:durableId="1768192993">
    <w:abstractNumId w:val="76"/>
  </w:num>
  <w:num w:numId="13" w16cid:durableId="292441559">
    <w:abstractNumId w:val="26"/>
  </w:num>
  <w:num w:numId="14" w16cid:durableId="854534754">
    <w:abstractNumId w:val="54"/>
  </w:num>
  <w:num w:numId="15" w16cid:durableId="2077780840">
    <w:abstractNumId w:val="9"/>
  </w:num>
  <w:num w:numId="16" w16cid:durableId="932668248">
    <w:abstractNumId w:val="0"/>
  </w:num>
  <w:num w:numId="17" w16cid:durableId="863249576">
    <w:abstractNumId w:val="5"/>
  </w:num>
  <w:num w:numId="18" w16cid:durableId="1817063289">
    <w:abstractNumId w:val="46"/>
  </w:num>
  <w:num w:numId="19" w16cid:durableId="1342852785">
    <w:abstractNumId w:val="64"/>
  </w:num>
  <w:num w:numId="20" w16cid:durableId="1102412893">
    <w:abstractNumId w:val="52"/>
  </w:num>
  <w:num w:numId="21" w16cid:durableId="1902208113">
    <w:abstractNumId w:val="60"/>
  </w:num>
  <w:num w:numId="22" w16cid:durableId="403601407">
    <w:abstractNumId w:val="50"/>
  </w:num>
  <w:num w:numId="23" w16cid:durableId="1142236897">
    <w:abstractNumId w:val="45"/>
  </w:num>
  <w:num w:numId="24" w16cid:durableId="1711685738">
    <w:abstractNumId w:val="37"/>
  </w:num>
  <w:num w:numId="25" w16cid:durableId="540629529">
    <w:abstractNumId w:val="65"/>
  </w:num>
  <w:num w:numId="26" w16cid:durableId="1673755031">
    <w:abstractNumId w:val="75"/>
  </w:num>
  <w:num w:numId="27" w16cid:durableId="1371757317">
    <w:abstractNumId w:val="3"/>
  </w:num>
  <w:num w:numId="28" w16cid:durableId="1950627446">
    <w:abstractNumId w:val="21"/>
  </w:num>
  <w:num w:numId="29" w16cid:durableId="523322221">
    <w:abstractNumId w:val="55"/>
  </w:num>
  <w:num w:numId="30" w16cid:durableId="1306548416">
    <w:abstractNumId w:val="22"/>
  </w:num>
  <w:num w:numId="31" w16cid:durableId="748236010">
    <w:abstractNumId w:val="77"/>
  </w:num>
  <w:num w:numId="32" w16cid:durableId="2107381450">
    <w:abstractNumId w:val="71"/>
  </w:num>
  <w:num w:numId="33" w16cid:durableId="1747730128">
    <w:abstractNumId w:val="31"/>
  </w:num>
  <w:num w:numId="34" w16cid:durableId="1850369898">
    <w:abstractNumId w:val="43"/>
  </w:num>
  <w:num w:numId="35" w16cid:durableId="1499341478">
    <w:abstractNumId w:val="28"/>
  </w:num>
  <w:num w:numId="36" w16cid:durableId="1733506250">
    <w:abstractNumId w:val="23"/>
  </w:num>
  <w:num w:numId="37" w16cid:durableId="68817702">
    <w:abstractNumId w:val="59"/>
  </w:num>
  <w:num w:numId="38" w16cid:durableId="1645965743">
    <w:abstractNumId w:val="7"/>
  </w:num>
  <w:num w:numId="39" w16cid:durableId="303779384">
    <w:abstractNumId w:val="68"/>
  </w:num>
  <w:num w:numId="40" w16cid:durableId="899361885">
    <w:abstractNumId w:val="58"/>
  </w:num>
  <w:num w:numId="41" w16cid:durableId="830371311">
    <w:abstractNumId w:val="13"/>
  </w:num>
  <w:num w:numId="42" w16cid:durableId="646784615">
    <w:abstractNumId w:val="78"/>
  </w:num>
  <w:num w:numId="43" w16cid:durableId="848985282">
    <w:abstractNumId w:val="19"/>
  </w:num>
  <w:num w:numId="44" w16cid:durableId="1471940641">
    <w:abstractNumId w:val="12"/>
  </w:num>
  <w:num w:numId="45" w16cid:durableId="853613849">
    <w:abstractNumId w:val="6"/>
  </w:num>
  <w:num w:numId="46" w16cid:durableId="1611935537">
    <w:abstractNumId w:val="11"/>
  </w:num>
  <w:num w:numId="47" w16cid:durableId="1994408670">
    <w:abstractNumId w:val="40"/>
  </w:num>
  <w:num w:numId="48" w16cid:durableId="1930657213">
    <w:abstractNumId w:val="56"/>
  </w:num>
  <w:num w:numId="49" w16cid:durableId="1959683684">
    <w:abstractNumId w:val="18"/>
  </w:num>
  <w:num w:numId="50" w16cid:durableId="1094127792">
    <w:abstractNumId w:val="29"/>
  </w:num>
  <w:num w:numId="51" w16cid:durableId="250042607">
    <w:abstractNumId w:val="48"/>
  </w:num>
  <w:num w:numId="52" w16cid:durableId="258300385">
    <w:abstractNumId w:val="27"/>
  </w:num>
  <w:num w:numId="53" w16cid:durableId="1886484640">
    <w:abstractNumId w:val="16"/>
  </w:num>
  <w:num w:numId="54" w16cid:durableId="2061201970">
    <w:abstractNumId w:val="35"/>
  </w:num>
  <w:num w:numId="55" w16cid:durableId="1506049581">
    <w:abstractNumId w:val="41"/>
  </w:num>
  <w:num w:numId="56" w16cid:durableId="504788932">
    <w:abstractNumId w:val="38"/>
  </w:num>
  <w:num w:numId="57" w16cid:durableId="1416590197">
    <w:abstractNumId w:val="10"/>
  </w:num>
  <w:num w:numId="58" w16cid:durableId="1540314100">
    <w:abstractNumId w:val="53"/>
  </w:num>
  <w:num w:numId="59" w16cid:durableId="514342254">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16cid:durableId="1941831772">
    <w:abstractNumId w:val="2"/>
  </w:num>
  <w:num w:numId="61" w16cid:durableId="797794739">
    <w:abstractNumId w:val="36"/>
  </w:num>
  <w:num w:numId="62" w16cid:durableId="1715497069">
    <w:abstractNumId w:val="8"/>
  </w:num>
  <w:num w:numId="63" w16cid:durableId="189801884">
    <w:abstractNumId w:val="39"/>
  </w:num>
  <w:num w:numId="64" w16cid:durableId="855268329">
    <w:abstractNumId w:val="34"/>
  </w:num>
  <w:num w:numId="65" w16cid:durableId="812987286">
    <w:abstractNumId w:val="73"/>
  </w:num>
  <w:num w:numId="66" w16cid:durableId="893467971">
    <w:abstractNumId w:val="14"/>
  </w:num>
  <w:num w:numId="67" w16cid:durableId="2052070227">
    <w:abstractNumId w:val="25"/>
  </w:num>
  <w:num w:numId="68" w16cid:durableId="864249044">
    <w:abstractNumId w:val="57"/>
  </w:num>
  <w:num w:numId="69" w16cid:durableId="183523591">
    <w:abstractNumId w:val="49"/>
  </w:num>
  <w:num w:numId="70" w16cid:durableId="1457917615">
    <w:abstractNumId w:val="72"/>
  </w:num>
  <w:num w:numId="71" w16cid:durableId="1058745581">
    <w:abstractNumId w:val="15"/>
  </w:num>
  <w:num w:numId="72" w16cid:durableId="2133551920">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16cid:durableId="1108740649">
    <w:abstractNumId w:val="63"/>
  </w:num>
  <w:num w:numId="74" w16cid:durableId="1042827714">
    <w:abstractNumId w:val="74"/>
  </w:num>
  <w:num w:numId="75" w16cid:durableId="1815485416">
    <w:abstractNumId w:val="67"/>
  </w:num>
  <w:num w:numId="76" w16cid:durableId="833300608">
    <w:abstractNumId w:val="17"/>
  </w:num>
  <w:num w:numId="77" w16cid:durableId="2110999512">
    <w:abstractNumId w:val="20"/>
  </w:num>
  <w:num w:numId="78" w16cid:durableId="55906406">
    <w:abstractNumId w:val="61"/>
  </w:num>
  <w:num w:numId="79" w16cid:durableId="1301375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77693191">
    <w:abstractNumId w:val="44"/>
  </w:num>
  <w:num w:numId="81" w16cid:durableId="145051665">
    <w:abstractNumId w:val="70"/>
  </w:num>
  <w:num w:numId="82" w16cid:durableId="1200898494">
    <w:abstractNumId w:val="32"/>
  </w:num>
  <w:num w:numId="83" w16cid:durableId="1635063955">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164"/>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1D3"/>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DA7"/>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792"/>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8F5"/>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0D32"/>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A05"/>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690"/>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A37"/>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FC"/>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 w:type="paragraph" w:styleId="Revision">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5F1DE-F08F-4FF9-916A-39B8F461857A}">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33610</Words>
  <Characters>191579</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2022-10-12T02:59:00Z</dcterms:created>
  <dcterms:modified xsi:type="dcterms:W3CDTF">2022-10-12T06:41:00Z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