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633141D"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1F781489"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A33FCDF"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442FF"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743FDA"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proofErr w:type="spellStart"/>
            <w:r>
              <w:rPr>
                <w:rFonts w:hint="eastAsia"/>
                <w:kern w:val="0"/>
                <w:lang w:val="sv-SE"/>
              </w:rPr>
              <w:t>Xiaomi</w:t>
            </w:r>
            <w:proofErr w:type="spellEnd"/>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743FDA"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743FDA" w:rsidRPr="00743FDA"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1D5F0531" w:rsidR="00743FDA" w:rsidRPr="00743FDA" w:rsidRDefault="00743FDA" w:rsidP="00743FDA">
            <w:pPr>
              <w:rPr>
                <w:kern w:val="0"/>
              </w:rPr>
            </w:pPr>
            <w:r w:rsidRPr="00743FDA">
              <w:rPr>
                <w:rFonts w:hint="eastAsia"/>
                <w:kern w:val="0"/>
              </w:rPr>
              <w:t>N</w:t>
            </w:r>
            <w:r w:rsidRPr="00743FDA">
              <w:rPr>
                <w:kern w:val="0"/>
              </w:rPr>
              <w:t>TT DOCOMO</w:t>
            </w:r>
          </w:p>
        </w:tc>
        <w:tc>
          <w:tcPr>
            <w:tcW w:w="1545" w:type="pct"/>
            <w:tcBorders>
              <w:top w:val="single" w:sz="4" w:space="0" w:color="auto"/>
              <w:left w:val="single" w:sz="4" w:space="0" w:color="auto"/>
              <w:bottom w:val="single" w:sz="4" w:space="0" w:color="auto"/>
              <w:right w:val="single" w:sz="4" w:space="0" w:color="auto"/>
            </w:tcBorders>
          </w:tcPr>
          <w:p w14:paraId="5C6AFC8D" w14:textId="77777777" w:rsidR="00743FDA" w:rsidRPr="00743FDA" w:rsidRDefault="00743FDA" w:rsidP="00743FDA">
            <w:pPr>
              <w:rPr>
                <w:kern w:val="0"/>
              </w:rPr>
            </w:pPr>
            <w:r w:rsidRPr="00743FDA">
              <w:rPr>
                <w:kern w:val="0"/>
              </w:rPr>
              <w:t>Haruhi Echigo</w:t>
            </w:r>
          </w:p>
          <w:p w14:paraId="5E0EFEE5" w14:textId="0F678890" w:rsidR="00743FDA" w:rsidRPr="00743FDA" w:rsidRDefault="00743FDA" w:rsidP="00743FDA">
            <w:pPr>
              <w:rPr>
                <w:kern w:val="0"/>
              </w:rPr>
            </w:pPr>
            <w:r w:rsidRPr="00743FDA">
              <w:rPr>
                <w:kern w:val="0"/>
              </w:rPr>
              <w:t xml:space="preserve">Liu </w:t>
            </w:r>
            <w:proofErr w:type="spellStart"/>
            <w:r w:rsidRPr="00743FDA">
              <w:rPr>
                <w:kern w:val="0"/>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11EEBFE7" w14:textId="77777777" w:rsidR="00743FDA" w:rsidRPr="00743FDA" w:rsidRDefault="007964ED" w:rsidP="00743FDA">
            <w:pPr>
              <w:rPr>
                <w:kern w:val="0"/>
              </w:rPr>
            </w:pPr>
            <w:hyperlink r:id="rId14" w:history="1">
              <w:r w:rsidR="00743FDA" w:rsidRPr="00743FDA">
                <w:rPr>
                  <w:kern w:val="0"/>
                </w:rPr>
                <w:t>haruhi.echigo.fw@nttdocomo.com</w:t>
              </w:r>
            </w:hyperlink>
          </w:p>
          <w:p w14:paraId="0055795A" w14:textId="0F44AE41" w:rsidR="00743FDA" w:rsidRPr="00743FDA" w:rsidRDefault="00743FDA" w:rsidP="00743FDA">
            <w:pPr>
              <w:rPr>
                <w:kern w:val="0"/>
              </w:rPr>
            </w:pPr>
            <w:r w:rsidRPr="00743FDA">
              <w:rPr>
                <w:kern w:val="0"/>
              </w:rPr>
              <w:t>liul@docomolabs-beijing.com.cn</w:t>
            </w: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lastRenderedPageBreak/>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w:t>
            </w:r>
            <w:r>
              <w:rPr>
                <w:kern w:val="0"/>
              </w:rPr>
              <w:lastRenderedPageBreak/>
              <w:t>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lastRenderedPageBreak/>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Spreadtrum.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lastRenderedPageBreak/>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Therefore we think at least one common option should be supported as </w:t>
            </w:r>
            <w:r>
              <w:rPr>
                <w:kern w:val="0"/>
              </w:rPr>
              <w:lastRenderedPageBreak/>
              <w:t>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Tx beam is 1 for 2 Rx beams, or 1 for each Rx beam? We are not clear about the typical use case for </w:t>
            </w:r>
            <w:r>
              <w:rPr>
                <w:sz w:val="18"/>
                <w:szCs w:val="18"/>
              </w:rPr>
              <w:lastRenderedPageBreak/>
              <w:t>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w:t>
            </w:r>
            <w:r>
              <w:rPr>
                <w:rFonts w:eastAsiaTheme="minorEastAsia"/>
                <w:sz w:val="18"/>
                <w:szCs w:val="18"/>
                <w:lang w:eastAsia="zh-CN"/>
              </w:rPr>
              <w:lastRenderedPageBreak/>
              <w:t xml:space="preserve">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Heading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ListParagraph"/>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ListParagraph"/>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ListParagraph"/>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ListParagraph"/>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ListParagraph"/>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lastRenderedPageBreak/>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Top-1 genie-aided 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ListParagraph"/>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lastRenderedPageBreak/>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 xml:space="preserve">Q3: </w:t>
            </w:r>
            <w:proofErr w:type="gramStart"/>
            <w:r>
              <w:rPr>
                <w:rFonts w:eastAsiaTheme="minorEastAsia"/>
                <w:kern w:val="0"/>
                <w:lang w:eastAsia="zh-CN"/>
              </w:rPr>
              <w:t>Yes</w:t>
            </w:r>
            <w:proofErr w:type="gramEnd"/>
            <w:r>
              <w:rPr>
                <w:rFonts w:eastAsiaTheme="minorEastAsia"/>
                <w:kern w:val="0"/>
                <w:lang w:eastAsia="zh-CN"/>
              </w:rPr>
              <w:t xml:space="preserve">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 xml:space="preserve">Proposal 2-1-3c: </w:t>
            </w:r>
          </w:p>
          <w:p w14:paraId="3F5261E1" w14:textId="49E210B7" w:rsidR="000C3517" w:rsidRPr="0035209D" w:rsidRDefault="000C3517" w:rsidP="000C3517">
            <w:pPr>
              <w:pStyle w:val="ListParagraph"/>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ListParagraph"/>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ListParagraph"/>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ListParagraph"/>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ListParagraph"/>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505E18" w:rsidRPr="00012FF0" w14:paraId="43FD0AA7" w14:textId="77777777" w:rsidTr="007570F9">
        <w:trPr>
          <w:trHeight w:val="333"/>
        </w:trPr>
        <w:tc>
          <w:tcPr>
            <w:tcW w:w="743" w:type="pct"/>
          </w:tcPr>
          <w:p w14:paraId="75C4EDF3" w14:textId="46CECA4A" w:rsidR="00505E18" w:rsidRDefault="00505E18" w:rsidP="00505E18">
            <w:pPr>
              <w:rPr>
                <w:smallCaps/>
                <w:kern w:val="0"/>
              </w:rPr>
            </w:pPr>
            <w:r w:rsidRPr="00E911F9">
              <w:rPr>
                <w:smallCaps/>
                <w:kern w:val="0"/>
              </w:rPr>
              <w:t>NTT</w:t>
            </w:r>
            <w:r>
              <w:rPr>
                <w:smallCaps/>
                <w:kern w:val="0"/>
              </w:rPr>
              <w:t xml:space="preserve"> </w:t>
            </w:r>
            <w:r w:rsidRPr="00E911F9">
              <w:rPr>
                <w:smallCaps/>
                <w:kern w:val="0"/>
              </w:rPr>
              <w:t>DOCOMO</w:t>
            </w:r>
          </w:p>
        </w:tc>
        <w:tc>
          <w:tcPr>
            <w:tcW w:w="641" w:type="pct"/>
          </w:tcPr>
          <w:p w14:paraId="1EE982A8" w14:textId="063351FA" w:rsidR="00505E18" w:rsidRDefault="00505E18" w:rsidP="00505E18">
            <w:pPr>
              <w:rPr>
                <w:kern w:val="0"/>
              </w:rPr>
            </w:pPr>
            <w:r w:rsidRPr="00E911F9">
              <w:rPr>
                <w:smallCaps/>
                <w:kern w:val="0"/>
              </w:rPr>
              <w:t>Yes</w:t>
            </w:r>
          </w:p>
        </w:tc>
        <w:tc>
          <w:tcPr>
            <w:tcW w:w="3616" w:type="pct"/>
          </w:tcPr>
          <w:p w14:paraId="79DC962B" w14:textId="77777777" w:rsidR="00505E18" w:rsidRPr="00E911F9" w:rsidRDefault="00505E18" w:rsidP="00505E18">
            <w:pPr>
              <w:rPr>
                <w:kern w:val="0"/>
              </w:rPr>
            </w:pPr>
            <w:r w:rsidRPr="00E911F9">
              <w:rPr>
                <w:kern w:val="0"/>
              </w:rPr>
              <w:t>Q</w:t>
            </w:r>
            <w:r>
              <w:rPr>
                <w:kern w:val="0"/>
              </w:rPr>
              <w:t>1: W</w:t>
            </w:r>
            <w:r w:rsidRPr="00F935C6">
              <w:rPr>
                <w:kern w:val="0"/>
              </w:rPr>
              <w:t>e need to define “Top-1 genie-aided Tx-Rx beam pair “</w:t>
            </w:r>
            <w:r>
              <w:rPr>
                <w:kern w:val="0"/>
              </w:rPr>
              <w:t xml:space="preserve"> </w:t>
            </w:r>
            <w:r w:rsidRPr="00F935C6">
              <w:rPr>
                <w:kern w:val="0"/>
              </w:rPr>
              <w:t>for “Tx-Rx beam pair prediction”</w:t>
            </w:r>
            <w:r w:rsidRPr="00F545E8">
              <w:rPr>
                <w:kern w:val="0"/>
              </w:rPr>
              <w:t>.</w:t>
            </w:r>
          </w:p>
          <w:p w14:paraId="1E79F239" w14:textId="77777777" w:rsidR="00505E18" w:rsidRDefault="00505E18" w:rsidP="00505E18">
            <w:pPr>
              <w:rPr>
                <w:kern w:val="0"/>
              </w:rPr>
            </w:pPr>
            <w:r w:rsidRPr="00F545E8">
              <w:rPr>
                <w:kern w:val="0"/>
              </w:rPr>
              <w:t xml:space="preserve">Q2: </w:t>
            </w:r>
            <w:r>
              <w:rPr>
                <w:kern w:val="0"/>
              </w:rPr>
              <w:t>We prefer to select Option A.</w:t>
            </w:r>
          </w:p>
          <w:p w14:paraId="7F4638C6" w14:textId="474E3F43" w:rsidR="00505E18" w:rsidRDefault="00505E18" w:rsidP="00505E18">
            <w:pPr>
              <w:rPr>
                <w:b/>
                <w:bCs/>
                <w:sz w:val="18"/>
                <w:szCs w:val="18"/>
                <w:highlight w:val="yellow"/>
                <w:lang w:eastAsia="en-US"/>
              </w:rPr>
            </w:pPr>
            <w:r>
              <w:rPr>
                <w:rFonts w:eastAsiaTheme="minorEastAsia" w:hint="eastAsia"/>
                <w:kern w:val="0"/>
                <w:lang w:eastAsia="zh-CN"/>
              </w:rPr>
              <w:t>Q</w:t>
            </w:r>
            <w:r>
              <w:rPr>
                <w:rFonts w:eastAsiaTheme="minorEastAsia"/>
                <w:kern w:val="0"/>
                <w:lang w:eastAsia="zh-CN"/>
              </w:rPr>
              <w:t>3: Yes.</w:t>
            </w:r>
          </w:p>
        </w:tc>
      </w:tr>
      <w:tr w:rsidR="00272361" w:rsidRPr="00012FF0" w14:paraId="6F1F0146" w14:textId="77777777" w:rsidTr="007570F9">
        <w:trPr>
          <w:trHeight w:val="333"/>
        </w:trPr>
        <w:tc>
          <w:tcPr>
            <w:tcW w:w="743" w:type="pct"/>
          </w:tcPr>
          <w:p w14:paraId="4B3542AD" w14:textId="2A401C3F" w:rsidR="00272361" w:rsidRPr="00272361" w:rsidRDefault="00272361" w:rsidP="00505E18">
            <w:pPr>
              <w:rPr>
                <w:smallCaps/>
                <w:kern w:val="0"/>
              </w:rPr>
            </w:pPr>
            <w:r w:rsidRPr="00272361">
              <w:rPr>
                <w:smallCaps/>
                <w:kern w:val="0"/>
              </w:rPr>
              <w:t>Nokia</w:t>
            </w:r>
          </w:p>
        </w:tc>
        <w:tc>
          <w:tcPr>
            <w:tcW w:w="641" w:type="pct"/>
          </w:tcPr>
          <w:p w14:paraId="554BB6F2" w14:textId="77777777" w:rsidR="00272361" w:rsidRPr="00272361" w:rsidRDefault="00272361" w:rsidP="00505E18">
            <w:pPr>
              <w:rPr>
                <w:smallCaps/>
                <w:kern w:val="0"/>
              </w:rPr>
            </w:pPr>
          </w:p>
        </w:tc>
        <w:tc>
          <w:tcPr>
            <w:tcW w:w="3616" w:type="pct"/>
          </w:tcPr>
          <w:p w14:paraId="78887021" w14:textId="094A2D7E" w:rsidR="00272361" w:rsidRPr="00272361" w:rsidRDefault="00272361" w:rsidP="00272361">
            <w:pPr>
              <w:rPr>
                <w:kern w:val="0"/>
              </w:rPr>
            </w:pPr>
            <w:r w:rsidRPr="00272361">
              <w:rPr>
                <w:kern w:val="0"/>
              </w:rPr>
              <w:t xml:space="preserve">Q1: </w:t>
            </w:r>
            <w:r w:rsidRPr="00272361">
              <w:t>Top-1 genie-aided Tx beam</w:t>
            </w:r>
            <w:r w:rsidRPr="00272361">
              <w:t xml:space="preserve">. Rx-beam is not supposed to be known by the NW. </w:t>
            </w:r>
          </w:p>
          <w:p w14:paraId="25429AA0" w14:textId="21768704" w:rsidR="00272361" w:rsidRPr="00272361" w:rsidRDefault="00272361" w:rsidP="00272361">
            <w:pPr>
              <w:rPr>
                <w:kern w:val="0"/>
              </w:rPr>
            </w:pPr>
            <w:r w:rsidRPr="00272361">
              <w:rPr>
                <w:kern w:val="0"/>
              </w:rPr>
              <w:t xml:space="preserve">Q2: </w:t>
            </w:r>
            <w:r w:rsidRPr="00272361">
              <w:rPr>
                <w:kern w:val="0"/>
              </w:rPr>
              <w:t xml:space="preserve">Ok with both options. </w:t>
            </w:r>
          </w:p>
          <w:p w14:paraId="464688E1" w14:textId="77777777" w:rsidR="00272361" w:rsidRDefault="00272361" w:rsidP="00272361">
            <w:pPr>
              <w:rPr>
                <w:kern w:val="0"/>
              </w:rPr>
            </w:pPr>
            <w:r w:rsidRPr="00272361">
              <w:rPr>
                <w:kern w:val="0"/>
              </w:rPr>
              <w:lastRenderedPageBreak/>
              <w:t xml:space="preserve">Q3: </w:t>
            </w:r>
            <w:r w:rsidRPr="00272361">
              <w:rPr>
                <w:kern w:val="0"/>
              </w:rPr>
              <w:t>Beam</w:t>
            </w:r>
          </w:p>
          <w:p w14:paraId="1DDDA31C" w14:textId="77777777" w:rsidR="00272361" w:rsidRDefault="00272361" w:rsidP="00272361">
            <w:pPr>
              <w:rPr>
                <w:kern w:val="0"/>
              </w:rPr>
            </w:pPr>
          </w:p>
          <w:p w14:paraId="54B6426C" w14:textId="408BB4FF" w:rsidR="00272361" w:rsidRPr="00272361" w:rsidRDefault="00272361" w:rsidP="00272361">
            <w:pPr>
              <w:rPr>
                <w:kern w:val="0"/>
              </w:rPr>
            </w:pPr>
            <w:r>
              <w:rPr>
                <w:kern w:val="0"/>
              </w:rPr>
              <w:t xml:space="preserve">We do not think the proposal is critical as the main case should be DL Tx prediction.  </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lastRenderedPageBreak/>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Heading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ListParagraph"/>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ListParagraph"/>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ListParagraph"/>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lastRenderedPageBreak/>
              <w:t xml:space="preserve">B). </w:t>
            </w:r>
            <w:r w:rsidR="00EF2FDE">
              <w:rPr>
                <w:kern w:val="0"/>
              </w:rPr>
              <w:t>We propose the following KPI:</w:t>
            </w:r>
          </w:p>
          <w:p w14:paraId="534D4BCE" w14:textId="075AED31" w:rsidR="00C30A8A" w:rsidRPr="0049506B" w:rsidRDefault="00C30A8A" w:rsidP="00142A9D">
            <w:pPr>
              <w:pStyle w:val="ListParagraph"/>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ListParagraph"/>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lastRenderedPageBreak/>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ListParagraph"/>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ListParagraph"/>
              <w:ind w:left="0"/>
              <w:rPr>
                <w:kern w:val="0"/>
              </w:rPr>
            </w:pPr>
          </w:p>
          <w:p w14:paraId="124A3A66" w14:textId="77777777" w:rsidR="00CA0BAE" w:rsidRDefault="00CA0BAE" w:rsidP="00CA0BAE">
            <w:pPr>
              <w:rPr>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w:t>
            </w:r>
            <w:proofErr w:type="gramStart"/>
            <w:r>
              <w:rPr>
                <w:kern w:val="0"/>
              </w:rPr>
              <w:t>use</w:t>
            </w:r>
            <w:proofErr w:type="gramEnd"/>
            <w:r>
              <w:rPr>
                <w:kern w:val="0"/>
              </w:rPr>
              <w:t xml:space="preserv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Malgun Gothic"/>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ListParagraph"/>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ListParagraph"/>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ListParagraph"/>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ListParagraph"/>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677E876" w:rsidR="009A7F9D" w:rsidRDefault="008776E3" w:rsidP="009A7F9D">
            <w:pPr>
              <w:pStyle w:val="ListParagraph"/>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ListParagraph"/>
              <w:numPr>
                <w:ilvl w:val="0"/>
                <w:numId w:val="95"/>
              </w:numPr>
              <w:rPr>
                <w:sz w:val="18"/>
                <w:szCs w:val="18"/>
              </w:rPr>
            </w:pPr>
            <w:r w:rsidRPr="0049506B">
              <w:rPr>
                <w:sz w:val="18"/>
                <w:szCs w:val="18"/>
              </w:rPr>
              <w:t>“</w:t>
            </w:r>
            <w:proofErr w:type="gramStart"/>
            <w:r w:rsidRPr="00687FF2">
              <w:rPr>
                <w:sz w:val="18"/>
                <w:szCs w:val="18"/>
              </w:rPr>
              <w:t>the</w:t>
            </w:r>
            <w:proofErr w:type="gramEnd"/>
            <w:r w:rsidRPr="00687FF2">
              <w:rPr>
                <w:sz w:val="18"/>
                <w:szCs w:val="18"/>
              </w:rPr>
              <w:t xml:space="preserv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ListParagraph"/>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ListParagraph"/>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ListParagraph"/>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ListParagraph"/>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6D932A28" w:rsidR="007C33DF" w:rsidRPr="00272361" w:rsidRDefault="007C33DF" w:rsidP="00272361">
            <w:pPr>
              <w:pStyle w:val="ListParagraph"/>
              <w:numPr>
                <w:ilvl w:val="0"/>
                <w:numId w:val="105"/>
              </w:numPr>
              <w:rPr>
                <w:kern w:val="0"/>
              </w:rPr>
            </w:pPr>
            <w:r w:rsidRPr="00272361">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w:t>
            </w:r>
            <w:proofErr w:type="gramStart"/>
            <w:r>
              <w:rPr>
                <w:kern w:val="0"/>
              </w:rPr>
              <w:t>to postpone</w:t>
            </w:r>
            <w:proofErr w:type="gramEnd"/>
            <w:r>
              <w:rPr>
                <w:kern w:val="0"/>
              </w:rPr>
              <w:t xml:space="preserv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ListParagraph"/>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ListParagraph"/>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rFonts w:eastAsiaTheme="minorEastAsia"/>
                <w:b/>
                <w:bCs/>
                <w:kern w:val="0"/>
                <w:highlight w:val="yellow"/>
                <w:lang w:eastAsia="zh-CN"/>
              </w:rPr>
              <w:t>Proposal 2-1-4a</w:t>
            </w:r>
            <w:r w:rsidRPr="008776E3">
              <w:rPr>
                <w:rFonts w:eastAsiaTheme="minorEastAsia"/>
                <w:b/>
                <w:bCs/>
                <w:kern w:val="0"/>
                <w:lang w:eastAsia="zh-CN"/>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7964ED">
            <w:pPr>
              <w:pStyle w:val="ListParagraph"/>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1</w:t>
            </w:r>
            <w:r>
              <w:rPr>
                <w:rFonts w:eastAsiaTheme="minorEastAsia"/>
                <w:b/>
                <w:bCs/>
                <w:kern w:val="0"/>
                <w:lang w:eastAsia="zh-CN"/>
              </w:rPr>
              <w:t>(Diff to predicted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predicted beam</w:t>
            </w:r>
          </w:p>
          <w:p w14:paraId="1A0286F4" w14:textId="711DFCB0" w:rsidR="000C3517" w:rsidRDefault="008776E3" w:rsidP="007964ED">
            <w:pPr>
              <w:pStyle w:val="ListParagraph"/>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w:t>
            </w:r>
            <w:r>
              <w:rPr>
                <w:rFonts w:eastAsiaTheme="minorEastAsia"/>
                <w:b/>
                <w:bCs/>
                <w:kern w:val="0"/>
                <w:lang w:eastAsia="zh-CN"/>
              </w:rPr>
              <w:t>2(Diff to genie-aided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genie-aided beam</w:t>
            </w:r>
          </w:p>
          <w:p w14:paraId="282D1163" w14:textId="336A85E4" w:rsidR="008776E3" w:rsidRPr="008776E3" w:rsidRDefault="008776E3" w:rsidP="007964ED">
            <w:pPr>
              <w:pStyle w:val="ListParagraph"/>
              <w:numPr>
                <w:ilvl w:val="0"/>
                <w:numId w:val="107"/>
              </w:numPr>
              <w:rPr>
                <w:rFonts w:eastAsiaTheme="minorEastAsia"/>
                <w:b/>
                <w:bCs/>
                <w:kern w:val="0"/>
                <w:lang w:eastAsia="zh-CN"/>
              </w:rPr>
            </w:pPr>
            <w:r>
              <w:rPr>
                <w:rFonts w:eastAsiaTheme="minorEastAsia"/>
                <w:b/>
                <w:bCs/>
                <w:kern w:val="0"/>
                <w:lang w:eastAsia="zh-CN"/>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FC2831" w:rsidRPr="0049506B" w14:paraId="2BFEE7D2" w14:textId="77777777" w:rsidTr="007570F9">
        <w:trPr>
          <w:trHeight w:val="333"/>
        </w:trPr>
        <w:tc>
          <w:tcPr>
            <w:tcW w:w="743" w:type="pct"/>
          </w:tcPr>
          <w:p w14:paraId="38FE3C8B" w14:textId="4051BAAE" w:rsidR="00FC2831" w:rsidRDefault="00FC2831" w:rsidP="00FC2831">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257" w:type="pct"/>
          </w:tcPr>
          <w:p w14:paraId="0C6579D0" w14:textId="2A7CEBC2" w:rsidR="00FC2831" w:rsidRDefault="00FC2831" w:rsidP="00FC2831">
            <w:pPr>
              <w:rPr>
                <w:kern w:val="0"/>
              </w:rPr>
            </w:pPr>
            <w:r>
              <w:rPr>
                <w:rFonts w:eastAsiaTheme="minorEastAsia" w:hint="eastAsia"/>
                <w:kern w:val="0"/>
                <w:lang w:eastAsia="zh-CN"/>
              </w:rPr>
              <w:t>W</w:t>
            </w:r>
            <w:r>
              <w:rPr>
                <w:rFonts w:eastAsiaTheme="minorEastAsia"/>
                <w:kern w:val="0"/>
                <w:lang w:eastAsia="zh-CN"/>
              </w:rPr>
              <w:t xml:space="preserve">e are fine with </w:t>
            </w:r>
            <w:r w:rsidR="008E2C33">
              <w:rPr>
                <w:rFonts w:eastAsiaTheme="minorEastAsia" w:hint="eastAsia"/>
                <w:kern w:val="0"/>
                <w:lang w:eastAsia="zh-CN"/>
              </w:rPr>
              <w:t>Proposal</w:t>
            </w:r>
            <w:r w:rsidR="008E2C33">
              <w:rPr>
                <w:rFonts w:eastAsiaTheme="minorEastAsia"/>
                <w:kern w:val="0"/>
                <w:lang w:eastAsia="zh-CN"/>
              </w:rPr>
              <w:t xml:space="preserve"> 2-1-4a</w:t>
            </w:r>
            <w:r w:rsidR="00383B30">
              <w:rPr>
                <w:rFonts w:eastAsiaTheme="minorEastAsia"/>
                <w:kern w:val="0"/>
                <w:lang w:eastAsia="zh-CN"/>
              </w:rPr>
              <w:t xml:space="preserve">. Among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1&amp;2,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w:t>
            </w:r>
            <w:r w:rsidR="00C2240B">
              <w:rPr>
                <w:rFonts w:eastAsiaTheme="minorEastAsia"/>
                <w:kern w:val="0"/>
                <w:lang w:eastAsia="zh-CN"/>
              </w:rPr>
              <w:t>2 is preferred.</w:t>
            </w:r>
          </w:p>
        </w:tc>
      </w:tr>
      <w:tr w:rsidR="006442FF" w:rsidRPr="0049506B" w14:paraId="55C1D0A3" w14:textId="77777777" w:rsidTr="007570F9">
        <w:trPr>
          <w:trHeight w:val="333"/>
        </w:trPr>
        <w:tc>
          <w:tcPr>
            <w:tcW w:w="743" w:type="pct"/>
          </w:tcPr>
          <w:p w14:paraId="1405BE7C" w14:textId="0C814869" w:rsidR="006442FF" w:rsidRDefault="006442FF" w:rsidP="00FC2831">
            <w:pPr>
              <w:rPr>
                <w:smallCaps/>
                <w:kern w:val="0"/>
              </w:rPr>
            </w:pPr>
            <w:r>
              <w:rPr>
                <w:smallCaps/>
                <w:kern w:val="0"/>
              </w:rPr>
              <w:t>Google</w:t>
            </w:r>
          </w:p>
        </w:tc>
        <w:tc>
          <w:tcPr>
            <w:tcW w:w="4257" w:type="pct"/>
          </w:tcPr>
          <w:p w14:paraId="340CAA18" w14:textId="1561E724" w:rsidR="004C3608" w:rsidRDefault="006442FF" w:rsidP="006442FF">
            <w:pPr>
              <w:rPr>
                <w:kern w:val="0"/>
              </w:rPr>
            </w:pPr>
            <w:r>
              <w:rPr>
                <w:kern w:val="0"/>
              </w:rPr>
              <w:t xml:space="preserve">OK </w:t>
            </w:r>
            <w:r w:rsidR="004C3608">
              <w:rPr>
                <w:kern w:val="0"/>
              </w:rPr>
              <w:t xml:space="preserve">to define some metrics </w:t>
            </w:r>
            <w:r>
              <w:rPr>
                <w:kern w:val="0"/>
              </w:rPr>
              <w:t xml:space="preserve">for further evaluation. </w:t>
            </w:r>
            <w:r w:rsidR="004C3608">
              <w:rPr>
                <w:kern w:val="0"/>
              </w:rPr>
              <w:t>But we are a bit confused with the proposal, does it mean to compare the predicted L1-RSRP and actual L1-RSRP for different beams? In our understanding, the difference of predicted L1-RSRP and actual L1-RSRP should be compared based on the same beam.</w:t>
            </w:r>
          </w:p>
          <w:p w14:paraId="6B7026AB" w14:textId="77777777" w:rsidR="004C3608" w:rsidRDefault="004C3608" w:rsidP="006442FF">
            <w:pPr>
              <w:rPr>
                <w:kern w:val="0"/>
              </w:rPr>
            </w:pPr>
          </w:p>
          <w:p w14:paraId="500C79E8" w14:textId="50D2E5BE" w:rsidR="006442FF" w:rsidRDefault="004C3608" w:rsidP="006442FF">
            <w:pPr>
              <w:rPr>
                <w:kern w:val="0"/>
              </w:rPr>
            </w:pPr>
            <w:r>
              <w:rPr>
                <w:kern w:val="0"/>
              </w:rPr>
              <w:t>Further,</w:t>
            </w:r>
            <w:r w:rsidR="006442FF">
              <w:rPr>
                <w:kern w:val="0"/>
              </w:rPr>
              <w:t xml:space="preserve"> we do not think predicted L1-RSRP is useful. No matter whether UE can predict the L1-RSRP or not, it still needs to measure the actual beam after it receives the TCI indication signaling for QCL-</w:t>
            </w:r>
            <w:proofErr w:type="spellStart"/>
            <w:r w:rsidR="006442FF">
              <w:rPr>
                <w:kern w:val="0"/>
              </w:rPr>
              <w:t>TypeA</w:t>
            </w:r>
            <w:proofErr w:type="spellEnd"/>
            <w:r w:rsidR="006442FF">
              <w:rPr>
                <w:kern w:val="0"/>
              </w:rPr>
              <w:t xml:space="preserve">/D tracking and pathloss measurement. </w:t>
            </w:r>
            <w:r w:rsidR="007B45DF">
              <w:rPr>
                <w:kern w:val="0"/>
              </w:rPr>
              <w:t xml:space="preserve">Compared to predicted L1-RSRP, the best beam possibility is more useful. </w:t>
            </w:r>
          </w:p>
          <w:p w14:paraId="3B6967D9" w14:textId="067EF869" w:rsidR="006442FF" w:rsidRPr="006442FF" w:rsidRDefault="006442FF" w:rsidP="004C3608">
            <w:pPr>
              <w:rPr>
                <w:kern w:val="0"/>
              </w:rPr>
            </w:pPr>
          </w:p>
        </w:tc>
      </w:tr>
      <w:tr w:rsidR="00272361" w:rsidRPr="0049506B" w14:paraId="17D71D56" w14:textId="77777777" w:rsidTr="007570F9">
        <w:trPr>
          <w:trHeight w:val="333"/>
        </w:trPr>
        <w:tc>
          <w:tcPr>
            <w:tcW w:w="743" w:type="pct"/>
          </w:tcPr>
          <w:p w14:paraId="70A748CB" w14:textId="2D6EA171" w:rsidR="00272361" w:rsidRPr="00E227B2" w:rsidRDefault="00272361" w:rsidP="00FC2831">
            <w:pPr>
              <w:rPr>
                <w:smallCaps/>
                <w:kern w:val="0"/>
              </w:rPr>
            </w:pPr>
            <w:r w:rsidRPr="00E227B2">
              <w:rPr>
                <w:smallCaps/>
                <w:kern w:val="0"/>
              </w:rPr>
              <w:t>Nokia</w:t>
            </w:r>
          </w:p>
        </w:tc>
        <w:tc>
          <w:tcPr>
            <w:tcW w:w="4257" w:type="pct"/>
          </w:tcPr>
          <w:p w14:paraId="60820833" w14:textId="11CA02ED" w:rsidR="00272361" w:rsidRPr="00E227B2" w:rsidRDefault="00272361" w:rsidP="006442FF">
            <w:pPr>
              <w:rPr>
                <w:kern w:val="0"/>
              </w:rPr>
            </w:pPr>
            <w:r w:rsidRPr="00E227B2">
              <w:rPr>
                <w:kern w:val="0"/>
              </w:rPr>
              <w:t xml:space="preserve">We do not think listing two alternatives is useful. </w:t>
            </w:r>
            <w:r w:rsidR="00E227B2" w:rsidRPr="00E227B2">
              <w:rPr>
                <w:kern w:val="0"/>
              </w:rPr>
              <w:t xml:space="preserve">We do not think Option 1 is useful metric (seems redundant) as </w:t>
            </w:r>
            <w:r w:rsidR="00E227B2" w:rsidRPr="00E227B2">
              <w:t xml:space="preserve">the definition of </w:t>
            </w:r>
            <w:r w:rsidR="00E227B2" w:rsidRPr="00E227B2">
              <w:rPr>
                <w:b/>
                <w:bCs/>
              </w:rPr>
              <w:t>L1-RSRP difference of Top-1 predicted beam</w:t>
            </w:r>
            <w:r w:rsidR="00E227B2">
              <w:rPr>
                <w:kern w:val="0"/>
              </w:rPr>
              <w:t xml:space="preserve"> (already agreed)</w:t>
            </w:r>
            <w:r w:rsidR="00E227B2" w:rsidRPr="00E227B2">
              <w:rPr>
                <w:kern w:val="0"/>
              </w:rPr>
              <w:t xml:space="preserve"> </w:t>
            </w:r>
            <w:r w:rsidR="00E227B2">
              <w:rPr>
                <w:kern w:val="0"/>
              </w:rPr>
              <w:t>&amp;</w:t>
            </w:r>
            <w:r w:rsidR="00E227B2" w:rsidRPr="00E227B2">
              <w:rPr>
                <w:kern w:val="0"/>
              </w:rPr>
              <w:t xml:space="preserve"> Option 2</w:t>
            </w:r>
            <w:r w:rsidR="00E227B2">
              <w:rPr>
                <w:kern w:val="0"/>
              </w:rPr>
              <w:t xml:space="preserve"> (for L1-RSRP predictions, if applicable)</w:t>
            </w:r>
            <w:r w:rsidR="00E227B2" w:rsidRPr="00E227B2">
              <w:rPr>
                <w:kern w:val="0"/>
              </w:rPr>
              <w:t xml:space="preserve"> may still give the same observations. </w:t>
            </w:r>
          </w:p>
          <w:p w14:paraId="3CA81A25" w14:textId="77777777" w:rsidR="00272361" w:rsidRPr="00E227B2" w:rsidRDefault="00272361" w:rsidP="006442FF">
            <w:pPr>
              <w:rPr>
                <w:kern w:val="0"/>
              </w:rPr>
            </w:pPr>
          </w:p>
          <w:p w14:paraId="17FFD748" w14:textId="77777777" w:rsidR="00272361" w:rsidRPr="00E227B2" w:rsidRDefault="00272361" w:rsidP="00272361">
            <w:pPr>
              <w:rPr>
                <w:b/>
                <w:bCs/>
                <w:kern w:val="0"/>
              </w:rPr>
            </w:pPr>
            <w:r w:rsidRPr="00E227B2">
              <w:rPr>
                <w:rFonts w:eastAsiaTheme="minorEastAsia"/>
                <w:b/>
                <w:bCs/>
                <w:kern w:val="0"/>
                <w:highlight w:val="yellow"/>
                <w:lang w:eastAsia="zh-CN"/>
              </w:rPr>
              <w:t>Proposal 2-1-4a</w:t>
            </w:r>
            <w:r w:rsidRPr="00E227B2">
              <w:rPr>
                <w:rFonts w:eastAsiaTheme="minorEastAsia"/>
                <w:b/>
                <w:bCs/>
                <w:kern w:val="0"/>
                <w:lang w:eastAsia="zh-CN"/>
              </w:rPr>
              <w:t>:</w:t>
            </w:r>
          </w:p>
          <w:p w14:paraId="4CF2B6D4" w14:textId="77777777" w:rsidR="00272361" w:rsidRPr="00E227B2" w:rsidRDefault="00272361" w:rsidP="00272361">
            <w:pPr>
              <w:rPr>
                <w:b/>
                <w:bCs/>
                <w:kern w:val="0"/>
              </w:rPr>
            </w:pPr>
            <w:r w:rsidRPr="00E227B2">
              <w:rPr>
                <w:b/>
                <w:bCs/>
                <w:kern w:val="0"/>
              </w:rPr>
              <w:t xml:space="preserve">To evaluate the performance of predicted L1-RSRP, further study the following options for further down selection:  </w:t>
            </w:r>
          </w:p>
          <w:p w14:paraId="165CBC68" w14:textId="77777777" w:rsidR="00272361" w:rsidRPr="00E227B2" w:rsidRDefault="00272361" w:rsidP="007964ED">
            <w:pPr>
              <w:pStyle w:val="ListParagraph"/>
              <w:numPr>
                <w:ilvl w:val="0"/>
                <w:numId w:val="107"/>
              </w:numPr>
              <w:rPr>
                <w:rFonts w:eastAsiaTheme="minorEastAsia"/>
                <w:b/>
                <w:bCs/>
                <w:strike/>
                <w:kern w:val="0"/>
                <w:lang w:eastAsia="zh-CN"/>
              </w:rPr>
            </w:pPr>
            <w:proofErr w:type="spellStart"/>
            <w:r w:rsidRPr="00E227B2">
              <w:rPr>
                <w:rFonts w:eastAsiaTheme="minorEastAsia"/>
                <w:b/>
                <w:bCs/>
                <w:strike/>
                <w:kern w:val="0"/>
                <w:lang w:eastAsia="zh-CN"/>
              </w:rPr>
              <w:t>Opt</w:t>
            </w:r>
            <w:proofErr w:type="spellEnd"/>
            <w:r w:rsidRPr="00E227B2">
              <w:rPr>
                <w:rFonts w:eastAsiaTheme="minorEastAsia" w:hint="eastAsia"/>
                <w:b/>
                <w:bCs/>
                <w:strike/>
                <w:kern w:val="0"/>
                <w:lang w:eastAsia="zh-CN"/>
              </w:rPr>
              <w:t xml:space="preserve"> 1</w:t>
            </w:r>
            <w:r w:rsidRPr="00E227B2">
              <w:rPr>
                <w:rFonts w:eastAsiaTheme="minorEastAsia"/>
                <w:b/>
                <w:bCs/>
                <w:strike/>
                <w:kern w:val="0"/>
                <w:lang w:eastAsia="zh-CN"/>
              </w:rPr>
              <w:t>(Diff to predicted beam)</w:t>
            </w:r>
            <w:r w:rsidRPr="00E227B2">
              <w:rPr>
                <w:rFonts w:eastAsiaTheme="minorEastAsia" w:hint="eastAsia"/>
                <w:b/>
                <w:bCs/>
                <w:strike/>
                <w:kern w:val="0"/>
                <w:lang w:eastAsia="zh-CN"/>
              </w:rPr>
              <w:t xml:space="preserve">: </w:t>
            </w:r>
            <w:r w:rsidRPr="00E227B2">
              <w:rPr>
                <w:rFonts w:eastAsiaTheme="minorEastAsia"/>
                <w:b/>
                <w:bCs/>
                <w:strike/>
                <w:kern w:val="0"/>
                <w:lang w:eastAsia="zh-CN"/>
              </w:rPr>
              <w:t xml:space="preserve">The L1-RSRP </w:t>
            </w:r>
            <w:r w:rsidRPr="00E227B2">
              <w:rPr>
                <w:rFonts w:eastAsiaTheme="minorEastAsia" w:hint="eastAsia"/>
                <w:b/>
                <w:bCs/>
                <w:strike/>
                <w:kern w:val="0"/>
                <w:lang w:eastAsia="zh-CN"/>
              </w:rPr>
              <w:t>difference</w:t>
            </w:r>
            <w:r w:rsidRPr="00E227B2">
              <w:rPr>
                <w:rFonts w:eastAsiaTheme="minorEastAsia"/>
                <w:b/>
                <w:bCs/>
                <w:strike/>
                <w:kern w:val="0"/>
                <w:lang w:eastAsia="zh-CN"/>
              </w:rPr>
              <w:t xml:space="preserve"> between the predicted L1-</w:t>
            </w:r>
            <w:r w:rsidRPr="00E227B2">
              <w:rPr>
                <w:rFonts w:eastAsiaTheme="minorEastAsia"/>
                <w:b/>
                <w:bCs/>
                <w:strike/>
                <w:kern w:val="0"/>
                <w:lang w:eastAsia="zh-CN"/>
              </w:rPr>
              <w:lastRenderedPageBreak/>
              <w:t>RSRP of Top-1 predicted beam and the ideal L1-RSRP of Top-1 predicted beam</w:t>
            </w:r>
          </w:p>
          <w:p w14:paraId="7EB4B001" w14:textId="77777777" w:rsidR="00272361" w:rsidRPr="00E227B2" w:rsidRDefault="00272361" w:rsidP="007964ED">
            <w:pPr>
              <w:pStyle w:val="ListParagraph"/>
              <w:numPr>
                <w:ilvl w:val="0"/>
                <w:numId w:val="107"/>
              </w:numPr>
              <w:rPr>
                <w:rFonts w:eastAsiaTheme="minorEastAsia"/>
                <w:b/>
                <w:bCs/>
                <w:kern w:val="0"/>
                <w:lang w:eastAsia="zh-CN"/>
              </w:rPr>
            </w:pPr>
            <w:proofErr w:type="spellStart"/>
            <w:r w:rsidRPr="00E227B2">
              <w:rPr>
                <w:rFonts w:eastAsiaTheme="minorEastAsia"/>
                <w:b/>
                <w:bCs/>
                <w:kern w:val="0"/>
                <w:lang w:eastAsia="zh-CN"/>
              </w:rPr>
              <w:t>Opt</w:t>
            </w:r>
            <w:proofErr w:type="spellEnd"/>
            <w:r w:rsidRPr="00E227B2">
              <w:rPr>
                <w:rFonts w:eastAsiaTheme="minorEastAsia" w:hint="eastAsia"/>
                <w:b/>
                <w:bCs/>
                <w:kern w:val="0"/>
                <w:lang w:eastAsia="zh-CN"/>
              </w:rPr>
              <w:t xml:space="preserve"> </w:t>
            </w:r>
            <w:r w:rsidRPr="00E227B2">
              <w:rPr>
                <w:rFonts w:eastAsiaTheme="minorEastAsia"/>
                <w:b/>
                <w:bCs/>
                <w:kern w:val="0"/>
                <w:lang w:eastAsia="zh-CN"/>
              </w:rPr>
              <w:t>2(Diff to genie-aided beam)</w:t>
            </w:r>
            <w:r w:rsidRPr="00E227B2">
              <w:rPr>
                <w:rFonts w:eastAsiaTheme="minorEastAsia" w:hint="eastAsia"/>
                <w:b/>
                <w:bCs/>
                <w:kern w:val="0"/>
                <w:lang w:eastAsia="zh-CN"/>
              </w:rPr>
              <w:t xml:space="preserve">: </w:t>
            </w:r>
            <w:r w:rsidRPr="00E227B2">
              <w:rPr>
                <w:rFonts w:eastAsiaTheme="minorEastAsia"/>
                <w:b/>
                <w:bCs/>
                <w:kern w:val="0"/>
                <w:lang w:eastAsia="zh-CN"/>
              </w:rPr>
              <w:t xml:space="preserve">The L1-RSRP </w:t>
            </w:r>
            <w:r w:rsidRPr="00E227B2">
              <w:rPr>
                <w:rFonts w:eastAsiaTheme="minorEastAsia" w:hint="eastAsia"/>
                <w:b/>
                <w:bCs/>
                <w:kern w:val="0"/>
                <w:lang w:eastAsia="zh-CN"/>
              </w:rPr>
              <w:t>difference</w:t>
            </w:r>
            <w:r w:rsidRPr="00E227B2">
              <w:rPr>
                <w:rFonts w:eastAsiaTheme="minorEastAsia"/>
                <w:b/>
                <w:bCs/>
                <w:kern w:val="0"/>
                <w:lang w:eastAsia="zh-CN"/>
              </w:rPr>
              <w:t xml:space="preserve"> between the predicted L1-RSRP of Top-1 predicted beam and the ideal L1-RSRP of Top-1 genie-aided beam</w:t>
            </w:r>
          </w:p>
          <w:p w14:paraId="74D1087A" w14:textId="77777777" w:rsidR="00272361" w:rsidRPr="00E227B2" w:rsidRDefault="00272361" w:rsidP="007964ED">
            <w:pPr>
              <w:pStyle w:val="ListParagraph"/>
              <w:numPr>
                <w:ilvl w:val="0"/>
                <w:numId w:val="107"/>
              </w:numPr>
              <w:rPr>
                <w:rFonts w:eastAsiaTheme="minorEastAsia"/>
                <w:b/>
                <w:bCs/>
                <w:strike/>
                <w:kern w:val="0"/>
                <w:lang w:eastAsia="zh-CN"/>
              </w:rPr>
            </w:pPr>
            <w:r w:rsidRPr="00E227B2">
              <w:rPr>
                <w:rFonts w:eastAsiaTheme="minorEastAsia"/>
                <w:b/>
                <w:bCs/>
                <w:strike/>
                <w:kern w:val="0"/>
                <w:lang w:eastAsia="zh-CN"/>
              </w:rPr>
              <w:t>Other options are not precluded and can be reported by companies</w:t>
            </w:r>
          </w:p>
          <w:p w14:paraId="5CA0973E" w14:textId="77817666" w:rsidR="00272361" w:rsidRPr="00E227B2" w:rsidRDefault="00272361" w:rsidP="006442FF">
            <w:pPr>
              <w:rPr>
                <w:kern w:val="0"/>
              </w:rPr>
            </w:pP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lastRenderedPageBreak/>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lastRenderedPageBreak/>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lastRenderedPageBreak/>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Heading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 xml:space="preserve">where N is the number of beams (pairs) (with reference signal (SSB and/or CSI-RS)) </w:t>
      </w:r>
      <w:r>
        <w:lastRenderedPageBreak/>
        <w:t>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lastRenderedPageBreak/>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lastRenderedPageBreak/>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 xml:space="preserve">Prefer Option </w:t>
            </w:r>
            <w:r>
              <w:rPr>
                <w:rFonts w:hint="eastAsia"/>
              </w:rPr>
              <w:lastRenderedPageBreak/>
              <w:t>1</w:t>
            </w:r>
          </w:p>
        </w:tc>
        <w:tc>
          <w:tcPr>
            <w:tcW w:w="3576" w:type="pct"/>
          </w:tcPr>
          <w:p w14:paraId="14E55757" w14:textId="77777777" w:rsidR="00E071D4" w:rsidRDefault="0092512F">
            <w:pPr>
              <w:pStyle w:val="ListParagraph"/>
              <w:ind w:left="0"/>
            </w:pPr>
            <w:r>
              <w:rPr>
                <w:rFonts w:hint="eastAsia"/>
              </w:rPr>
              <w:lastRenderedPageBreak/>
              <w:t xml:space="preserve">Option 1 is simple to be counted and reported by companies. In option 2, RS overhead </w:t>
            </w:r>
            <w:r>
              <w:rPr>
                <w:rFonts w:hint="eastAsia"/>
              </w:rPr>
              <w:lastRenderedPageBreak/>
              <w:t>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lastRenderedPageBreak/>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 xml:space="preserve">OK with Option 1 and prefer Option </w:t>
            </w:r>
            <w:r>
              <w:lastRenderedPageBreak/>
              <w:t>2</w:t>
            </w:r>
          </w:p>
        </w:tc>
        <w:tc>
          <w:tcPr>
            <w:tcW w:w="3576"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w:t>
            </w:r>
            <w:r>
              <w:lastRenderedPageBreak/>
              <w:t>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 xml:space="preserve">If there is no clarification on whether RS overhead includes all P1/P2/P3 procedures of beam sweeping or only part procedure (e.g. P1 or P1/P2) of beam sweeping, </w:t>
            </w:r>
            <w:proofErr w:type="gramStart"/>
            <w:r>
              <w:t>the both</w:t>
            </w:r>
            <w:proofErr w:type="gramEnd"/>
            <w:r>
              <w:t xml:space="preserve">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lastRenderedPageBreak/>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w:t>
            </w:r>
            <w:r w:rsidRPr="0082233F">
              <w:rPr>
                <w:color w:val="4472C4" w:themeColor="accent5"/>
                <w:sz w:val="18"/>
                <w:szCs w:val="18"/>
              </w:rPr>
              <w:lastRenderedPageBreak/>
              <w:t xml:space="preserve">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 xml:space="preserve">for </w:t>
            </w:r>
            <w:proofErr w:type="gramStart"/>
            <w:r w:rsidRPr="00380631">
              <w:rPr>
                <w:strike/>
                <w:color w:val="C00000"/>
                <w:sz w:val="18"/>
                <w:szCs w:val="18"/>
              </w:rPr>
              <w:t>measurement</w:t>
            </w:r>
            <w:proofErr w:type="gramEnd"/>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ListParagraph"/>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ListParagraph"/>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ListParagraph"/>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ListParagraph"/>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ListParagraph"/>
            </w:pPr>
            <w:r>
              <w:t xml:space="preserve">And is valid for both fixed Set B and variable Set B. </w:t>
            </w:r>
          </w:p>
          <w:p w14:paraId="3CCF7E2A" w14:textId="77777777" w:rsidR="00C82302" w:rsidRDefault="00C82302" w:rsidP="00142A9D">
            <w:pPr>
              <w:pStyle w:val="ListParagraph"/>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ListParagraph"/>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ListParagraph"/>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ListParagraph"/>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ListParagraph"/>
              <w:numPr>
                <w:ilvl w:val="0"/>
                <w:numId w:val="99"/>
              </w:numPr>
              <w:rPr>
                <w:bCs/>
              </w:rPr>
            </w:pPr>
            <w:r>
              <w:rPr>
                <w:bCs/>
              </w:rPr>
              <w:t xml:space="preserve">Is the question here, whether the baseline should consider beam sweeping as an overhead at all? Or is this question whether second round beam </w:t>
            </w:r>
            <w:r>
              <w:rPr>
                <w:bCs/>
              </w:rPr>
              <w:lastRenderedPageBreak/>
              <w:t xml:space="preserve">sweeping after predicting P beams should be taken into account for overhead calculation of the baseline? Since the baseline can be obtained from exhaustive sweep over all beams in Set A, and no </w:t>
            </w:r>
            <w:proofErr w:type="gramStart"/>
            <w:r>
              <w:rPr>
                <w:bCs/>
              </w:rPr>
              <w:t>second round</w:t>
            </w:r>
            <w:proofErr w:type="gramEnd"/>
            <w:r>
              <w:rPr>
                <w:bCs/>
              </w:rPr>
              <w:t xml:space="preserve"> beam sweeping should then be necessary, we think overhead can be considered for the baseline and N=M.</w:t>
            </w:r>
          </w:p>
          <w:p w14:paraId="17CFB277" w14:textId="77777777" w:rsidR="00CA0BAE" w:rsidRDefault="00CA0BAE" w:rsidP="00142A9D">
            <w:pPr>
              <w:pStyle w:val="ListParagraph"/>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ListParagraph"/>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lastRenderedPageBreak/>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ListParagraph"/>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ListParagraph"/>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ListParagraph"/>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ListParagraph"/>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ListParagraph"/>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ListParagraph"/>
              <w:numPr>
                <w:ilvl w:val="0"/>
                <w:numId w:val="103"/>
              </w:numPr>
              <w:rPr>
                <w:bCs/>
                <w:lang w:eastAsia="zh-CN"/>
              </w:rPr>
            </w:pPr>
            <w:r>
              <w:rPr>
                <w:rFonts w:eastAsiaTheme="minorEastAsia"/>
                <w:bCs/>
                <w:lang w:eastAsia="zh-CN"/>
              </w:rPr>
              <w:t>Option 2a is more general than Option 2b, we prefer to remove option 2b</w:t>
            </w:r>
          </w:p>
          <w:p w14:paraId="1BD7E051" w14:textId="68491400" w:rsidR="00004C93" w:rsidRPr="00004C93" w:rsidRDefault="00004C93" w:rsidP="00004C93">
            <w:pPr>
              <w:pStyle w:val="ListParagraph"/>
              <w:numPr>
                <w:ilvl w:val="0"/>
                <w:numId w:val="103"/>
              </w:numPr>
              <w:rPr>
                <w:bCs/>
                <w:lang w:eastAsia="zh-CN"/>
              </w:rPr>
            </w:pPr>
            <w:r w:rsidRPr="00004C93">
              <w:rPr>
                <w:bCs/>
                <w:lang w:eastAsia="zh-CN"/>
              </w:rPr>
              <w:t>“</w:t>
            </w:r>
            <w:proofErr w:type="gramStart"/>
            <w:r w:rsidRPr="00004C93">
              <w:rPr>
                <w:bCs/>
                <w:lang w:eastAsia="zh-CN"/>
              </w:rPr>
              <w:t>number</w:t>
            </w:r>
            <w:proofErr w:type="gramEnd"/>
            <w:r w:rsidRPr="00004C93">
              <w:rPr>
                <w:bCs/>
                <w:lang w:eastAsia="zh-CN"/>
              </w:rPr>
              <w:t xml:space="preserve"> of RSs for measurement ”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ListParagraph"/>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ListParagraph"/>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ListParagraph"/>
              <w:rPr>
                <w:bCs/>
              </w:rPr>
            </w:pPr>
            <w:r w:rsidRPr="00DF74DA">
              <w:rPr>
                <w:bCs/>
              </w:rPr>
              <w:lastRenderedPageBreak/>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ListParagraph"/>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lastRenderedPageBreak/>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xml:space="preserve">) We think number of beams for measurement is simpler and fine. We haven’t </w:t>
            </w:r>
            <w:proofErr w:type="gramStart"/>
            <w:r>
              <w:t>see</w:t>
            </w:r>
            <w:proofErr w:type="gramEnd"/>
            <w:r>
              <w:t xml:space="preserv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9B156B">
            <w:pPr>
              <w:tabs>
                <w:tab w:val="left" w:pos="580"/>
              </w:tabs>
            </w:pPr>
            <w:r>
              <w:t>FL5</w:t>
            </w:r>
          </w:p>
        </w:tc>
        <w:tc>
          <w:tcPr>
            <w:tcW w:w="716" w:type="pct"/>
          </w:tcPr>
          <w:p w14:paraId="5E4A8197" w14:textId="77777777" w:rsidR="008776E3" w:rsidRDefault="008776E3" w:rsidP="009B156B"/>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ListParagraph"/>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ListParagraph"/>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ListParagraph"/>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ListParagraph"/>
              <w:numPr>
                <w:ilvl w:val="3"/>
                <w:numId w:val="23"/>
              </w:numPr>
              <w:rPr>
                <w:sz w:val="18"/>
                <w:szCs w:val="18"/>
              </w:rPr>
            </w:pPr>
            <w:r w:rsidRPr="0082233F">
              <w:rPr>
                <w:sz w:val="18"/>
                <w:szCs w:val="18"/>
              </w:rPr>
              <w:t xml:space="preserve">where N is the number of beams (pairs) (with </w:t>
            </w:r>
            <w:r w:rsidRPr="0082233F">
              <w:rPr>
                <w:sz w:val="18"/>
                <w:szCs w:val="18"/>
              </w:rPr>
              <w:lastRenderedPageBreak/>
              <w:t>reference signal (SSB and/or CSI-RS)) required for measurement (in Set B)</w:t>
            </w:r>
          </w:p>
          <w:p w14:paraId="4DD9C26C" w14:textId="77777777" w:rsidR="008776E3" w:rsidRPr="0082233F" w:rsidRDefault="008776E3" w:rsidP="008776E3">
            <w:pPr>
              <w:pStyle w:val="ListParagraph"/>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ListParagraph"/>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ListParagraph"/>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ListParagraph"/>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ListParagraph"/>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ListParagraph"/>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ListParagraph"/>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ListParagraph"/>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ListParagraph"/>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ListParagraph"/>
              <w:numPr>
                <w:ilvl w:val="4"/>
                <w:numId w:val="23"/>
              </w:numPr>
              <w:rPr>
                <w:sz w:val="18"/>
                <w:szCs w:val="18"/>
              </w:rPr>
            </w:pPr>
            <w:r w:rsidRPr="0082233F">
              <w:rPr>
                <w:sz w:val="18"/>
                <w:szCs w:val="18"/>
              </w:rPr>
              <w:t>Alt3: P is the number of beams used for beam sweeping to get the best Rx beam (if applicable)</w:t>
            </w:r>
          </w:p>
          <w:p w14:paraId="62C9EF13" w14:textId="77777777" w:rsidR="008776E3" w:rsidRPr="0082233F" w:rsidRDefault="008776E3" w:rsidP="008776E3">
            <w:pPr>
              <w:pStyle w:val="ListParagraph"/>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4014A9" w:rsidRPr="00CA0BAE" w14:paraId="200E79F9" w14:textId="77777777" w:rsidTr="007570F9">
        <w:trPr>
          <w:trHeight w:val="333"/>
        </w:trPr>
        <w:tc>
          <w:tcPr>
            <w:tcW w:w="708" w:type="pct"/>
          </w:tcPr>
          <w:p w14:paraId="23FDF1F0" w14:textId="58A5A0A9" w:rsidR="004014A9" w:rsidRDefault="004014A9" w:rsidP="004014A9">
            <w:pPr>
              <w:tabs>
                <w:tab w:val="left" w:pos="580"/>
              </w:tabs>
            </w:pPr>
            <w:r>
              <w:rPr>
                <w:rFonts w:eastAsiaTheme="minorEastAsia" w:hint="eastAsia"/>
                <w:lang w:eastAsia="zh-CN"/>
              </w:rPr>
              <w:lastRenderedPageBreak/>
              <w:t>N</w:t>
            </w:r>
            <w:r>
              <w:rPr>
                <w:rFonts w:eastAsiaTheme="minorEastAsia"/>
                <w:lang w:eastAsia="zh-CN"/>
              </w:rPr>
              <w:t>TT DOCOMO</w:t>
            </w:r>
          </w:p>
        </w:tc>
        <w:tc>
          <w:tcPr>
            <w:tcW w:w="716" w:type="pct"/>
          </w:tcPr>
          <w:p w14:paraId="60374D2B" w14:textId="77777777" w:rsidR="004014A9" w:rsidRDefault="004014A9" w:rsidP="004014A9"/>
        </w:tc>
        <w:tc>
          <w:tcPr>
            <w:tcW w:w="3576" w:type="pct"/>
          </w:tcPr>
          <w:p w14:paraId="65115879"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Y</w:t>
            </w:r>
            <w:r>
              <w:rPr>
                <w:rFonts w:eastAsiaTheme="minorEastAsia"/>
                <w:bCs/>
                <w:lang w:eastAsia="zh-CN"/>
              </w:rPr>
              <w:t xml:space="preserve">es. Since Option 2a is more generic than Option 2b and Option 2b is one step forward from Option 2a, we think it is good to keep Option 2b. </w:t>
            </w:r>
          </w:p>
          <w:p w14:paraId="657BF511"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N</w:t>
            </w:r>
            <w:r>
              <w:rPr>
                <w:rFonts w:eastAsiaTheme="minorEastAsia"/>
                <w:bCs/>
                <w:lang w:eastAsia="zh-CN"/>
              </w:rPr>
              <w:t>o</w:t>
            </w:r>
          </w:p>
          <w:p w14:paraId="5F758895"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W</w:t>
            </w:r>
            <w:r>
              <w:rPr>
                <w:rFonts w:eastAsiaTheme="minorEastAsia"/>
                <w:bCs/>
                <w:lang w:eastAsia="zh-CN"/>
              </w:rPr>
              <w:t xml:space="preserve">e prefer </w:t>
            </w:r>
            <w:r w:rsidRPr="0082233F">
              <w:rPr>
                <w:color w:val="4472C4" w:themeColor="accent5"/>
                <w:sz w:val="18"/>
                <w:szCs w:val="18"/>
              </w:rPr>
              <w:t>“number of RSs for measurement?”</w:t>
            </w:r>
          </w:p>
          <w:p w14:paraId="3B059C30" w14:textId="166D99B4" w:rsidR="004014A9" w:rsidRPr="00E911F9" w:rsidRDefault="004014A9" w:rsidP="007964ED">
            <w:pPr>
              <w:pStyle w:val="ListParagraph"/>
              <w:numPr>
                <w:ilvl w:val="0"/>
                <w:numId w:val="108"/>
              </w:numPr>
              <w:rPr>
                <w:bCs/>
                <w:lang w:eastAsia="zh-CN"/>
              </w:rPr>
            </w:pPr>
            <w:r>
              <w:rPr>
                <w:rFonts w:eastAsiaTheme="minorEastAsia"/>
                <w:bCs/>
                <w:lang w:eastAsia="zh-CN"/>
              </w:rPr>
              <w:t>We suggest to select 2b with following modification</w:t>
            </w:r>
            <w:r w:rsidR="00440133">
              <w:rPr>
                <w:rFonts w:eastAsiaTheme="minorEastAsia"/>
                <w:bCs/>
                <w:lang w:eastAsia="zh-CN"/>
              </w:rPr>
              <w:t xml:space="preserve"> and remove 2a</w:t>
            </w:r>
            <w:r>
              <w:rPr>
                <w:rFonts w:eastAsiaTheme="minorEastAsia"/>
                <w:bCs/>
                <w:lang w:eastAsia="zh-CN"/>
              </w:rPr>
              <w:t>:</w:t>
            </w:r>
          </w:p>
          <w:p w14:paraId="6145B208" w14:textId="77777777" w:rsidR="004014A9" w:rsidRPr="0082233F" w:rsidRDefault="004014A9" w:rsidP="004014A9">
            <w:pPr>
              <w:pStyle w:val="ListParagraph"/>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49CBB984" w14:textId="77777777" w:rsidR="004014A9" w:rsidRPr="0082233F" w:rsidRDefault="004014A9" w:rsidP="004014A9">
            <w:pPr>
              <w:pStyle w:val="ListParagraph"/>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2798EA46" w14:textId="6F77B72F" w:rsidR="004014A9" w:rsidRPr="0082233F" w:rsidRDefault="004014A9" w:rsidP="004014A9">
            <w:pPr>
              <w:pStyle w:val="ListParagraph"/>
              <w:numPr>
                <w:ilvl w:val="3"/>
                <w:numId w:val="23"/>
              </w:numPr>
              <w:rPr>
                <w:sz w:val="18"/>
                <w:szCs w:val="18"/>
              </w:rPr>
            </w:pPr>
            <w:r w:rsidRPr="0082233F">
              <w:rPr>
                <w:sz w:val="18"/>
                <w:szCs w:val="18"/>
              </w:rPr>
              <w:t>where M is the total number of beams (pairs) to be predicted (in Set A)</w:t>
            </w:r>
            <w:r>
              <w:rPr>
                <w:sz w:val="18"/>
                <w:szCs w:val="18"/>
              </w:rPr>
              <w:t xml:space="preserve"> </w:t>
            </w:r>
            <w:r w:rsidRPr="00440133">
              <w:rPr>
                <w:sz w:val="18"/>
                <w:szCs w:val="18"/>
                <w:highlight w:val="yellow"/>
                <w:u w:val="single"/>
              </w:rPr>
              <w:t xml:space="preserve">or </w:t>
            </w:r>
            <w:r w:rsidR="00440133" w:rsidRPr="00440133">
              <w:rPr>
                <w:sz w:val="18"/>
                <w:szCs w:val="18"/>
                <w:u w:val="single"/>
              </w:rPr>
              <w:t xml:space="preserve">the </w:t>
            </w:r>
            <w:r w:rsidR="00440133" w:rsidRPr="00440133">
              <w:rPr>
                <w:color w:val="FF0000"/>
                <w:sz w:val="18"/>
                <w:szCs w:val="18"/>
                <w:u w:val="single"/>
              </w:rPr>
              <w:t xml:space="preserve">total </w:t>
            </w:r>
            <w:r w:rsidR="00440133" w:rsidRPr="00440133">
              <w:rPr>
                <w:sz w:val="18"/>
                <w:szCs w:val="18"/>
                <w:u w:val="single"/>
              </w:rPr>
              <w:t xml:space="preserve">number of beams (pairs) (with reference signal (SSB and/or CSI-RS)) required for measurement </w:t>
            </w:r>
            <w:r w:rsidR="00440133" w:rsidRPr="00440133">
              <w:rPr>
                <w:color w:val="FF0000"/>
                <w:sz w:val="18"/>
                <w:szCs w:val="18"/>
                <w:u w:val="single"/>
              </w:rPr>
              <w:t xml:space="preserve">for </w:t>
            </w:r>
            <w:r w:rsidR="00440133" w:rsidRPr="00440133">
              <w:rPr>
                <w:color w:val="FF0000"/>
                <w:sz w:val="18"/>
                <w:szCs w:val="18"/>
                <w:highlight w:val="yellow"/>
                <w:u w:val="single"/>
              </w:rPr>
              <w:t>baseline</w:t>
            </w:r>
            <w:r w:rsidR="00440133" w:rsidRPr="00440133">
              <w:rPr>
                <w:color w:val="FF0000"/>
                <w:sz w:val="18"/>
                <w:szCs w:val="18"/>
                <w:u w:val="single"/>
              </w:rPr>
              <w:t xml:space="preserve"> scheme</w:t>
            </w:r>
          </w:p>
          <w:p w14:paraId="5F2BD24E" w14:textId="77777777" w:rsidR="00665DE6" w:rsidRPr="00665DE6" w:rsidRDefault="00665DE6" w:rsidP="00665DE6">
            <w:pPr>
              <w:numPr>
                <w:ilvl w:val="3"/>
                <w:numId w:val="23"/>
              </w:numPr>
              <w:contextualSpacing/>
              <w:rPr>
                <w:rFonts w:eastAsiaTheme="minorEastAsia"/>
                <w:sz w:val="18"/>
                <w:szCs w:val="18"/>
                <w:lang w:eastAsia="zh-CN"/>
              </w:rPr>
            </w:pPr>
            <w:r w:rsidRPr="00665DE6">
              <w:rPr>
                <w:rFonts w:eastAsiaTheme="minorEastAsia"/>
                <w:sz w:val="18"/>
                <w:szCs w:val="18"/>
                <w:lang w:eastAsia="zh-CN"/>
              </w:rPr>
              <w:t xml:space="preserve">FFS </w:t>
            </w:r>
            <w:r w:rsidRPr="00665DE6">
              <w:rPr>
                <w:rFonts w:eastAsiaTheme="minorEastAsia"/>
                <w:color w:val="FF0000"/>
                <w:sz w:val="18"/>
                <w:szCs w:val="18"/>
                <w:lang w:eastAsia="zh-CN"/>
              </w:rPr>
              <w:t>the following alternatives consider different targets (e.g., beam or beam pair) for prediction:</w:t>
            </w:r>
            <w:r w:rsidRPr="00665DE6">
              <w:rPr>
                <w:rFonts w:eastAsiaTheme="minorEastAsia"/>
                <w:sz w:val="18"/>
                <w:szCs w:val="18"/>
                <w:lang w:eastAsia="zh-CN"/>
              </w:rPr>
              <w:t xml:space="preserve"> </w:t>
            </w:r>
          </w:p>
          <w:p w14:paraId="2F2FE183"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Alt1: P is the number of Top-K selected beams (pairs) for beam sweeping (if applicable)</w:t>
            </w:r>
          </w:p>
          <w:p w14:paraId="5AEB3D00"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Alt2: P is the number of Top-K selected beams (pairs) not in Set B for beam sweeping (if applicable)</w:t>
            </w:r>
          </w:p>
          <w:p w14:paraId="0D8FFDBF"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Alt3: P is the number of beams used for beam sweeping to get the best Rx beam (if applicable)</w:t>
            </w:r>
          </w:p>
          <w:p w14:paraId="546DD6B0" w14:textId="77777777" w:rsidR="004014A9" w:rsidRPr="00665DE6" w:rsidRDefault="004014A9" w:rsidP="004014A9">
            <w:pPr>
              <w:pStyle w:val="ListParagraph"/>
              <w:numPr>
                <w:ilvl w:val="3"/>
                <w:numId w:val="23"/>
              </w:numPr>
              <w:rPr>
                <w:sz w:val="18"/>
                <w:szCs w:val="18"/>
                <w:u w:val="single"/>
              </w:rPr>
            </w:pPr>
            <w:r w:rsidRPr="00665DE6">
              <w:rPr>
                <w:sz w:val="18"/>
                <w:szCs w:val="18"/>
                <w:highlight w:val="yellow"/>
                <w:u w:val="single"/>
              </w:rPr>
              <w:t>Companies report the assumption on beam sweeping</w:t>
            </w:r>
          </w:p>
          <w:p w14:paraId="44984150" w14:textId="77777777" w:rsidR="004014A9" w:rsidRDefault="004014A9" w:rsidP="004014A9"/>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lastRenderedPageBreak/>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lastRenderedPageBreak/>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lastRenderedPageBreak/>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lastRenderedPageBreak/>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w:t>
            </w:r>
            <w:r>
              <w:rPr>
                <w:color w:val="4472C4" w:themeColor="accent5"/>
              </w:rPr>
              <w:lastRenderedPageBreak/>
              <w:t xml:space="preserve">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lastRenderedPageBreak/>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 xml:space="preserve">Additional beam measurements with the top-1 predicted beam for reception with the beam, when the top-1 predicted beam is </w:t>
      </w:r>
      <w:r>
        <w:rPr>
          <w:bCs/>
          <w:sz w:val="18"/>
          <w:szCs w:val="16"/>
        </w:rPr>
        <w:lastRenderedPageBreak/>
        <w:t>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lastRenderedPageBreak/>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lastRenderedPageBreak/>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lastRenderedPageBreak/>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lastRenderedPageBreak/>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Heading1"/>
      </w:pPr>
      <w:r>
        <w:lastRenderedPageBreak/>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ListParagraph"/>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lastRenderedPageBreak/>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lastRenderedPageBreak/>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lastRenderedPageBreak/>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ListParagraph"/>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ListParagraph"/>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lastRenderedPageBreak/>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 xml:space="preserve">FFS Different gNB </w:t>
      </w:r>
      <w:proofErr w:type="gramStart"/>
      <w:r>
        <w:rPr>
          <w:sz w:val="18"/>
          <w:szCs w:val="18"/>
        </w:rPr>
        <w:t>setting:</w:t>
      </w:r>
      <w:proofErr w:type="gramEnd"/>
      <w:r>
        <w:rPr>
          <w:sz w:val="18"/>
          <w:szCs w:val="18"/>
        </w:rPr>
        <w:t xml:space="preserve">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Heading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lastRenderedPageBreak/>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lastRenderedPageBreak/>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w:t>
            </w:r>
            <w:r>
              <w:lastRenderedPageBreak/>
              <w:t xml:space="preserve">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w:t>
            </w:r>
            <w:r>
              <w:lastRenderedPageBreak/>
              <w:t>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w:t>
            </w:r>
            <w:r>
              <w:lastRenderedPageBreak/>
              <w:t xml:space="preserve">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lastRenderedPageBreak/>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ListParagraph"/>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w:t>
            </w:r>
            <w:r>
              <w:lastRenderedPageBreak/>
              <w:t xml:space="preserve">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lastRenderedPageBreak/>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w:t>
            </w:r>
            <w:proofErr w:type="gramStart"/>
            <w:r>
              <w:t>important aspects of the generalization</w:t>
            </w:r>
            <w:proofErr w:type="gramEnd"/>
            <w: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SimSun"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ListParagraph"/>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ListParagraph"/>
              <w:numPr>
                <w:ilvl w:val="0"/>
                <w:numId w:val="47"/>
              </w:numPr>
              <w:rPr>
                <w:b/>
                <w:bCs/>
                <w:sz w:val="18"/>
                <w:szCs w:val="18"/>
              </w:rPr>
            </w:pPr>
            <w:r w:rsidRPr="00687FF2">
              <w:rPr>
                <w:b/>
                <w:bCs/>
                <w:sz w:val="18"/>
                <w:szCs w:val="18"/>
              </w:rPr>
              <w:t xml:space="preserve">For BM Case-1 and BM Case 2, to verify the generalization performance of an AI/ML model over various scenarios/configurations, the set of scenarios/configurations are considered </w:t>
            </w:r>
            <w:r w:rsidRPr="00687FF2">
              <w:rPr>
                <w:b/>
                <w:bCs/>
                <w:sz w:val="18"/>
                <w:szCs w:val="18"/>
              </w:rPr>
              <w:lastRenderedPageBreak/>
              <w:t>focusing on one or more of the following aspects as a starting point:</w:t>
            </w:r>
          </w:p>
          <w:p w14:paraId="2DAED8AC"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05FC7835"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69045D" w:rsidRPr="00E911F9" w14:paraId="67043288" w14:textId="77777777" w:rsidTr="00E911F9">
        <w:trPr>
          <w:trHeight w:val="333"/>
        </w:trPr>
        <w:tc>
          <w:tcPr>
            <w:tcW w:w="629" w:type="pct"/>
          </w:tcPr>
          <w:p w14:paraId="204A8420" w14:textId="77777777" w:rsidR="0069045D" w:rsidRPr="00E911F9" w:rsidRDefault="0069045D" w:rsidP="00E911F9">
            <w:pPr>
              <w:rPr>
                <w:rFonts w:eastAsiaTheme="minorEastAsia"/>
                <w:kern w:val="0"/>
                <w:lang w:eastAsia="zh-CN"/>
              </w:rPr>
            </w:pPr>
            <w:r>
              <w:rPr>
                <w:rFonts w:eastAsiaTheme="minorEastAsia" w:hint="eastAsia"/>
                <w:kern w:val="0"/>
                <w:lang w:eastAsia="zh-CN"/>
              </w:rPr>
              <w:lastRenderedPageBreak/>
              <w:t>N</w:t>
            </w:r>
            <w:r>
              <w:rPr>
                <w:rFonts w:eastAsiaTheme="minorEastAsia"/>
                <w:kern w:val="0"/>
                <w:lang w:eastAsia="zh-CN"/>
              </w:rPr>
              <w:t>TT DOCOMO</w:t>
            </w:r>
          </w:p>
        </w:tc>
        <w:tc>
          <w:tcPr>
            <w:tcW w:w="4371" w:type="pct"/>
          </w:tcPr>
          <w:p w14:paraId="65BB8C59" w14:textId="77777777" w:rsidR="0069045D" w:rsidRPr="00E911F9" w:rsidRDefault="0069045D" w:rsidP="00E911F9">
            <w:pPr>
              <w:keepNext/>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E227B2" w:rsidRPr="00E911F9" w14:paraId="1197BB8B" w14:textId="77777777" w:rsidTr="00E911F9">
        <w:trPr>
          <w:trHeight w:val="333"/>
        </w:trPr>
        <w:tc>
          <w:tcPr>
            <w:tcW w:w="629" w:type="pct"/>
          </w:tcPr>
          <w:p w14:paraId="31D03632" w14:textId="4612318D" w:rsidR="00E227B2" w:rsidRDefault="00E227B2" w:rsidP="00E911F9">
            <w:pPr>
              <w:rPr>
                <w:rFonts w:hint="eastAsia"/>
                <w:kern w:val="0"/>
              </w:rPr>
            </w:pPr>
            <w:r>
              <w:rPr>
                <w:kern w:val="0"/>
              </w:rPr>
              <w:t>Nokia</w:t>
            </w:r>
          </w:p>
        </w:tc>
        <w:tc>
          <w:tcPr>
            <w:tcW w:w="4371" w:type="pct"/>
          </w:tcPr>
          <w:p w14:paraId="1BBBE047" w14:textId="7BB5DBD7" w:rsidR="00E227B2" w:rsidRDefault="00E227B2" w:rsidP="00E911F9">
            <w:pPr>
              <w:keepNext/>
              <w:rPr>
                <w:rFonts w:hint="eastAsia"/>
              </w:rPr>
            </w:pPr>
            <w:r>
              <w:t>Ok with the proposal. Brackets on “</w:t>
            </w:r>
            <w:r w:rsidRPr="00E227B2">
              <w:t>[Various Set B of beam(pairs)]</w:t>
            </w:r>
            <w:r>
              <w:t xml:space="preserve">” shall be removed. </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3C5ECA3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F2B5C75" w14:textId="0CF76C1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5B06FB31"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3ED9391" w14:textId="355A65A4"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lastRenderedPageBreak/>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49D16BB1"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w:t>
      </w:r>
      <w:r w:rsidR="00E227B2">
        <w:rPr>
          <w:sz w:val="18"/>
          <w:szCs w:val="18"/>
        </w:rPr>
        <w:t>m</w:t>
      </w:r>
      <w:r>
        <w:rPr>
          <w:sz w:val="18"/>
          <w:szCs w:val="18"/>
        </w:rPr>
        <w:t>a to U</w:t>
      </w:r>
      <w:r w:rsidR="00E227B2">
        <w:rPr>
          <w:sz w:val="18"/>
          <w:szCs w:val="18"/>
        </w:rPr>
        <w:t>m</w:t>
      </w:r>
      <w:r>
        <w:rPr>
          <w:sz w:val="18"/>
          <w:szCs w:val="18"/>
        </w:rPr>
        <w:t>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36068585" w:rsidR="00E071D4" w:rsidRDefault="0092512F">
      <w:pPr>
        <w:pStyle w:val="ListParagraph"/>
        <w:numPr>
          <w:ilvl w:val="1"/>
          <w:numId w:val="22"/>
        </w:numPr>
        <w:rPr>
          <w:sz w:val="18"/>
          <w:szCs w:val="18"/>
        </w:rPr>
      </w:pPr>
      <w:r>
        <w:rPr>
          <w:sz w:val="18"/>
          <w:szCs w:val="18"/>
        </w:rPr>
        <w:lastRenderedPageBreak/>
        <w:t>Observation 11: model</w:t>
      </w:r>
      <w:r w:rsidR="00E227B2">
        <w:rPr>
          <w:sz w:val="18"/>
          <w:szCs w:val="18"/>
        </w:rPr>
        <w:t>’</w:t>
      </w:r>
      <w:r>
        <w:rPr>
          <w:sz w:val="18"/>
          <w:szCs w:val="18"/>
        </w:rPr>
        <w:t>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333D1018" w:rsidR="00E071D4" w:rsidRDefault="0092512F" w:rsidP="007964ED">
      <w:pPr>
        <w:pStyle w:val="Heading2"/>
        <w:numPr>
          <w:ilvl w:val="1"/>
          <w:numId w:val="109"/>
        </w:numPr>
      </w:pPr>
      <w:r>
        <w:t>(</w:t>
      </w:r>
      <w:proofErr w:type="gramStart"/>
      <w:r>
        <w:t>on</w:t>
      </w:r>
      <w:proofErr w:type="gramEnd"/>
      <w:r>
        <w:t xml:space="preserve">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lastRenderedPageBreak/>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sidRPr="00E227B2">
        <w:rPr>
          <w:sz w:val="18"/>
          <w:szCs w:val="18"/>
          <w:vertAlign w:val="superscript"/>
        </w:rPr>
        <w:t>nd</w:t>
      </w:r>
      <w:r>
        <w:rPr>
          <w:sz w:val="18"/>
          <w:szCs w:val="18"/>
        </w:rPr>
        <w:t xml:space="preserve">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w:t>
      </w:r>
      <w:r>
        <w:rPr>
          <w:iCs/>
          <w:sz w:val="18"/>
          <w:szCs w:val="18"/>
        </w:rPr>
        <w:lastRenderedPageBreak/>
        <w:t xml:space="preserve">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ListParagraph"/>
        <w:numPr>
          <w:ilvl w:val="1"/>
          <w:numId w:val="51"/>
        </w:numPr>
        <w:tabs>
          <w:tab w:val="left" w:pos="1710"/>
        </w:tabs>
        <w:rPr>
          <w:sz w:val="18"/>
          <w:szCs w:val="18"/>
        </w:rPr>
      </w:pPr>
      <w:r>
        <w:rPr>
          <w:sz w:val="18"/>
          <w:szCs w:val="18"/>
        </w:rPr>
        <w:t xml:space="preserve">Proposal 5: For the evaluation of AI/ML-based beam management, for the construction of Set A, a DFT codebook </w:t>
      </w:r>
      <w:r>
        <w:rPr>
          <w:sz w:val="18"/>
          <w:szCs w:val="18"/>
        </w:rPr>
        <w:lastRenderedPageBreak/>
        <w:t>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lastRenderedPageBreak/>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r>
              <w:rPr>
                <w:rFonts w:eastAsia="SimSun"/>
                <w:smallCaps/>
              </w:rPr>
              <w:t>S</w:t>
            </w:r>
            <w:r>
              <w:rPr>
                <w:rFonts w:eastAsia="SimSun" w:hint="eastAsia"/>
                <w:smallCaps/>
              </w:rPr>
              <w:t>preadtrum</w:t>
            </w:r>
            <w:r>
              <w:rPr>
                <w:rFonts w:eastAsia="SimSun"/>
                <w:smallCaps/>
              </w:rPr>
              <w:t>,NTT</w:t>
            </w:r>
            <w:proofErr w:type="spell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lastRenderedPageBreak/>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lastRenderedPageBreak/>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w:t>
      </w:r>
      <w:r>
        <w:rPr>
          <w:bCs/>
          <w:sz w:val="18"/>
          <w:szCs w:val="18"/>
        </w:rPr>
        <w:lastRenderedPageBreak/>
        <w:t xml:space="preserve">(M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5: Random subset selection scheme, which allows multiple random subsets in training, can improve generalization performance as well as beam management related performance if compared to mismatched subset </w:t>
      </w:r>
      <w:r>
        <w:rPr>
          <w:rFonts w:eastAsia="Malgun Gothic"/>
          <w:bCs/>
          <w:sz w:val="18"/>
          <w:szCs w:val="18"/>
          <w:lang w:eastAsia="ko-KR"/>
        </w:rPr>
        <w:lastRenderedPageBreak/>
        <w:t>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lastRenderedPageBreak/>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lastRenderedPageBreak/>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68D666BD"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sidR="00E227B2">
        <w:rPr>
          <w:color w:val="5B9BD5" w:themeColor="accent1"/>
          <w:sz w:val="18"/>
          <w:szCs w:val="18"/>
        </w:rPr>
        <w:t>O</w:t>
      </w:r>
      <w:r>
        <w:rPr>
          <w:color w:val="5B9BD5" w:themeColor="accent1"/>
          <w:sz w:val="18"/>
          <w:szCs w:val="18"/>
        </w:rPr>
        <w:t>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Heading4"/>
        <w:rPr>
          <w:highlight w:val="yellow"/>
        </w:rPr>
      </w:pPr>
      <w:bookmarkStart w:id="29" w:name="_Hlk111746567"/>
      <w:r>
        <w:rPr>
          <w:highlight w:val="yellow"/>
        </w:rPr>
        <w:t>FL</w:t>
      </w:r>
      <w:r w:rsidR="00A85B1B">
        <w:rPr>
          <w:highlight w:val="yellow"/>
        </w:rPr>
        <w:t>5</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w:t>
      </w:r>
      <w:r>
        <w:rPr>
          <w:sz w:val="18"/>
          <w:szCs w:val="18"/>
        </w:rPr>
        <w:lastRenderedPageBreak/>
        <w:t xml:space="preserve">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5"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lastRenderedPageBreak/>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SimSun"/>
                <w:smallCaps/>
                <w:kern w:val="0"/>
              </w:rPr>
            </w:pPr>
            <w:proofErr w:type="spellStart"/>
            <w:r>
              <w:rPr>
                <w:smallCaps/>
              </w:rPr>
              <w:lastRenderedPageBreak/>
              <w:t>Futurewei</w:t>
            </w:r>
            <w:proofErr w:type="spellEnd"/>
          </w:p>
        </w:tc>
        <w:tc>
          <w:tcPr>
            <w:tcW w:w="4265"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5"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SimSun"/>
                <w:smallCaps/>
                <w:kern w:val="0"/>
              </w:rPr>
              <w:t>LG</w:t>
            </w:r>
          </w:p>
        </w:tc>
        <w:tc>
          <w:tcPr>
            <w:tcW w:w="4265"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SimSun"/>
                <w:smallCaps/>
                <w:kern w:val="0"/>
              </w:rPr>
            </w:pPr>
            <w:r>
              <w:rPr>
                <w:rFonts w:hint="eastAsia"/>
              </w:rPr>
              <w:t>F</w:t>
            </w:r>
            <w:r>
              <w:t>ujitsu</w:t>
            </w:r>
          </w:p>
        </w:tc>
        <w:tc>
          <w:tcPr>
            <w:tcW w:w="4265"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SimSun"/>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lastRenderedPageBreak/>
              <w:t xml:space="preserve">Q2: </w:t>
            </w:r>
            <w:r>
              <w:rPr>
                <w:kern w:val="0"/>
              </w:rPr>
              <w:t xml:space="preserve">Both fixed </w:t>
            </w:r>
            <w:proofErr w:type="gramStart"/>
            <w:r>
              <w:rPr>
                <w:rFonts w:eastAsia="SimSun" w:hint="eastAsia"/>
                <w:kern w:val="0"/>
              </w:rPr>
              <w:t>beam</w:t>
            </w:r>
            <w:proofErr w:type="gramEnd"/>
            <w:r>
              <w:rPr>
                <w:rFonts w:eastAsia="SimSun" w:hint="eastAsia"/>
                <w:kern w:val="0"/>
              </w:rPr>
              <w:t xml:space="preserve">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lastRenderedPageBreak/>
              <w:t>FL2</w:t>
            </w:r>
          </w:p>
        </w:tc>
        <w:tc>
          <w:tcPr>
            <w:tcW w:w="4265"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w:t>
            </w:r>
            <w:r>
              <w:lastRenderedPageBreak/>
              <w:t xml:space="preserve">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lastRenderedPageBreak/>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4B7D1870" w:rsidR="00E071D4" w:rsidRDefault="00E227B2">
            <w:pPr>
              <w:rPr>
                <w:smallCaps/>
              </w:rPr>
            </w:pPr>
            <w:r>
              <w:t>V</w:t>
            </w:r>
            <w:r w:rsidR="0092512F">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60A4B873" w:rsidR="00E071D4" w:rsidRDefault="0092512F">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rPr>
              <w:t xml:space="preserve"> </w:t>
            </w:r>
            <w:proofErr w:type="spellStart"/>
            <w:r w:rsidR="00E227B2">
              <w:rPr>
                <w:rFonts w:eastAsia="SimSun"/>
              </w:rPr>
              <w:t>V</w:t>
            </w:r>
            <w:r>
              <w:rPr>
                <w:rFonts w:eastAsia="SimSun" w:hint="eastAsia"/>
              </w:rPr>
              <w:t>ivo</w:t>
            </w:r>
            <w:r>
              <w:rPr>
                <w:rFonts w:eastAsia="SimSun"/>
              </w:rPr>
              <w:t>’</w:t>
            </w:r>
            <w:r>
              <w:rPr>
                <w:rFonts w:eastAsia="SimSun" w:hint="eastAsia"/>
              </w:rPr>
              <w:t>s</w:t>
            </w:r>
            <w:proofErr w:type="spellEnd"/>
            <w:r>
              <w:rPr>
                <w:rFonts w:eastAsia="SimSun"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w:t>
            </w:r>
            <w:proofErr w:type="gramStart"/>
            <w:r>
              <w:t>to remove</w:t>
            </w:r>
            <w:proofErr w:type="gramEnd"/>
            <w:r>
              <w:t xml:space="preserve"> ‘ randomly’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w:t>
            </w:r>
            <w:r>
              <w:rPr>
                <w:color w:val="4472C4" w:themeColor="accent5"/>
              </w:rPr>
              <w:lastRenderedPageBreak/>
              <w:t xml:space="preserve">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lastRenderedPageBreak/>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lastRenderedPageBreak/>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w:t>
            </w:r>
            <w:r>
              <w:rPr>
                <w:rFonts w:hint="eastAsia"/>
              </w:rPr>
              <w:lastRenderedPageBreak/>
              <w:t xml:space="preserve">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proofErr w:type="spellStart"/>
            <w:r>
              <w:rPr>
                <w:b/>
                <w:bCs/>
              </w:rPr>
              <w:t>Opt</w:t>
            </w:r>
            <w:proofErr w:type="spellEnd"/>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lastRenderedPageBreak/>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w:t>
            </w:r>
            <w:r w:rsidRPr="00D47209">
              <w:rPr>
                <w:b/>
                <w:bCs/>
              </w:rPr>
              <w:lastRenderedPageBreak/>
              <w:t>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lastRenderedPageBreak/>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1FC2D7C9" w:rsidR="00C82302" w:rsidRDefault="00C82302" w:rsidP="00C82302">
            <w:r>
              <w:t xml:space="preserve">As proposal 4-3-1d says, </w:t>
            </w:r>
            <w:r w:rsidRPr="001A37C1">
              <w:t xml:space="preserve">we should study both </w:t>
            </w:r>
            <w:r>
              <w:t xml:space="preserve">Option 1 and 2 </w:t>
            </w:r>
            <w:r w:rsidRPr="001A37C1">
              <w:t xml:space="preserve">with equal priority </w:t>
            </w:r>
            <w:r w:rsidR="00E227B2">
              <w:t>–</w:t>
            </w:r>
            <w:r w:rsidRPr="001A37C1">
              <w:t xml:space="preserve"> evaluations and use cases for both </w:t>
            </w:r>
            <w:r w:rsidR="00E227B2">
              <w:t>–</w:t>
            </w:r>
            <w:r w:rsidRPr="001A37C1">
              <w:t xml:space="preserve"> it</w:t>
            </w:r>
            <w:r w:rsidR="00E227B2">
              <w:t>’</w:t>
            </w:r>
            <w:r w:rsidRPr="001A37C1">
              <w: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283519F8" w14:textId="77777777" w:rsidR="00070B64" w:rsidRDefault="00070B64" w:rsidP="00CA0BAE">
            <w:pPr>
              <w:rPr>
                <w:rFonts w:eastAsiaTheme="minorEastAsia"/>
                <w:lang w:eastAsia="zh-CN"/>
              </w:rPr>
            </w:pPr>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w:t>
            </w:r>
            <w:r>
              <w:rPr>
                <w:rFonts w:eastAsiaTheme="minorEastAsia" w:hint="eastAsia"/>
                <w:lang w:eastAsia="zh-CN"/>
              </w:rPr>
              <w:lastRenderedPageBreak/>
              <w:t xml:space="preserve">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p w14:paraId="0E66F850" w14:textId="38E81603" w:rsidR="009C1690" w:rsidRDefault="009C1690" w:rsidP="00CA0BAE">
            <w:r w:rsidRPr="009C1690">
              <w:rPr>
                <w:color w:val="4472C4" w:themeColor="accent5"/>
              </w:rPr>
              <w:t>FL5:</w:t>
            </w:r>
            <w:r>
              <w:rPr>
                <w:color w:val="4472C4" w:themeColor="accent5"/>
              </w:rPr>
              <w:t xml:space="preserve"> 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lastRenderedPageBreak/>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6C9D334D"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7CD7CDA"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w:t>
            </w:r>
            <w:r>
              <w:rPr>
                <w:b/>
                <w:bCs/>
                <w:color w:val="ED7D31" w:themeColor="accent2"/>
              </w:rPr>
              <w:lastRenderedPageBreak/>
              <w:t>a pre-configured pattern in different measurement time instance within one sample</w:t>
            </w:r>
          </w:p>
          <w:p w14:paraId="213BAABD"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085EBDFE" w:rsidR="007570F9" w:rsidRDefault="007570F9" w:rsidP="009B156B">
            <w:r>
              <w:t>-For Opt2, w</w:t>
            </w:r>
            <w:r w:rsidRPr="00AB1B60">
              <w:t>e</w:t>
            </w:r>
            <w:r w:rsidR="00E227B2">
              <w:t>’</w:t>
            </w:r>
            <w:r w:rsidRPr="00AB1B60">
              <w:t>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2D756F2C" w14:textId="77777777" w:rsidR="007570F9" w:rsidRDefault="007570F9" w:rsidP="009B156B">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9B156B">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 xml:space="preserve">or Proposal 4-3-1d, we still think some </w:t>
            </w:r>
            <w:proofErr w:type="gramStart"/>
            <w:r>
              <w:t>clarification</w:t>
            </w:r>
            <w:proofErr w:type="gramEnd"/>
            <w:r>
              <w:t xml:space="preserve"> are needed for </w:t>
            </w:r>
            <w:proofErr w:type="spellStart"/>
            <w:r>
              <w:t>Opt</w:t>
            </w:r>
            <w:proofErr w:type="spellEnd"/>
            <w:r>
              <w:t xml:space="preserve">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Malgun Gothic"/>
                <w:b/>
                <w:bCs/>
                <w:kern w:val="0"/>
              </w:rPr>
            </w:pPr>
            <w:r>
              <w:rPr>
                <w:rFonts w:eastAsia="Malgun Gothic"/>
                <w:b/>
                <w:bCs/>
                <w:kern w:val="0"/>
                <w:highlight w:val="yellow"/>
              </w:rPr>
              <w:t>Proposal 4-3-1</w:t>
            </w:r>
            <w:r>
              <w:rPr>
                <w:rFonts w:eastAsia="Malgun Gothic"/>
                <w:b/>
                <w:bCs/>
                <w:kern w:val="0"/>
              </w:rPr>
              <w:t>e</w:t>
            </w:r>
          </w:p>
          <w:p w14:paraId="5CCA11C8" w14:textId="77777777" w:rsidR="009C1690" w:rsidRDefault="009C1690" w:rsidP="009C1690">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4F190E08" w14:textId="77777777" w:rsidR="009C1690" w:rsidRDefault="009C1690" w:rsidP="009C1690">
            <w:pPr>
              <w:pStyle w:val="ListParagraph"/>
              <w:numPr>
                <w:ilvl w:val="1"/>
                <w:numId w:val="27"/>
              </w:numPr>
              <w:rPr>
                <w:b/>
                <w:bCs/>
              </w:rPr>
            </w:pPr>
            <w:r>
              <w:rPr>
                <w:b/>
                <w:bCs/>
              </w:rPr>
              <w:t>Option 1: Set B is fixed across training and inference</w:t>
            </w:r>
          </w:p>
          <w:p w14:paraId="0F3C23B9" w14:textId="77777777" w:rsidR="009C1690" w:rsidRDefault="009C1690" w:rsidP="009C1690">
            <w:pPr>
              <w:pStyle w:val="ListParagraph"/>
              <w:numPr>
                <w:ilvl w:val="1"/>
                <w:numId w:val="27"/>
              </w:numPr>
              <w:rPr>
                <w:b/>
                <w:bCs/>
              </w:rPr>
            </w:pPr>
            <w:r>
              <w:rPr>
                <w:b/>
                <w:bCs/>
              </w:rPr>
              <w:t xml:space="preserve">Option 2: Set B is variable (e.g., different beams (pairs) </w:t>
            </w:r>
            <w:r>
              <w:rPr>
                <w:b/>
                <w:bCs/>
              </w:rPr>
              <w:lastRenderedPageBreak/>
              <w:t xml:space="preserve">patterns in each report/measurement during training and/or inference), </w:t>
            </w:r>
            <w:r w:rsidRPr="0056591C">
              <w:rPr>
                <w:b/>
                <w:bCs/>
              </w:rPr>
              <w:t>FFS:</w:t>
            </w:r>
          </w:p>
          <w:p w14:paraId="11332961" w14:textId="000B627C"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instance</w:t>
            </w:r>
            <w:r w:rsidRPr="009C1690">
              <w:rPr>
                <w:b/>
                <w:bCs/>
                <w:color w:val="FF0000"/>
              </w:rPr>
              <w:t xml:space="preserve">/report/measurement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w:t>
            </w:r>
            <w:r w:rsidRPr="009C1690">
              <w:rPr>
                <w:b/>
                <w:bCs/>
                <w:color w:val="FF0000"/>
              </w:rPr>
              <w:t>time instance/</w:t>
            </w:r>
            <w:r>
              <w:rPr>
                <w:b/>
                <w:bCs/>
              </w:rPr>
              <w:t xml:space="preserve"> report/measurement during training and/or inference</w:t>
            </w:r>
          </w:p>
          <w:p w14:paraId="2C16E917" w14:textId="4DE9775C" w:rsidR="009C1690" w:rsidRPr="009C1690" w:rsidRDefault="009C1690" w:rsidP="009C1690">
            <w:pPr>
              <w:pStyle w:val="ListParagraph"/>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ListParagraph"/>
              <w:numPr>
                <w:ilvl w:val="1"/>
                <w:numId w:val="27"/>
              </w:numPr>
              <w:rPr>
                <w:b/>
                <w:bCs/>
              </w:rPr>
            </w:pPr>
            <w:r>
              <w:rPr>
                <w:b/>
                <w:bCs/>
              </w:rPr>
              <w:t xml:space="preserve">Other options are not precluded. </w:t>
            </w:r>
          </w:p>
          <w:p w14:paraId="2A626E33" w14:textId="6C41EACC" w:rsidR="009C1690" w:rsidRDefault="009C1690" w:rsidP="00A24C29"/>
        </w:tc>
      </w:tr>
      <w:tr w:rsidR="000459F7" w14:paraId="65C1E8B4" w14:textId="77777777" w:rsidTr="007570F9">
        <w:trPr>
          <w:trHeight w:val="333"/>
        </w:trPr>
        <w:tc>
          <w:tcPr>
            <w:tcW w:w="735" w:type="pct"/>
          </w:tcPr>
          <w:p w14:paraId="12B0D798" w14:textId="2257CFE2" w:rsidR="000459F7" w:rsidRDefault="000459F7" w:rsidP="000459F7">
            <w:pPr>
              <w:rPr>
                <w:smallCaps/>
              </w:rPr>
            </w:pPr>
            <w:r>
              <w:rPr>
                <w:rFonts w:eastAsiaTheme="minorEastAsia" w:hint="eastAsia"/>
                <w:smallCaps/>
                <w:lang w:eastAsia="zh-CN"/>
              </w:rPr>
              <w:lastRenderedPageBreak/>
              <w:t>N</w:t>
            </w:r>
            <w:r>
              <w:rPr>
                <w:rFonts w:eastAsiaTheme="minorEastAsia"/>
                <w:smallCaps/>
                <w:lang w:eastAsia="zh-CN"/>
              </w:rPr>
              <w:t>TT DOCOMO</w:t>
            </w:r>
          </w:p>
        </w:tc>
        <w:tc>
          <w:tcPr>
            <w:tcW w:w="460" w:type="pct"/>
          </w:tcPr>
          <w:p w14:paraId="254B9BD7" w14:textId="1DCED06B" w:rsidR="000459F7" w:rsidRDefault="000459F7" w:rsidP="000459F7">
            <w:r>
              <w:rPr>
                <w:rFonts w:eastAsiaTheme="minorEastAsia" w:hint="eastAsia"/>
                <w:lang w:eastAsia="zh-CN"/>
              </w:rPr>
              <w:t>Y</w:t>
            </w:r>
          </w:p>
        </w:tc>
        <w:tc>
          <w:tcPr>
            <w:tcW w:w="462" w:type="pct"/>
          </w:tcPr>
          <w:p w14:paraId="60A654BB" w14:textId="221E5F02" w:rsidR="000459F7" w:rsidRDefault="000459F7" w:rsidP="000459F7">
            <w:r>
              <w:rPr>
                <w:rFonts w:eastAsiaTheme="minorEastAsia" w:hint="eastAsia"/>
                <w:lang w:eastAsia="zh-CN"/>
              </w:rPr>
              <w:t>Y</w:t>
            </w:r>
          </w:p>
        </w:tc>
        <w:tc>
          <w:tcPr>
            <w:tcW w:w="3343" w:type="pct"/>
          </w:tcPr>
          <w:p w14:paraId="680D6AAA" w14:textId="022F83CE" w:rsidR="000459F7" w:rsidRDefault="000459F7" w:rsidP="000459F7">
            <w:r>
              <w:rPr>
                <w:rFonts w:eastAsiaTheme="minorEastAsia" w:hint="eastAsia"/>
                <w:lang w:eastAsia="zh-CN"/>
              </w:rPr>
              <w:t>W</w:t>
            </w:r>
            <w:r>
              <w:rPr>
                <w:rFonts w:eastAsiaTheme="minorEastAsia"/>
                <w:lang w:eastAsia="zh-CN"/>
              </w:rPr>
              <w:t>e support to prioritize fixed pattern and further study the variable patterns.</w:t>
            </w:r>
          </w:p>
        </w:tc>
      </w:tr>
      <w:tr w:rsidR="00E227B2" w14:paraId="7FEE4C30" w14:textId="77777777" w:rsidTr="007570F9">
        <w:trPr>
          <w:trHeight w:val="333"/>
        </w:trPr>
        <w:tc>
          <w:tcPr>
            <w:tcW w:w="735" w:type="pct"/>
          </w:tcPr>
          <w:p w14:paraId="27CD7FD0" w14:textId="6BEF2B83" w:rsidR="00E227B2" w:rsidRDefault="00E227B2" w:rsidP="000459F7">
            <w:pPr>
              <w:rPr>
                <w:rFonts w:hint="eastAsia"/>
                <w:smallCaps/>
              </w:rPr>
            </w:pPr>
            <w:r>
              <w:rPr>
                <w:smallCaps/>
              </w:rPr>
              <w:t>Nokia</w:t>
            </w:r>
          </w:p>
        </w:tc>
        <w:tc>
          <w:tcPr>
            <w:tcW w:w="460" w:type="pct"/>
          </w:tcPr>
          <w:p w14:paraId="11AD27E1" w14:textId="77777777" w:rsidR="00E227B2" w:rsidRDefault="00E227B2" w:rsidP="000459F7">
            <w:pPr>
              <w:rPr>
                <w:rFonts w:hint="eastAsia"/>
              </w:rPr>
            </w:pPr>
          </w:p>
        </w:tc>
        <w:tc>
          <w:tcPr>
            <w:tcW w:w="462" w:type="pct"/>
          </w:tcPr>
          <w:p w14:paraId="3ADFA9FF" w14:textId="77777777" w:rsidR="00E227B2" w:rsidRDefault="00E227B2" w:rsidP="000459F7">
            <w:pPr>
              <w:rPr>
                <w:rFonts w:hint="eastAsia"/>
              </w:rPr>
            </w:pPr>
          </w:p>
        </w:tc>
        <w:tc>
          <w:tcPr>
            <w:tcW w:w="3343" w:type="pct"/>
          </w:tcPr>
          <w:p w14:paraId="31896B83" w14:textId="44F61086" w:rsidR="00E227B2" w:rsidRDefault="00E227B2" w:rsidP="000459F7">
            <w:pPr>
              <w:rPr>
                <w:rFonts w:hint="eastAsia"/>
              </w:rPr>
            </w:pPr>
            <w:r>
              <w:t xml:space="preserve">We are generally fine with the direction. We do not think Option A and Option B are different and can group together to one option. In both option A and B, beam set B gets changed in preconfigured pattern. </w:t>
            </w:r>
          </w:p>
        </w:tc>
      </w:tr>
    </w:tbl>
    <w:p w14:paraId="74080C15" w14:textId="77777777" w:rsidR="00E071D4" w:rsidRPr="007570F9" w:rsidRDefault="00E071D4"/>
    <w:p w14:paraId="73C480D1" w14:textId="56D34F69" w:rsidR="00E071D4" w:rsidRDefault="0092512F" w:rsidP="007964ED">
      <w:pPr>
        <w:pStyle w:val="Heading2"/>
        <w:numPr>
          <w:ilvl w:val="1"/>
          <w:numId w:val="110"/>
        </w:numPr>
      </w:pPr>
      <w:r>
        <w:t>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0FEF9BBB" w14:textId="77777777" w:rsidR="00E071D4" w:rsidRDefault="0092512F">
      <w:pPr>
        <w:pStyle w:val="ListParagraph"/>
        <w:numPr>
          <w:ilvl w:val="0"/>
          <w:numId w:val="27"/>
        </w:numPr>
        <w:tabs>
          <w:tab w:val="left" w:pos="1710"/>
        </w:tabs>
        <w:rPr>
          <w:sz w:val="18"/>
          <w:szCs w:val="18"/>
        </w:rPr>
      </w:pPr>
      <w:r>
        <w:rPr>
          <w:sz w:val="18"/>
          <w:szCs w:val="18"/>
        </w:rPr>
        <w:lastRenderedPageBreak/>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lastRenderedPageBreak/>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Heading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lastRenderedPageBreak/>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34EB9689" w:rsidR="00E071D4" w:rsidRDefault="000D01AF">
            <w:pPr>
              <w:rPr>
                <w:kern w:val="0"/>
              </w:rPr>
            </w:pPr>
            <w:r>
              <w:rPr>
                <w:kern w:val="0"/>
              </w:rPr>
              <w:t>V</w:t>
            </w:r>
            <w:r w:rsidR="0092512F">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 xml:space="preserve">FL1: In original proposal there is “(s)” after “time instance”, it means that one or more time instance can </w:t>
            </w:r>
            <w:r>
              <w:rPr>
                <w:color w:val="4472C4" w:themeColor="accent5"/>
                <w:kern w:val="0"/>
              </w:rPr>
              <w:lastRenderedPageBreak/>
              <w:t>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340F4DE3" w:rsidR="00E071D4" w:rsidRDefault="0092512F">
            <w:pPr>
              <w:rPr>
                <w:kern w:val="0"/>
              </w:rPr>
            </w:pPr>
            <w:r>
              <w:rPr>
                <w:rFonts w:hint="eastAsia"/>
                <w:kern w:val="0"/>
              </w:rPr>
              <w:t xml:space="preserve">We prefer </w:t>
            </w:r>
            <w:proofErr w:type="spellStart"/>
            <w:r>
              <w:rPr>
                <w:rFonts w:hint="eastAsia"/>
                <w:kern w:val="0"/>
              </w:rPr>
              <w:t>xiaomi</w:t>
            </w:r>
            <w:r w:rsidR="000D01AF">
              <w:rPr>
                <w:kern w:val="0"/>
              </w:rPr>
              <w:t>’</w:t>
            </w:r>
            <w:r>
              <w:rPr>
                <w:rFonts w:hint="eastAsia"/>
                <w:kern w:val="0"/>
              </w:rPr>
              <w:t>s</w:t>
            </w:r>
            <w:proofErr w:type="spellEnd"/>
            <w:r>
              <w:rPr>
                <w:rFonts w:hint="eastAsia"/>
                <w:kern w:val="0"/>
              </w:rPr>
              <w:t xml:space="preserve"> update. Besides, it has been agreed in agenda 9.2.3.2 that the number of time instances for measurement and prediction is up to implementation and thus doesn</w:t>
            </w:r>
            <w:r w:rsidR="000D01AF">
              <w:rPr>
                <w:kern w:val="0"/>
              </w:rPr>
              <w:t>’</w:t>
            </w:r>
            <w:r>
              <w:rPr>
                <w:rFonts w:hint="eastAsia"/>
                <w:kern w:val="0"/>
              </w:rPr>
              <w:t>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lastRenderedPageBreak/>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w:t>
            </w:r>
            <w:r>
              <w:rPr>
                <w:color w:val="4472C4" w:themeColor="accent5"/>
                <w:kern w:val="0"/>
              </w:rPr>
              <w:lastRenderedPageBreak/>
              <w:t xml:space="preserve">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w:t>
            </w:r>
            <w:r>
              <w:rPr>
                <w:color w:val="4472C4" w:themeColor="accent5"/>
                <w:kern w:val="0"/>
              </w:rPr>
              <w:lastRenderedPageBreak/>
              <w:t>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lastRenderedPageBreak/>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lastRenderedPageBreak/>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ListParagraph"/>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results provided by single company.  </w:t>
            </w:r>
          </w:p>
        </w:tc>
      </w:tr>
      <w:tr w:rsidR="008E4804" w14:paraId="3B7FB066" w14:textId="77777777" w:rsidTr="007570F9">
        <w:trPr>
          <w:trHeight w:val="333"/>
        </w:trPr>
        <w:tc>
          <w:tcPr>
            <w:tcW w:w="616" w:type="pct"/>
          </w:tcPr>
          <w:p w14:paraId="74281F82" w14:textId="18109721" w:rsidR="008E4804" w:rsidRDefault="008E4804" w:rsidP="008E4804">
            <w:pPr>
              <w:rPr>
                <w:kern w:val="0"/>
              </w:rPr>
            </w:pPr>
            <w:r>
              <w:rPr>
                <w:rFonts w:eastAsiaTheme="minorEastAsia" w:hint="eastAsia"/>
                <w:kern w:val="0"/>
                <w:lang w:eastAsia="zh-CN"/>
              </w:rPr>
              <w:t>N</w:t>
            </w:r>
            <w:r>
              <w:rPr>
                <w:rFonts w:eastAsiaTheme="minorEastAsia"/>
                <w:kern w:val="0"/>
                <w:lang w:eastAsia="zh-CN"/>
              </w:rPr>
              <w:t>TT DOCOMO</w:t>
            </w:r>
          </w:p>
        </w:tc>
        <w:tc>
          <w:tcPr>
            <w:tcW w:w="768" w:type="pct"/>
          </w:tcPr>
          <w:p w14:paraId="424DC5C6" w14:textId="4F829C90" w:rsidR="008E4804" w:rsidRDefault="008E4804" w:rsidP="008E4804">
            <w:pPr>
              <w:rPr>
                <w:bCs/>
              </w:rPr>
            </w:pPr>
            <w:r>
              <w:rPr>
                <w:rFonts w:eastAsiaTheme="minorEastAsia" w:hint="eastAsia"/>
                <w:bCs/>
                <w:lang w:eastAsia="zh-CN"/>
              </w:rPr>
              <w:t>[</w:t>
            </w:r>
            <w:r>
              <w:rPr>
                <w:rFonts w:eastAsiaTheme="minorEastAsia"/>
                <w:bCs/>
                <w:lang w:eastAsia="zh-CN"/>
              </w:rPr>
              <w:t>Y]</w:t>
            </w:r>
          </w:p>
        </w:tc>
        <w:tc>
          <w:tcPr>
            <w:tcW w:w="3616" w:type="pct"/>
          </w:tcPr>
          <w:p w14:paraId="3CA90709" w14:textId="60BD1667" w:rsidR="008E4804" w:rsidRDefault="008E4804" w:rsidP="008E4804">
            <w:pPr>
              <w:rPr>
                <w:bCs/>
              </w:rPr>
            </w:pPr>
            <w:r>
              <w:rPr>
                <w:rFonts w:eastAsiaTheme="minorEastAsia" w:hint="eastAsia"/>
                <w:bCs/>
                <w:lang w:eastAsia="zh-CN"/>
              </w:rPr>
              <w:t>W</w:t>
            </w:r>
            <w:r>
              <w:rPr>
                <w:rFonts w:eastAsiaTheme="minorEastAsia"/>
                <w:bCs/>
                <w:lang w:eastAsia="zh-CN"/>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eastAsiaTheme="minorEastAsia" w:hint="eastAsia"/>
                <w:bCs/>
                <w:lang w:eastAsia="zh-CN"/>
              </w:rPr>
              <w:t>Also,</w:t>
            </w:r>
            <w:r>
              <w:rPr>
                <w:rFonts w:eastAsiaTheme="minorEastAsia"/>
                <w:bCs/>
                <w:lang w:eastAsia="zh-CN"/>
              </w:rPr>
              <w:t xml:space="preserve"> it is also beneficial for UE since the UE efforts on conducting fast sweeping is eased. Therefore, although it is not precluded to report other values, we would like to explicitly show the possible large values here in the example.</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4A2BD5A8" w:rsidR="00E071D4" w:rsidRDefault="0092512F" w:rsidP="007964ED">
      <w:pPr>
        <w:pStyle w:val="Heading2"/>
        <w:numPr>
          <w:ilvl w:val="1"/>
          <w:numId w:val="111"/>
        </w:numPr>
      </w:pPr>
      <w:r>
        <w:t xml:space="preserve">(on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lastRenderedPageBreak/>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w:t>
      </w:r>
      <w:r>
        <w:rPr>
          <w:bCs/>
          <w:iCs/>
        </w:rPr>
        <w:lastRenderedPageBreak/>
        <w:t xml:space="preserve">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 xml:space="preserve">TT </w:t>
            </w:r>
            <w:r>
              <w:rPr>
                <w:smallCaps/>
                <w:kern w:val="0"/>
              </w:rPr>
              <w:lastRenderedPageBreak/>
              <w:t>DOCOMO</w:t>
            </w:r>
          </w:p>
        </w:tc>
        <w:tc>
          <w:tcPr>
            <w:tcW w:w="4384" w:type="pct"/>
          </w:tcPr>
          <w:p w14:paraId="44FE275D" w14:textId="77777777" w:rsidR="00E071D4" w:rsidRDefault="0092512F">
            <w:pPr>
              <w:rPr>
                <w:kern w:val="0"/>
              </w:rPr>
            </w:pPr>
            <w:r>
              <w:rPr>
                <w:rFonts w:hint="eastAsia"/>
              </w:rPr>
              <w:lastRenderedPageBreak/>
              <w:t>W</w:t>
            </w:r>
            <w:r>
              <w:t xml:space="preserve">e should study the RS overhead reduction/RS overhead for different cases of BM-Case 2 separately, </w:t>
            </w:r>
            <w:r>
              <w:lastRenderedPageBreak/>
              <w:t xml:space="preserve">i.e. </w:t>
            </w:r>
            <w:proofErr w:type="gramStart"/>
            <w:r>
              <w:t>same</w:t>
            </w:r>
            <w:proofErr w:type="gramEnd"/>
            <w:r>
              <w:t xml:space="preserv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lastRenderedPageBreak/>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6B779D3B" w:rsidR="00E071D4" w:rsidRDefault="0092512F">
      <w:pPr>
        <w:pStyle w:val="Heading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 xml:space="preserve">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ListParagraph"/>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ListParagraph"/>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ListParagraph"/>
        <w:numPr>
          <w:ilvl w:val="1"/>
          <w:numId w:val="66"/>
        </w:numPr>
        <w:spacing w:after="120"/>
        <w:contextualSpacing w:val="0"/>
        <w:rPr>
          <w:color w:val="0070C0"/>
        </w:rPr>
      </w:pPr>
      <w:r w:rsidRPr="00A85B1B">
        <w:rPr>
          <w:color w:val="0070C0"/>
        </w:rPr>
        <w:t>Number of beams pairs in Set B</w:t>
      </w:r>
    </w:p>
    <w:p w14:paraId="1DDDEDF6" w14:textId="5F3A9B78" w:rsidR="006B3900" w:rsidRPr="00A85B1B" w:rsidRDefault="006B3900" w:rsidP="00A85B1B">
      <w:pPr>
        <w:pStyle w:val="ListParagraph"/>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ListParagraph"/>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ListParagraph"/>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ListParagraph"/>
        <w:numPr>
          <w:ilvl w:val="0"/>
          <w:numId w:val="66"/>
        </w:numPr>
        <w:spacing w:after="120"/>
        <w:contextualSpacing w:val="0"/>
      </w:pPr>
      <w:r>
        <w:lastRenderedPageBreak/>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 xml:space="preserve">and/or L1-RSRPs of N beams(pairs)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ListParagraph"/>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 xml:space="preserve">report template for companies to report model </w:t>
            </w:r>
            <w:r>
              <w:rPr>
                <w:kern w:val="0"/>
                <w:u w:val="single"/>
              </w:rPr>
              <w:lastRenderedPageBreak/>
              <w:t>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lastRenderedPageBreak/>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So we suggest </w:t>
            </w:r>
            <w:proofErr w:type="gramStart"/>
            <w:r>
              <w:rPr>
                <w:rFonts w:hint="eastAsia"/>
                <w:kern w:val="0"/>
              </w:rPr>
              <w:t>to add</w:t>
            </w:r>
            <w:proofErr w:type="gramEnd"/>
            <w:r>
              <w:rPr>
                <w:rFonts w:hint="eastAsia"/>
                <w:kern w:val="0"/>
              </w:rPr>
              <w:t xml:space="preserve">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lastRenderedPageBreak/>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lastRenderedPageBreak/>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lastRenderedPageBreak/>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5344F2" w:rsidP="00E96470">
            <w:pPr>
              <w:rPr>
                <w:color w:val="4472C4" w:themeColor="accent5"/>
                <w:kern w:val="0"/>
              </w:rPr>
            </w:pPr>
            <w:r w:rsidRPr="005344F2">
              <w:rPr>
                <w:rFonts w:eastAsiaTheme="minorEastAsia"/>
                <w:noProof/>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pt;height:208pt;mso-width-percent:0;mso-height-percent:0;mso-width-percent:0;mso-height-percent:0" o:ole="">
                  <v:imagedata r:id="rId20" o:title=""/>
                </v:shape>
                <o:OLEObject Type="Embed" ProgID="Word.Document.12" ShapeID="_x0000_i1025" DrawAspect="Content" ObjectID="_1727511051"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rFonts w:eastAsiaTheme="minorEastAsia"/>
                <w:kern w:val="0"/>
                <w:lang w:eastAsia="zh-CN"/>
              </w:rPr>
            </w:pPr>
            <w:r w:rsidRPr="00A85B1B">
              <w:rPr>
                <w:rFonts w:eastAsiaTheme="minorEastAsia" w:hint="eastAsia"/>
                <w:kern w:val="0"/>
                <w:lang w:eastAsia="zh-CN"/>
              </w:rPr>
              <w:t xml:space="preserve">Fine with </w:t>
            </w:r>
            <w:r w:rsidRPr="00A85B1B">
              <w:rPr>
                <w:kern w:val="0"/>
              </w:rPr>
              <w:t>proposal 5-1d</w:t>
            </w:r>
            <w:r w:rsidRPr="00A85B1B">
              <w:rPr>
                <w:rFonts w:eastAsiaTheme="minorEastAsia" w:hint="eastAsia"/>
                <w:kern w:val="0"/>
                <w:lang w:eastAsia="zh-CN"/>
              </w:rPr>
              <w:t xml:space="preserve">. </w:t>
            </w:r>
          </w:p>
          <w:p w14:paraId="5AABA592" w14:textId="77777777" w:rsidR="00C61555" w:rsidRPr="00A85B1B" w:rsidRDefault="00C61555" w:rsidP="00E96470">
            <w:pPr>
              <w:rPr>
                <w:rFonts w:eastAsiaTheme="minorEastAsia"/>
                <w:kern w:val="0"/>
                <w:lang w:eastAsia="zh-CN"/>
              </w:rPr>
            </w:pPr>
            <w:r w:rsidRPr="00A85B1B">
              <w:rPr>
                <w:rFonts w:eastAsiaTheme="minorEastAsia" w:hint="eastAsia"/>
                <w:kern w:val="0"/>
                <w:lang w:eastAsia="zh-CN"/>
              </w:rPr>
              <w:t xml:space="preserve">Just one minor comment: In the title, the </w:t>
            </w:r>
            <w:r w:rsidRPr="00A85B1B">
              <w:rPr>
                <w:rFonts w:eastAsiaTheme="minorEastAsia"/>
                <w:kern w:val="0"/>
                <w:lang w:eastAsia="zh-CN"/>
              </w:rPr>
              <w:t>“</w:t>
            </w:r>
            <w:r w:rsidRPr="00A85B1B">
              <w:rPr>
                <w:rFonts w:eastAsiaTheme="minorEastAsia" w:hint="eastAsia"/>
                <w:kern w:val="0"/>
                <w:lang w:eastAsia="zh-CN"/>
              </w:rPr>
              <w:t>beam</w:t>
            </w:r>
            <w:r w:rsidRPr="00A85B1B">
              <w:rPr>
                <w:rFonts w:eastAsiaTheme="minorEastAsia"/>
                <w:kern w:val="0"/>
                <w:lang w:eastAsia="zh-CN"/>
              </w:rPr>
              <w:t>”</w:t>
            </w:r>
            <w:r w:rsidRPr="00A85B1B">
              <w:rPr>
                <w:rFonts w:eastAsiaTheme="minorEastAsia" w:hint="eastAsia"/>
                <w:kern w:val="0"/>
                <w:lang w:eastAsia="zh-CN"/>
              </w:rPr>
              <w:t xml:space="preserve"> is missing between </w:t>
            </w:r>
            <w:r w:rsidRPr="00A85B1B">
              <w:rPr>
                <w:rFonts w:eastAsiaTheme="minorEastAsia"/>
                <w:kern w:val="0"/>
                <w:lang w:eastAsia="zh-CN"/>
              </w:rPr>
              <w:t>“</w:t>
            </w:r>
            <w:r w:rsidRPr="00A85B1B">
              <w:rPr>
                <w:rFonts w:eastAsiaTheme="minorEastAsia" w:hint="eastAsia"/>
                <w:kern w:val="0"/>
                <w:lang w:eastAsia="zh-CN"/>
              </w:rPr>
              <w:t>Rx</w:t>
            </w:r>
            <w:r w:rsidRPr="00A85B1B">
              <w:rPr>
                <w:rFonts w:eastAsiaTheme="minorEastAsia"/>
                <w:kern w:val="0"/>
                <w:lang w:eastAsia="zh-CN"/>
              </w:rPr>
              <w:t>”</w:t>
            </w:r>
            <w:r w:rsidRPr="00A85B1B">
              <w:rPr>
                <w:rFonts w:eastAsiaTheme="minorEastAsia" w:hint="eastAsia"/>
                <w:kern w:val="0"/>
                <w:lang w:eastAsia="zh-CN"/>
              </w:rPr>
              <w:t xml:space="preserve"> and </w:t>
            </w:r>
            <w:r w:rsidRPr="00A85B1B">
              <w:rPr>
                <w:rFonts w:eastAsiaTheme="minorEastAsia"/>
                <w:kern w:val="0"/>
                <w:lang w:eastAsia="zh-CN"/>
              </w:rPr>
              <w:t>“</w:t>
            </w:r>
            <w:r w:rsidRPr="00A85B1B">
              <w:rPr>
                <w:rFonts w:eastAsiaTheme="minorEastAsia" w:hint="eastAsia"/>
                <w:kern w:val="0"/>
                <w:lang w:eastAsia="zh-CN"/>
              </w:rPr>
              <w:t>prediction</w:t>
            </w:r>
            <w:r w:rsidRPr="00A85B1B">
              <w:rPr>
                <w:rFonts w:eastAsiaTheme="minorEastAsia"/>
                <w:kern w:val="0"/>
                <w:lang w:eastAsia="zh-CN"/>
              </w:rPr>
              <w:t>”</w:t>
            </w:r>
            <w:r w:rsidRPr="00A85B1B">
              <w:rPr>
                <w:rFonts w:eastAsiaTheme="minorEastAsia" w:hint="eastAsia"/>
                <w:kern w:val="0"/>
                <w:lang w:eastAsia="zh-CN"/>
              </w:rPr>
              <w:t xml:space="preserve">, i.e., </w:t>
            </w:r>
            <w:r w:rsidRPr="00A85B1B">
              <w:rPr>
                <w:rFonts w:eastAsiaTheme="minorEastAsia"/>
                <w:kern w:val="0"/>
                <w:lang w:eastAsia="zh-CN"/>
              </w:rPr>
              <w:t xml:space="preserve">“[DL Tx beam prediction or Tx-Rx beam pair prediction or Rx </w:t>
            </w:r>
            <w:r w:rsidRPr="00A85B1B">
              <w:rPr>
                <w:rFonts w:eastAsiaTheme="minorEastAsia" w:hint="eastAsia"/>
                <w:color w:val="FF0000"/>
                <w:kern w:val="0"/>
                <w:lang w:eastAsia="zh-CN"/>
              </w:rPr>
              <w:t xml:space="preserve">beam </w:t>
            </w:r>
            <w:r w:rsidRPr="00A85B1B">
              <w:rPr>
                <w:rFonts w:eastAsiaTheme="minorEastAsia"/>
                <w:kern w:val="0"/>
                <w:lang w:eastAsia="zh-CN"/>
              </w:rPr>
              <w:t>prediction]”</w:t>
            </w:r>
            <w:r w:rsidRPr="00A85B1B">
              <w:rPr>
                <w:rFonts w:eastAsiaTheme="minorEastAsia" w:hint="eastAsia"/>
                <w:kern w:val="0"/>
                <w:lang w:eastAsia="zh-CN"/>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6EF22C5A" w14:textId="77777777" w:rsidR="00AC39C9" w:rsidRDefault="00AC39C9" w:rsidP="00AC39C9">
            <w:pPr>
              <w:rPr>
                <w:rFonts w:eastAsiaTheme="minorEastAsia"/>
                <w:kern w:val="0"/>
                <w:lang w:eastAsia="zh-CN"/>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lastRenderedPageBreak/>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lastRenderedPageBreak/>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proofErr w:type="spellStart"/>
            <w:r w:rsidRPr="005D7043">
              <w:rPr>
                <w:strike/>
                <w:color w:val="FF0000"/>
                <w:kern w:val="0"/>
              </w:rPr>
              <w:t>size,</w:t>
            </w:r>
            <w:r w:rsidRPr="005D7043">
              <w:rPr>
                <w:color w:val="FF0000"/>
                <w:kern w:val="0"/>
              </w:rPr>
              <w:t>collection</w:t>
            </w:r>
            <w:proofErr w:type="spellEnd"/>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ListParagraph"/>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ListParagraph"/>
              <w:numPr>
                <w:ilvl w:val="0"/>
                <w:numId w:val="96"/>
              </w:numPr>
            </w:pPr>
            <w:r>
              <w:t>Adding “baseline scheme” for comparison.</w:t>
            </w:r>
          </w:p>
          <w:p w14:paraId="768C2FB1" w14:textId="77777777" w:rsidR="006B3900" w:rsidRPr="006B3900" w:rsidRDefault="006B3900" w:rsidP="006B3900">
            <w:pPr>
              <w:pStyle w:val="ListParagraph"/>
              <w:numPr>
                <w:ilvl w:val="1"/>
                <w:numId w:val="96"/>
              </w:numPr>
            </w:pPr>
            <w:r>
              <w:rPr>
                <w:rFonts w:eastAsiaTheme="minorEastAsia"/>
                <w:lang w:eastAsia="zh-CN"/>
              </w:rP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25E10" w14:paraId="080FA3AF" w14:textId="77777777" w:rsidTr="00D41DBC">
        <w:trPr>
          <w:trHeight w:val="333"/>
        </w:trPr>
        <w:tc>
          <w:tcPr>
            <w:tcW w:w="645" w:type="pct"/>
          </w:tcPr>
          <w:p w14:paraId="3BB302B1" w14:textId="0CD59F45" w:rsidR="00625E10" w:rsidRDefault="00625E10" w:rsidP="00625E10">
            <w:pPr>
              <w:rPr>
                <w:smallCaps/>
                <w:kern w:val="0"/>
              </w:rPr>
            </w:pPr>
            <w:r>
              <w:rPr>
                <w:rFonts w:eastAsiaTheme="minorEastAsia" w:hint="eastAsia"/>
                <w:smallCaps/>
                <w:color w:val="4472C4" w:themeColor="accent5"/>
                <w:kern w:val="0"/>
                <w:lang w:eastAsia="zh-CN"/>
              </w:rPr>
              <w:t>N</w:t>
            </w:r>
            <w:r>
              <w:rPr>
                <w:rFonts w:eastAsiaTheme="minorEastAsia"/>
                <w:smallCaps/>
                <w:color w:val="4472C4" w:themeColor="accent5"/>
                <w:kern w:val="0"/>
                <w:lang w:eastAsia="zh-CN"/>
              </w:rPr>
              <w:t>TT DOCOMO</w:t>
            </w:r>
          </w:p>
        </w:tc>
        <w:tc>
          <w:tcPr>
            <w:tcW w:w="462" w:type="pct"/>
          </w:tcPr>
          <w:p w14:paraId="5D7B102C" w14:textId="7A4BD542" w:rsidR="00625E10" w:rsidRDefault="00625E10" w:rsidP="00625E10">
            <w:pPr>
              <w:rPr>
                <w:kern w:val="0"/>
              </w:rPr>
            </w:pPr>
            <w:r>
              <w:rPr>
                <w:rFonts w:eastAsiaTheme="minorEastAsia" w:hint="eastAsia"/>
                <w:color w:val="4472C4" w:themeColor="accent5"/>
                <w:kern w:val="0"/>
                <w:lang w:eastAsia="zh-CN"/>
              </w:rPr>
              <w:t>Y</w:t>
            </w:r>
          </w:p>
        </w:tc>
        <w:tc>
          <w:tcPr>
            <w:tcW w:w="3893" w:type="pct"/>
          </w:tcPr>
          <w:p w14:paraId="7C9C4226" w14:textId="77777777" w:rsidR="00625E10" w:rsidRDefault="00625E10" w:rsidP="00625E10">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p w14:paraId="552859F3" w14:textId="51D2DA2E" w:rsidR="00625E10" w:rsidRPr="00625E10" w:rsidRDefault="00625E10" w:rsidP="00625E10">
            <w:pPr>
              <w:rPr>
                <w:rFonts w:eastAsiaTheme="minorEastAsia"/>
                <w:lang w:eastAsia="zh-CN"/>
              </w:rPr>
            </w:pPr>
            <w:r>
              <w:rPr>
                <w:rFonts w:eastAsiaTheme="minorEastAsia" w:hint="eastAsia"/>
                <w:lang w:eastAsia="zh-CN"/>
              </w:rPr>
              <w:t>O</w:t>
            </w:r>
            <w:r>
              <w:rPr>
                <w:rFonts w:eastAsiaTheme="minorEastAsia"/>
                <w:lang w:eastAsia="zh-CN"/>
              </w:rPr>
              <w:t>ne typo in the ‘System performance’: UTP -&gt; UPT.</w:t>
            </w:r>
          </w:p>
        </w:tc>
      </w:tr>
      <w:tr w:rsidR="000D01AF" w14:paraId="7EE00400" w14:textId="77777777" w:rsidTr="00D41DBC">
        <w:trPr>
          <w:trHeight w:val="333"/>
        </w:trPr>
        <w:tc>
          <w:tcPr>
            <w:tcW w:w="645" w:type="pct"/>
          </w:tcPr>
          <w:p w14:paraId="35DA502D" w14:textId="45693D14" w:rsidR="000D01AF" w:rsidRPr="000D01AF" w:rsidRDefault="000D01AF" w:rsidP="00625E10">
            <w:pPr>
              <w:rPr>
                <w:rFonts w:hint="eastAsia"/>
                <w:smallCaps/>
                <w:kern w:val="0"/>
              </w:rPr>
            </w:pPr>
            <w:r w:rsidRPr="000D01AF">
              <w:rPr>
                <w:smallCaps/>
                <w:kern w:val="0"/>
              </w:rPr>
              <w:t>Nokia</w:t>
            </w:r>
          </w:p>
        </w:tc>
        <w:tc>
          <w:tcPr>
            <w:tcW w:w="462" w:type="pct"/>
          </w:tcPr>
          <w:p w14:paraId="1342AE43" w14:textId="77777777" w:rsidR="000D01AF" w:rsidRPr="000D01AF" w:rsidRDefault="000D01AF" w:rsidP="00625E10">
            <w:pPr>
              <w:rPr>
                <w:rFonts w:hint="eastAsia"/>
                <w:kern w:val="0"/>
              </w:rPr>
            </w:pPr>
          </w:p>
        </w:tc>
        <w:tc>
          <w:tcPr>
            <w:tcW w:w="3893" w:type="pct"/>
          </w:tcPr>
          <w:p w14:paraId="0023F7A4" w14:textId="21936B97" w:rsidR="000D01AF" w:rsidRPr="000D01AF" w:rsidRDefault="000D01AF" w:rsidP="00625E10">
            <w:pPr>
              <w:rPr>
                <w:rFonts w:hint="eastAsia"/>
                <w:kern w:val="0"/>
              </w:rPr>
            </w:pPr>
            <w:r w:rsidRPr="000D01AF">
              <w:rPr>
                <w:kern w:val="0"/>
              </w:rPr>
              <w:t xml:space="preserve">OK </w:t>
            </w:r>
          </w:p>
        </w:tc>
      </w:tr>
    </w:tbl>
    <w:p w14:paraId="593203B0" w14:textId="34C244AB"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ListParagraph"/>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Set </w:t>
      </w:r>
      <w:r>
        <w:rPr>
          <w:sz w:val="18"/>
          <w:szCs w:val="18"/>
          <w:lang w:eastAsia="en-US"/>
        </w:rPr>
        <w:lastRenderedPageBreak/>
        <w:t>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 xml:space="preserve">Observation # 14: For spatial domain prediction, AI can help gNB to predict the best narrow beam set that including </w:t>
      </w:r>
      <w:r>
        <w:rPr>
          <w:sz w:val="18"/>
          <w:szCs w:val="18"/>
        </w:rPr>
        <w:lastRenderedPageBreak/>
        <w:t>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1A94E37D" w:rsidR="002F4779" w:rsidRDefault="002F4779" w:rsidP="002F4779">
      <w:pPr>
        <w:pStyle w:val="Heading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lastRenderedPageBreak/>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lastRenderedPageBreak/>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lastRenderedPageBreak/>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 xml:space="preserve">For BM-Case2, additional algorithm (i.e. Bayesian Optimization) should be applied for </w:t>
      </w:r>
      <w:r w:rsidRPr="00244D2F">
        <w:rPr>
          <w:sz w:val="18"/>
          <w:szCs w:val="18"/>
          <w:lang w:eastAsia="en-US"/>
        </w:rPr>
        <w:lastRenderedPageBreak/>
        <w:t>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Heading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lastRenderedPageBreak/>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lastRenderedPageBreak/>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Heading1"/>
      </w:pPr>
      <w:r>
        <w:lastRenderedPageBreak/>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7964ED">
      <w:pPr>
        <w:rPr>
          <w:b/>
          <w:bCs/>
        </w:rPr>
      </w:pPr>
      <w:hyperlink r:id="rId22"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7964ED">
      <w:hyperlink r:id="rId23"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7964ED">
      <w:hyperlink r:id="rId24"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ListParagraph"/>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5344F2">
      <w:pPr>
        <w:jc w:val="center"/>
      </w:pPr>
      <w:r>
        <w:rPr>
          <w:noProof/>
        </w:rPr>
        <w:object w:dxaOrig="2772" w:dyaOrig="2287" w14:anchorId="5E14343F">
          <v:shape id="_x0000_i1026" type="#_x0000_t75" alt="" style="width:139pt;height:116.5pt;mso-width-percent:0;mso-height-percent:0;mso-width-percent:0;mso-height-percent:0" o:ole="">
            <v:imagedata r:id="rId25" o:title=""/>
          </v:shape>
          <o:OLEObject Type="Embed" ProgID="Visio.Drawing.15" ShapeID="_x0000_i1026" DrawAspect="Content" ObjectID="_1727511052" r:id="rId26"/>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lastRenderedPageBreak/>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06B3" w14:textId="77777777" w:rsidR="007964ED" w:rsidRDefault="007964ED" w:rsidP="00EF4E16">
      <w:r>
        <w:separator/>
      </w:r>
    </w:p>
  </w:endnote>
  <w:endnote w:type="continuationSeparator" w:id="0">
    <w:p w14:paraId="68EE8139" w14:textId="77777777" w:rsidR="007964ED" w:rsidRDefault="007964ED"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0DBF" w14:textId="77777777" w:rsidR="007964ED" w:rsidRDefault="007964ED" w:rsidP="00EF4E16">
      <w:r>
        <w:separator/>
      </w:r>
    </w:p>
  </w:footnote>
  <w:footnote w:type="continuationSeparator" w:id="0">
    <w:p w14:paraId="1E6A812E" w14:textId="77777777" w:rsidR="007964ED" w:rsidRDefault="007964ED"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13528D5A"/>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0EB01F59"/>
    <w:multiLevelType w:val="multilevel"/>
    <w:tmpl w:val="BBEE4158"/>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BAB8ABA4"/>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hybridMultilevel"/>
    <w:tmpl w:val="B4CCAB0E"/>
    <w:lvl w:ilvl="0" w:tplc="234438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7"/>
  </w:num>
  <w:num w:numId="25">
    <w:abstractNumId w:val="26"/>
  </w:num>
  <w:num w:numId="26">
    <w:abstractNumId w:val="95"/>
  </w:num>
  <w:num w:numId="27">
    <w:abstractNumId w:val="46"/>
  </w:num>
  <w:num w:numId="28">
    <w:abstractNumId w:val="85"/>
  </w:num>
  <w:num w:numId="29">
    <w:abstractNumId w:val="9"/>
  </w:num>
  <w:num w:numId="30">
    <w:abstractNumId w:val="30"/>
  </w:num>
  <w:num w:numId="31">
    <w:abstractNumId w:val="84"/>
  </w:num>
  <w:num w:numId="32">
    <w:abstractNumId w:val="10"/>
  </w:num>
  <w:num w:numId="33">
    <w:abstractNumId w:val="76"/>
  </w:num>
  <w:num w:numId="34">
    <w:abstractNumId w:val="92"/>
  </w:num>
  <w:num w:numId="35">
    <w:abstractNumId w:val="98"/>
  </w:num>
  <w:num w:numId="36">
    <w:abstractNumId w:val="106"/>
  </w:num>
  <w:num w:numId="37">
    <w:abstractNumId w:val="51"/>
  </w:num>
  <w:num w:numId="38">
    <w:abstractNumId w:val="73"/>
  </w:num>
  <w:num w:numId="39">
    <w:abstractNumId w:val="101"/>
  </w:num>
  <w:num w:numId="40">
    <w:abstractNumId w:val="52"/>
  </w:num>
  <w:num w:numId="41">
    <w:abstractNumId w:val="68"/>
  </w:num>
  <w:num w:numId="42">
    <w:abstractNumId w:val="99"/>
  </w:num>
  <w:num w:numId="43">
    <w:abstractNumId w:val="65"/>
  </w:num>
  <w:num w:numId="44">
    <w:abstractNumId w:val="38"/>
  </w:num>
  <w:num w:numId="45">
    <w:abstractNumId w:val="42"/>
  </w:num>
  <w:num w:numId="46">
    <w:abstractNumId w:val="50"/>
  </w:num>
  <w:num w:numId="47">
    <w:abstractNumId w:val="4"/>
  </w:num>
  <w:num w:numId="48">
    <w:abstractNumId w:val="83"/>
  </w:num>
  <w:num w:numId="49">
    <w:abstractNumId w:val="105"/>
  </w:num>
  <w:num w:numId="50">
    <w:abstractNumId w:val="86"/>
  </w:num>
  <w:num w:numId="51">
    <w:abstractNumId w:val="12"/>
  </w:num>
  <w:num w:numId="52">
    <w:abstractNumId w:val="6"/>
  </w:num>
  <w:num w:numId="53">
    <w:abstractNumId w:val="49"/>
  </w:num>
  <w:num w:numId="54">
    <w:abstractNumId w:val="40"/>
  </w:num>
  <w:num w:numId="55">
    <w:abstractNumId w:val="62"/>
  </w:num>
  <w:num w:numId="56">
    <w:abstractNumId w:val="103"/>
  </w:num>
  <w:num w:numId="57">
    <w:abstractNumId w:val="102"/>
  </w:num>
  <w:num w:numId="58">
    <w:abstractNumId w:val="61"/>
  </w:num>
  <w:num w:numId="59">
    <w:abstractNumId w:val="60"/>
  </w:num>
  <w:num w:numId="60">
    <w:abstractNumId w:val="14"/>
  </w:num>
  <w:num w:numId="61">
    <w:abstractNumId w:val="88"/>
  </w:num>
  <w:num w:numId="62">
    <w:abstractNumId w:val="7"/>
  </w:num>
  <w:num w:numId="63">
    <w:abstractNumId w:val="17"/>
  </w:num>
  <w:num w:numId="64">
    <w:abstractNumId w:val="25"/>
  </w:num>
  <w:num w:numId="65">
    <w:abstractNumId w:val="74"/>
  </w:num>
  <w:num w:numId="66">
    <w:abstractNumId w:val="58"/>
  </w:num>
  <w:num w:numId="67">
    <w:abstractNumId w:val="51"/>
  </w:num>
  <w:num w:numId="68">
    <w:abstractNumId w:val="52"/>
  </w:num>
  <w:num w:numId="69">
    <w:abstractNumId w:val="13"/>
  </w:num>
  <w:num w:numId="70">
    <w:abstractNumId w:val="19"/>
  </w:num>
  <w:num w:numId="71">
    <w:abstractNumId w:val="72"/>
  </w:num>
  <w:num w:numId="72">
    <w:abstractNumId w:val="39"/>
  </w:num>
  <w:num w:numId="73">
    <w:abstractNumId w:val="29"/>
  </w:num>
  <w:num w:numId="74">
    <w:abstractNumId w:val="104"/>
  </w:num>
  <w:num w:numId="75">
    <w:abstractNumId w:val="79"/>
  </w:num>
  <w:num w:numId="76">
    <w:abstractNumId w:val="63"/>
  </w:num>
  <w:num w:numId="77">
    <w:abstractNumId w:val="94"/>
  </w:num>
  <w:num w:numId="78">
    <w:abstractNumId w:val="96"/>
  </w:num>
  <w:num w:numId="79">
    <w:abstractNumId w:val="34"/>
  </w:num>
  <w:num w:numId="80">
    <w:abstractNumId w:val="11"/>
  </w:num>
  <w:num w:numId="81">
    <w:abstractNumId w:val="47"/>
  </w:num>
  <w:num w:numId="82">
    <w:abstractNumId w:val="66"/>
  </w:num>
  <w:num w:numId="83">
    <w:abstractNumId w:val="36"/>
  </w:num>
  <w:num w:numId="84">
    <w:abstractNumId w:val="45"/>
  </w:num>
  <w:num w:numId="85">
    <w:abstractNumId w:val="22"/>
  </w:num>
  <w:num w:numId="86">
    <w:abstractNumId w:val="37"/>
  </w:num>
  <w:num w:numId="87">
    <w:abstractNumId w:val="23"/>
  </w:num>
  <w:num w:numId="88">
    <w:abstractNumId w:val="24"/>
  </w:num>
  <w:num w:numId="89">
    <w:abstractNumId w:val="100"/>
  </w:num>
  <w:num w:numId="90">
    <w:abstractNumId w:val="18"/>
  </w:num>
  <w:num w:numId="91">
    <w:abstractNumId w:val="80"/>
  </w:num>
  <w:num w:numId="92">
    <w:abstractNumId w:val="77"/>
  </w:num>
  <w:num w:numId="93">
    <w:abstractNumId w:val="35"/>
  </w:num>
  <w:num w:numId="94">
    <w:abstractNumId w:val="28"/>
  </w:num>
  <w:num w:numId="95">
    <w:abstractNumId w:val="3"/>
  </w:num>
  <w:num w:numId="96">
    <w:abstractNumId w:val="108"/>
  </w:num>
  <w:num w:numId="97">
    <w:abstractNumId w:val="1"/>
  </w:num>
  <w:num w:numId="98">
    <w:abstractNumId w:val="59"/>
  </w:num>
  <w:num w:numId="99">
    <w:abstractNumId w:val="87"/>
  </w:num>
  <w:num w:numId="100">
    <w:abstractNumId w:val="48"/>
  </w:num>
  <w:num w:numId="101">
    <w:abstractNumId w:val="69"/>
  </w:num>
  <w:num w:numId="102">
    <w:abstractNumId w:val="20"/>
  </w:num>
  <w:num w:numId="103">
    <w:abstractNumId w:val="53"/>
  </w:num>
  <w:num w:numId="104">
    <w:abstractNumId w:val="97"/>
  </w:num>
  <w:num w:numId="105">
    <w:abstractNumId w:val="32"/>
  </w:num>
  <w:num w:numId="106">
    <w:abstractNumId w:val="31"/>
  </w:num>
  <w:num w:numId="107">
    <w:abstractNumId w:val="15"/>
  </w:num>
  <w:num w:numId="108">
    <w:abstractNumId w:val="93"/>
  </w:num>
  <w:num w:numId="109">
    <w:abstractNumId w:val="71"/>
  </w:num>
  <w:num w:numId="110">
    <w:abstractNumId w:val="5"/>
  </w:num>
  <w:num w:numId="111">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E6"/>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140</Pages>
  <Words>57322</Words>
  <Characters>286040</Characters>
  <Application>Microsoft Office Word</Application>
  <DocSecurity>0</DocSecurity>
  <Lines>7334</Lines>
  <Paragraphs>5124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Keeth jayasinghe</cp:lastModifiedBy>
  <cp:revision>6</cp:revision>
  <dcterms:created xsi:type="dcterms:W3CDTF">2022-10-17T07:02:00Z</dcterms:created>
  <dcterms:modified xsi:type="dcterms:W3CDTF">2022-10-17T08:24:00Z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