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 xml:space="preserve">Huwei,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4A80A15D" w:rsidR="00601BC5" w:rsidRPr="009F2C34" w:rsidRDefault="009F2C34" w:rsidP="00601BC5">
            <w:pPr>
              <w:rPr>
                <w:rFonts w:eastAsiaTheme="minorEastAsia"/>
                <w:color w:val="A6A6A6" w:themeColor="background1" w:themeShade="A6"/>
                <w:kern w:val="0"/>
                <w:lang w:eastAsia="zh-CN"/>
              </w:rPr>
            </w:pPr>
            <w:r>
              <w:rPr>
                <w:rFonts w:eastAsiaTheme="minorEastAsia"/>
                <w:color w:val="000000" w:themeColor="text1"/>
                <w:kern w:val="0"/>
                <w:lang w:eastAsia="zh-CN"/>
              </w:rPr>
              <w:t>CMCC</w:t>
            </w:r>
          </w:p>
        </w:tc>
        <w:tc>
          <w:tcPr>
            <w:tcW w:w="1545" w:type="pct"/>
            <w:tcBorders>
              <w:top w:val="single" w:sz="4" w:space="0" w:color="auto"/>
              <w:left w:val="single" w:sz="4" w:space="0" w:color="auto"/>
              <w:bottom w:val="single" w:sz="4" w:space="0" w:color="auto"/>
              <w:right w:val="single" w:sz="4" w:space="0" w:color="auto"/>
            </w:tcBorders>
          </w:tcPr>
          <w:p w14:paraId="0D2081FD" w14:textId="2E86C4B2" w:rsidR="00601BC5" w:rsidRPr="009F2C34" w:rsidRDefault="009F2C34" w:rsidP="00601BC5">
            <w:pPr>
              <w:rPr>
                <w:rFonts w:eastAsiaTheme="minorEastAsia"/>
                <w:color w:val="A6A6A6" w:themeColor="background1" w:themeShade="A6"/>
                <w:kern w:val="0"/>
                <w:lang w:eastAsia="zh-CN"/>
              </w:rPr>
            </w:pPr>
            <w:r w:rsidRPr="009F2C34">
              <w:rPr>
                <w:rFonts w:eastAsiaTheme="minorEastAsia" w:hint="eastAsia"/>
                <w:kern w:val="0"/>
                <w:lang w:eastAsia="zh-CN"/>
              </w:rPr>
              <w:t>J</w:t>
            </w:r>
            <w:r w:rsidRPr="009F2C34">
              <w:rPr>
                <w:rFonts w:eastAsiaTheme="minorEastAsia"/>
                <w:kern w:val="0"/>
                <w:lang w:eastAsia="zh-CN"/>
              </w:rPr>
              <w:t>un Zuo</w:t>
            </w:r>
          </w:p>
        </w:tc>
        <w:tc>
          <w:tcPr>
            <w:tcW w:w="2280" w:type="pct"/>
            <w:tcBorders>
              <w:top w:val="single" w:sz="4" w:space="0" w:color="auto"/>
              <w:left w:val="single" w:sz="4" w:space="0" w:color="auto"/>
              <w:bottom w:val="single" w:sz="4" w:space="0" w:color="auto"/>
              <w:right w:val="single" w:sz="4" w:space="0" w:color="auto"/>
            </w:tcBorders>
          </w:tcPr>
          <w:p w14:paraId="3327761E" w14:textId="1665F43D" w:rsidR="00601BC5" w:rsidRPr="009F2C34" w:rsidRDefault="009F2C34" w:rsidP="00601BC5">
            <w:pPr>
              <w:rPr>
                <w:rFonts w:eastAsiaTheme="minorEastAsia"/>
                <w:color w:val="A6A6A6" w:themeColor="background1" w:themeShade="A6"/>
                <w:kern w:val="0"/>
                <w:lang w:eastAsia="zh-CN"/>
              </w:rPr>
            </w:pPr>
            <w:r w:rsidRPr="009F2C34">
              <w:rPr>
                <w:rFonts w:eastAsiaTheme="minorEastAsia" w:hint="eastAsia"/>
                <w:kern w:val="0"/>
                <w:lang w:eastAsia="zh-CN"/>
              </w:rPr>
              <w:t>z</w:t>
            </w:r>
            <w:r w:rsidRPr="009F2C34">
              <w:rPr>
                <w:rFonts w:eastAsiaTheme="minorEastAsia"/>
                <w:kern w:val="0"/>
                <w:lang w:eastAsia="zh-CN"/>
              </w:rPr>
              <w:t>uojun@chinamobile.com</w:t>
            </w: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宋体"/>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162322">
            <w:pPr>
              <w:rPr>
                <w:smallCaps/>
                <w:kern w:val="0"/>
              </w:rPr>
            </w:pPr>
            <w:r>
              <w:rPr>
                <w:smallCaps/>
                <w:kern w:val="0"/>
              </w:rPr>
              <w:t>LG</w:t>
            </w:r>
          </w:p>
        </w:tc>
        <w:tc>
          <w:tcPr>
            <w:tcW w:w="641" w:type="pct"/>
          </w:tcPr>
          <w:p w14:paraId="5186A27B" w14:textId="77777777" w:rsidR="00A34D45" w:rsidRDefault="00A34D45" w:rsidP="00162322">
            <w:pPr>
              <w:rPr>
                <w:kern w:val="0"/>
              </w:rPr>
            </w:pPr>
            <w:r>
              <w:rPr>
                <w:kern w:val="0"/>
              </w:rPr>
              <w:t>No</w:t>
            </w:r>
          </w:p>
        </w:tc>
        <w:tc>
          <w:tcPr>
            <w:tcW w:w="3616" w:type="pct"/>
          </w:tcPr>
          <w:p w14:paraId="35142572" w14:textId="77777777" w:rsidR="00A34D45" w:rsidRPr="00F53B1F" w:rsidRDefault="00A34D45" w:rsidP="00162322">
            <w:pPr>
              <w:rPr>
                <w:kern w:val="0"/>
              </w:rPr>
            </w:pPr>
            <w:r>
              <w:rPr>
                <w:kern w:val="0"/>
              </w:rPr>
              <w:t>We agree with vivo.</w:t>
            </w:r>
          </w:p>
        </w:tc>
      </w:tr>
      <w:tr w:rsidR="009F2C34" w:rsidRPr="00F53B1F" w14:paraId="48137B1A" w14:textId="77777777" w:rsidTr="00A34D45">
        <w:trPr>
          <w:trHeight w:val="333"/>
        </w:trPr>
        <w:tc>
          <w:tcPr>
            <w:tcW w:w="743" w:type="pct"/>
          </w:tcPr>
          <w:p w14:paraId="44D268B2" w14:textId="6BCC910D" w:rsidR="009F2C34" w:rsidRPr="009F2C34" w:rsidRDefault="009F2C34" w:rsidP="009F2C34">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57075565" w14:textId="7F1E70E5" w:rsidR="009F2C34" w:rsidRPr="009F2C34" w:rsidRDefault="009F2C34" w:rsidP="009F2C34">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F63F0A3" w14:textId="42E4FB60" w:rsidR="009F2C34" w:rsidRDefault="009F2C34" w:rsidP="009F2C34">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065B43" w:rsidRPr="00F53B1F" w14:paraId="52C8C654" w14:textId="77777777" w:rsidTr="00A34D45">
        <w:trPr>
          <w:trHeight w:val="333"/>
        </w:trPr>
        <w:tc>
          <w:tcPr>
            <w:tcW w:w="743" w:type="pct"/>
          </w:tcPr>
          <w:p w14:paraId="0CA4A966" w14:textId="230C001D" w:rsidR="00065B43" w:rsidRDefault="00065B43" w:rsidP="00065B43">
            <w:pPr>
              <w:rPr>
                <w:rFonts w:hint="eastAsia"/>
                <w:smallCaps/>
                <w:kern w:val="0"/>
              </w:rPr>
            </w:pPr>
            <w:r>
              <w:rPr>
                <w:rFonts w:asciiTheme="minorEastAsia" w:eastAsiaTheme="minorEastAsia" w:hAnsiTheme="minorEastAsia" w:hint="eastAsia"/>
                <w:smallCaps/>
                <w:kern w:val="0"/>
                <w:lang w:eastAsia="zh-CN"/>
              </w:rPr>
              <w:t>Fujitsu</w:t>
            </w:r>
          </w:p>
        </w:tc>
        <w:tc>
          <w:tcPr>
            <w:tcW w:w="641" w:type="pct"/>
          </w:tcPr>
          <w:p w14:paraId="240361C2" w14:textId="1E6D2CD5" w:rsidR="00065B43" w:rsidRDefault="00065B43" w:rsidP="00065B43">
            <w:pPr>
              <w:rPr>
                <w:rFonts w:hint="eastAsia"/>
                <w:kern w:val="0"/>
              </w:rPr>
            </w:pPr>
            <w:r>
              <w:rPr>
                <w:rFonts w:asciiTheme="minorEastAsia" w:eastAsiaTheme="minorEastAsia" w:hAnsiTheme="minorEastAsia" w:hint="eastAsia"/>
                <w:kern w:val="0"/>
                <w:lang w:eastAsia="zh-CN"/>
              </w:rPr>
              <w:t>N</w:t>
            </w:r>
          </w:p>
        </w:tc>
        <w:tc>
          <w:tcPr>
            <w:tcW w:w="3616" w:type="pct"/>
          </w:tcPr>
          <w:p w14:paraId="30CA0FB1" w14:textId="5D5DA81E" w:rsidR="00065B43" w:rsidRDefault="00065B43" w:rsidP="00065B43">
            <w:pPr>
              <w:rPr>
                <w:rFonts w:hint="eastAsia"/>
                <w:kern w:val="0"/>
              </w:rPr>
            </w:pPr>
            <w:r>
              <w:rPr>
                <w:rFonts w:eastAsiaTheme="minorEastAsia"/>
                <w:kern w:val="0"/>
                <w:lang w:eastAsia="zh-CN"/>
              </w:rPr>
              <w:t xml:space="preserve">Prefer the original proposal </w:t>
            </w:r>
            <w:r>
              <w:rPr>
                <w:kern w:val="0"/>
              </w:rPr>
              <w:t>2-1-1a</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162322">
            <w:pPr>
              <w:rPr>
                <w:rFonts w:eastAsia="MS Mincho"/>
                <w:smallCaps/>
                <w:kern w:val="0"/>
                <w:lang w:eastAsia="ja-JP"/>
              </w:rPr>
            </w:pPr>
            <w:r>
              <w:rPr>
                <w:smallCaps/>
                <w:kern w:val="0"/>
              </w:rPr>
              <w:t>LG</w:t>
            </w:r>
          </w:p>
        </w:tc>
        <w:tc>
          <w:tcPr>
            <w:tcW w:w="456" w:type="pct"/>
          </w:tcPr>
          <w:p w14:paraId="3A30E6A6" w14:textId="77777777" w:rsidR="00A34D45" w:rsidRDefault="00A34D45" w:rsidP="00162322">
            <w:pPr>
              <w:rPr>
                <w:kern w:val="0"/>
              </w:rPr>
            </w:pPr>
          </w:p>
        </w:tc>
        <w:tc>
          <w:tcPr>
            <w:tcW w:w="601" w:type="pct"/>
          </w:tcPr>
          <w:p w14:paraId="010D350B" w14:textId="77777777" w:rsidR="00A34D45" w:rsidRPr="00655E80" w:rsidRDefault="00A34D45" w:rsidP="00162322">
            <w:pPr>
              <w:rPr>
                <w:kern w:val="0"/>
              </w:rPr>
            </w:pPr>
          </w:p>
        </w:tc>
        <w:tc>
          <w:tcPr>
            <w:tcW w:w="3200" w:type="pct"/>
          </w:tcPr>
          <w:p w14:paraId="72B88617" w14:textId="77777777" w:rsidR="00A34D45" w:rsidRPr="00CC1924" w:rsidRDefault="00A34D45" w:rsidP="00162322">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9F2C34" w:rsidRPr="00CC1924" w14:paraId="055E8A3A" w14:textId="77777777" w:rsidTr="00A34D45">
        <w:trPr>
          <w:trHeight w:val="333"/>
        </w:trPr>
        <w:tc>
          <w:tcPr>
            <w:tcW w:w="743" w:type="pct"/>
          </w:tcPr>
          <w:p w14:paraId="21877997" w14:textId="248DDB28" w:rsidR="009F2C34" w:rsidRPr="009F2C34" w:rsidRDefault="009F2C34" w:rsidP="00162322">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65505E02" w14:textId="3101038C" w:rsidR="009F2C34" w:rsidRPr="009F2C34" w:rsidRDefault="009F2C34" w:rsidP="00162322">
            <w:pPr>
              <w:rPr>
                <w:rFonts w:eastAsiaTheme="minorEastAsia"/>
                <w:kern w:val="0"/>
                <w:lang w:eastAsia="zh-CN"/>
              </w:rPr>
            </w:pPr>
            <w:r>
              <w:rPr>
                <w:rFonts w:eastAsiaTheme="minorEastAsia" w:hint="eastAsia"/>
                <w:kern w:val="0"/>
                <w:lang w:eastAsia="zh-CN"/>
              </w:rPr>
              <w:t>Y</w:t>
            </w:r>
          </w:p>
        </w:tc>
        <w:tc>
          <w:tcPr>
            <w:tcW w:w="601" w:type="pct"/>
          </w:tcPr>
          <w:p w14:paraId="57336FDB" w14:textId="77777777" w:rsidR="009F2C34" w:rsidRPr="00655E80" w:rsidRDefault="009F2C34" w:rsidP="00162322">
            <w:pPr>
              <w:rPr>
                <w:kern w:val="0"/>
              </w:rPr>
            </w:pPr>
          </w:p>
        </w:tc>
        <w:tc>
          <w:tcPr>
            <w:tcW w:w="3200" w:type="pct"/>
          </w:tcPr>
          <w:p w14:paraId="6B570B6F" w14:textId="0E3C0E65" w:rsidR="009F2C34" w:rsidRDefault="009F2C34" w:rsidP="00162322">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065B43" w:rsidRPr="00CC1924" w14:paraId="1751942A" w14:textId="77777777" w:rsidTr="00A34D45">
        <w:trPr>
          <w:trHeight w:val="333"/>
        </w:trPr>
        <w:tc>
          <w:tcPr>
            <w:tcW w:w="743" w:type="pct"/>
          </w:tcPr>
          <w:p w14:paraId="6479DB44" w14:textId="65120817" w:rsidR="00065B43" w:rsidRDefault="00065B43" w:rsidP="00065B43">
            <w:pPr>
              <w:rPr>
                <w:rFonts w:hint="eastAsia"/>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31DDA5AF" w14:textId="77777777" w:rsidR="00065B43" w:rsidRDefault="00065B43" w:rsidP="00065B43">
            <w:pPr>
              <w:rPr>
                <w:rFonts w:hint="eastAsia"/>
                <w:kern w:val="0"/>
              </w:rPr>
            </w:pPr>
          </w:p>
        </w:tc>
        <w:tc>
          <w:tcPr>
            <w:tcW w:w="601" w:type="pct"/>
          </w:tcPr>
          <w:p w14:paraId="1F29E638" w14:textId="77777777" w:rsidR="00065B43" w:rsidRPr="00655E80" w:rsidRDefault="00065B43" w:rsidP="00065B43">
            <w:pPr>
              <w:rPr>
                <w:kern w:val="0"/>
              </w:rPr>
            </w:pPr>
          </w:p>
        </w:tc>
        <w:tc>
          <w:tcPr>
            <w:tcW w:w="3200" w:type="pct"/>
          </w:tcPr>
          <w:p w14:paraId="2571BC4D" w14:textId="7FCD3A8F" w:rsidR="00065B43" w:rsidRDefault="00065B43" w:rsidP="00065B43">
            <w:pPr>
              <w:rPr>
                <w:rFonts w:hint="eastAsia"/>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bl>
    <w:p w14:paraId="71BF2185" w14:textId="77777777" w:rsidR="002A2CC1" w:rsidRPr="00A34D4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r>
        <w:rPr>
          <w:sz w:val="18"/>
          <w:szCs w:val="18"/>
        </w:rPr>
        <w:t xml:space="preserve">Futurewei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 xml:space="preserve">Option 1: "RS " OH[%]=1-N/(N+M)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OH[%]=1-1/L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t>Spreadtrum</w:t>
            </w:r>
            <w:proofErr w:type="spellEnd"/>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r>
              <w:t>gNB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tcPr>
          <w:p w14:paraId="3302E31F" w14:textId="112782E7" w:rsidR="001258A8" w:rsidRDefault="001258A8" w:rsidP="001E2196">
            <w:pPr>
              <w:pStyle w:val="af9"/>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tcPr>
          <w:p w14:paraId="03FAA476" w14:textId="6AADACF9" w:rsidR="00C76382" w:rsidRDefault="00C76382" w:rsidP="00C76382">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9"/>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162322">
            <w:pPr>
              <w:rPr>
                <w:kern w:val="0"/>
              </w:rPr>
            </w:pPr>
            <w:r>
              <w:rPr>
                <w:kern w:val="0"/>
              </w:rPr>
              <w:t>LG</w:t>
            </w:r>
          </w:p>
        </w:tc>
        <w:tc>
          <w:tcPr>
            <w:tcW w:w="4384" w:type="pct"/>
          </w:tcPr>
          <w:p w14:paraId="251CB4D7" w14:textId="77777777" w:rsidR="00A34D45" w:rsidRDefault="00A34D45" w:rsidP="00162322">
            <w:pPr>
              <w:pStyle w:val="af9"/>
              <w:ind w:left="0"/>
            </w:pPr>
            <w:r>
              <w:t>Prefer to remove RS overhead.</w:t>
            </w:r>
          </w:p>
        </w:tc>
      </w:tr>
      <w:tr w:rsidR="009F2C34" w14:paraId="1581B7A0" w14:textId="77777777" w:rsidTr="00A34D45">
        <w:trPr>
          <w:trHeight w:val="333"/>
        </w:trPr>
        <w:tc>
          <w:tcPr>
            <w:tcW w:w="616" w:type="pct"/>
          </w:tcPr>
          <w:p w14:paraId="34262FB4" w14:textId="34C56200" w:rsidR="009F2C34" w:rsidRPr="009F2C34" w:rsidRDefault="009F2C34" w:rsidP="0016232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3800E5EE" w14:textId="16F2AA19" w:rsidR="009F2C34" w:rsidRDefault="009F2C34" w:rsidP="009F2C34">
            <w:pPr>
              <w:pStyle w:val="af9"/>
              <w:tabs>
                <w:tab w:val="left" w:pos="688"/>
              </w:tabs>
              <w:ind w:left="0"/>
            </w:pPr>
            <w:r w:rsidRPr="009F2C34">
              <w:t>We think RS overhead reduction is more useful since it provides the comparison with the baseline.</w:t>
            </w:r>
          </w:p>
        </w:tc>
      </w:tr>
      <w:tr w:rsidR="00065B43" w14:paraId="37E22E0C" w14:textId="77777777" w:rsidTr="00A34D45">
        <w:trPr>
          <w:trHeight w:val="333"/>
        </w:trPr>
        <w:tc>
          <w:tcPr>
            <w:tcW w:w="616" w:type="pct"/>
          </w:tcPr>
          <w:p w14:paraId="22523A6E" w14:textId="3BE2774E" w:rsidR="00065B43" w:rsidRDefault="00065B43" w:rsidP="00065B43">
            <w:pPr>
              <w:rPr>
                <w:rFonts w:hint="eastAsia"/>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tcPr>
          <w:p w14:paraId="479846D5" w14:textId="7A07BE0E" w:rsidR="00065B43" w:rsidRPr="009F2C34" w:rsidRDefault="00065B43" w:rsidP="00065B43">
            <w:pPr>
              <w:pStyle w:val="af9"/>
              <w:tabs>
                <w:tab w:val="left" w:pos="688"/>
              </w:tabs>
              <w:ind w:left="0"/>
            </w:pPr>
            <w:r>
              <w:rPr>
                <w:rFonts w:eastAsiaTheme="minorEastAsia"/>
                <w:lang w:eastAsia="zh-CN"/>
              </w:rPr>
              <w:t>For calculation of RS overhead reduction, we need firstly get common understanding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After that the details of how to calculate the RS overhead reduction is discussed. </w:t>
            </w:r>
          </w:p>
        </w:tc>
      </w:tr>
    </w:tbl>
    <w:p w14:paraId="5C077774" w14:textId="77777777" w:rsidR="002A2CC1" w:rsidRPr="00A34D45"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w:t>
            </w:r>
            <w:proofErr w:type="spellStart"/>
            <w:r>
              <w:t>TypeA</w:t>
            </w:r>
            <w:proofErr w:type="spellEnd"/>
            <w:r>
              <w:t>. For QCL-</w:t>
            </w:r>
            <w:proofErr w:type="spellStart"/>
            <w:r>
              <w:t>TypeA</w:t>
            </w:r>
            <w:proofErr w:type="spellEnd"/>
            <w:r>
              <w:t>,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9F2C34" w14:paraId="29CC3395" w14:textId="77777777">
        <w:trPr>
          <w:trHeight w:val="333"/>
        </w:trPr>
        <w:tc>
          <w:tcPr>
            <w:tcW w:w="616" w:type="pct"/>
          </w:tcPr>
          <w:p w14:paraId="59ADC611" w14:textId="257AA7FC" w:rsidR="009F2C34" w:rsidRPr="009F2C34" w:rsidRDefault="009F2C34" w:rsidP="007E2A26">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7A9463F9" w14:textId="405183FD" w:rsidR="009F2C34" w:rsidRPr="009F2C34" w:rsidRDefault="009F2C34" w:rsidP="007E2A26">
            <w:pPr>
              <w:keepNext/>
            </w:pPr>
            <w:r w:rsidRPr="009F2C34">
              <w:rPr>
                <w:rFonts w:eastAsiaTheme="minorEastAsia" w:hint="eastAsia"/>
                <w:lang w:eastAsia="zh-CN"/>
              </w:rPr>
              <w:t>W</w:t>
            </w:r>
            <w:r w:rsidRPr="009F2C34">
              <w:rPr>
                <w:rFonts w:eastAsiaTheme="minorEastAsia"/>
                <w:lang w:eastAsia="zh-CN"/>
              </w:rPr>
              <w:t xml:space="preserve">e also think this should be part discussion of the previous proposal. We think this is the reason to include K in Option 2 of </w:t>
            </w:r>
            <w:r>
              <w:rPr>
                <w:rFonts w:eastAsiaTheme="minorEastAsia"/>
                <w:lang w:eastAsia="zh-CN"/>
              </w:rPr>
              <w:t xml:space="preserve">the definition of </w:t>
            </w:r>
            <w:r w:rsidRPr="009F2C34">
              <w:t>RS overhead reduction.</w:t>
            </w:r>
          </w:p>
        </w:tc>
      </w:tr>
      <w:tr w:rsidR="00065B43" w14:paraId="4DF6A539" w14:textId="77777777">
        <w:trPr>
          <w:trHeight w:val="333"/>
        </w:trPr>
        <w:tc>
          <w:tcPr>
            <w:tcW w:w="616" w:type="pct"/>
          </w:tcPr>
          <w:p w14:paraId="0219F4B8" w14:textId="34F0C745" w:rsidR="00065B43" w:rsidRDefault="00065B43" w:rsidP="00065B43">
            <w:pPr>
              <w:rPr>
                <w:rFonts w:hint="eastAsia"/>
                <w:kern w:val="0"/>
              </w:rPr>
            </w:pPr>
            <w:r>
              <w:rPr>
                <w:rFonts w:eastAsiaTheme="minorEastAsia" w:hint="eastAsia"/>
                <w:kern w:val="0"/>
              </w:rPr>
              <w:t>F</w:t>
            </w:r>
            <w:r>
              <w:rPr>
                <w:rFonts w:eastAsiaTheme="minorEastAsia"/>
                <w:kern w:val="0"/>
              </w:rPr>
              <w:t>ujitsu</w:t>
            </w:r>
          </w:p>
        </w:tc>
        <w:tc>
          <w:tcPr>
            <w:tcW w:w="4384" w:type="pct"/>
          </w:tcPr>
          <w:p w14:paraId="38CDE5D3" w14:textId="14196907" w:rsidR="00065B43" w:rsidRPr="009F2C34" w:rsidRDefault="00065B43" w:rsidP="00065B43">
            <w:pPr>
              <w:keepNext/>
              <w:rPr>
                <w:rFonts w:hint="eastAsia"/>
              </w:rPr>
            </w:pPr>
            <w:r>
              <w:rPr>
                <w:rFonts w:eastAsiaTheme="minorEastAsia"/>
              </w:rPr>
              <w:t>In our understanding, such additional measurements to obtain QCL relation for QCL-TypeD are necessary.</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9F2C34" w14:paraId="65CE27E6" w14:textId="77777777">
        <w:trPr>
          <w:trHeight w:val="333"/>
        </w:trPr>
        <w:tc>
          <w:tcPr>
            <w:tcW w:w="616" w:type="pct"/>
          </w:tcPr>
          <w:p w14:paraId="1937B5B7" w14:textId="5B65B542" w:rsidR="009F2C34" w:rsidRPr="009F2C34" w:rsidRDefault="009F2C34" w:rsidP="00601BC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0942E169" w14:textId="47FF870F" w:rsidR="009F2C34" w:rsidRPr="009F2C34" w:rsidRDefault="009F2C34" w:rsidP="00601BC5">
            <w:pPr>
              <w:keepNext/>
            </w:pPr>
            <w:r w:rsidRPr="009F2C34">
              <w:rPr>
                <w:rFonts w:eastAsiaTheme="minorEastAsia"/>
                <w:lang w:eastAsia="zh-CN"/>
              </w:rPr>
              <w:t xml:space="preserve">How to evaluate </w:t>
            </w:r>
            <w:r w:rsidRPr="009F2C34">
              <w:rPr>
                <w:rFonts w:eastAsiaTheme="minorEastAsia" w:hint="eastAsia"/>
                <w:lang w:eastAsia="zh-CN"/>
              </w:rPr>
              <w:t>U</w:t>
            </w:r>
            <w:r w:rsidRPr="009F2C34">
              <w:rPr>
                <w:rFonts w:eastAsiaTheme="minorEastAsia"/>
                <w:lang w:eastAsia="zh-CN"/>
              </w:rPr>
              <w:t xml:space="preserve">CI overhead should be </w:t>
            </w:r>
            <w:r>
              <w:rPr>
                <w:rFonts w:eastAsiaTheme="minorEastAsia"/>
                <w:lang w:eastAsia="zh-CN"/>
              </w:rPr>
              <w:t>clarified</w:t>
            </w:r>
            <w:r w:rsidRPr="009F2C34">
              <w:rPr>
                <w:rFonts w:eastAsiaTheme="minorEastAsia"/>
                <w:lang w:eastAsia="zh-CN"/>
              </w:rPr>
              <w:t>, since different reporting method can be used. Prefer to keep the FFS.</w:t>
            </w:r>
          </w:p>
        </w:tc>
      </w:tr>
      <w:tr w:rsidR="00065B43" w14:paraId="435AAD4D" w14:textId="77777777">
        <w:trPr>
          <w:trHeight w:val="333"/>
        </w:trPr>
        <w:tc>
          <w:tcPr>
            <w:tcW w:w="616" w:type="pct"/>
          </w:tcPr>
          <w:p w14:paraId="15DB768F" w14:textId="7D878C5B" w:rsidR="00065B43" w:rsidRDefault="00065B43" w:rsidP="00065B43">
            <w:pPr>
              <w:rPr>
                <w:rFonts w:hint="eastAsia"/>
                <w:kern w:val="0"/>
              </w:rPr>
            </w:pPr>
            <w:r>
              <w:rPr>
                <w:rFonts w:eastAsiaTheme="minorEastAsia" w:hint="eastAsia"/>
                <w:kern w:val="0"/>
              </w:rPr>
              <w:t>F</w:t>
            </w:r>
            <w:r>
              <w:rPr>
                <w:rFonts w:eastAsiaTheme="minorEastAsia"/>
                <w:kern w:val="0"/>
              </w:rPr>
              <w:t>ujitsu</w:t>
            </w:r>
          </w:p>
        </w:tc>
        <w:tc>
          <w:tcPr>
            <w:tcW w:w="4384" w:type="pct"/>
          </w:tcPr>
          <w:p w14:paraId="1F601036" w14:textId="54207D03" w:rsidR="00065B43" w:rsidRPr="009F2C34" w:rsidRDefault="00065B43" w:rsidP="00065B43">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r>
        <w:rPr>
          <w:sz w:val="18"/>
          <w:szCs w:val="18"/>
        </w:rPr>
        <w:t>Futurewei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China Telecom[7]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 xml:space="preserve">Futurewei,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InH</w:t>
      </w:r>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InH</w:t>
      </w:r>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InH)</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r>
        <w:rPr>
          <w:sz w:val="18"/>
          <w:szCs w:val="18"/>
        </w:rPr>
        <w:t>gNB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r>
        <w:rPr>
          <w:sz w:val="18"/>
          <w:szCs w:val="18"/>
        </w:rPr>
        <w:t xml:space="preserve">where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InH;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3A0B5327" w:rsidR="002A2CC1" w:rsidRDefault="008D5F24">
            <w:r>
              <w:t xml:space="preserve">Google, </w:t>
            </w:r>
            <w:proofErr w:type="spellStart"/>
            <w:r>
              <w:t>Xiaomi,NTT</w:t>
            </w:r>
            <w:proofErr w:type="spellEnd"/>
            <w:r>
              <w:t xml:space="preserve"> DOCOMO, vivo, Samsung</w:t>
            </w:r>
            <w:r w:rsidR="00964CC3">
              <w:t>, NVIDIA</w:t>
            </w:r>
            <w:r w:rsidR="003D6B14">
              <w:t>,</w:t>
            </w:r>
            <w:r w:rsidR="003D6B14" w:rsidRPr="003D6B14">
              <w:rPr>
                <w:smallCaps/>
              </w:rPr>
              <w:t xml:space="preserve"> Futurewei</w:t>
            </w:r>
            <w:r w:rsidR="00BB252E">
              <w:rPr>
                <w:smallCaps/>
              </w:rPr>
              <w:t xml:space="preserve">. </w:t>
            </w:r>
            <w:proofErr w:type="spellStart"/>
            <w:r w:rsidR="00BB252E">
              <w:rPr>
                <w:smallCaps/>
              </w:rPr>
              <w:t>CEWiT</w:t>
            </w:r>
            <w:proofErr w:type="spellEnd"/>
            <w:r w:rsidR="001E2196">
              <w:rPr>
                <w:smallCaps/>
              </w:rPr>
              <w:t>, CAICT</w:t>
            </w:r>
            <w:r w:rsidR="00A34D45">
              <w:rPr>
                <w:smallCaps/>
              </w:rPr>
              <w:t xml:space="preserve">, </w:t>
            </w:r>
            <w:proofErr w:type="gramStart"/>
            <w:r w:rsidR="00A34D45">
              <w:rPr>
                <w:smallCaps/>
              </w:rPr>
              <w:t>LG</w:t>
            </w:r>
            <w:r w:rsidR="009F2C34">
              <w:rPr>
                <w:smallCaps/>
              </w:rPr>
              <w:t>,CMCC</w:t>
            </w:r>
            <w:proofErr w:type="gramEnd"/>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B: AI model inference node, e.g. @UE side vs @ gNB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162322">
            <w:pPr>
              <w:rPr>
                <w:kern w:val="0"/>
              </w:rPr>
            </w:pPr>
            <w:r>
              <w:rPr>
                <w:kern w:val="0"/>
              </w:rPr>
              <w:t>LG</w:t>
            </w:r>
          </w:p>
        </w:tc>
        <w:tc>
          <w:tcPr>
            <w:tcW w:w="4373" w:type="pct"/>
          </w:tcPr>
          <w:p w14:paraId="506283BB" w14:textId="77777777" w:rsidR="00A34D45" w:rsidRDefault="00A34D45" w:rsidP="00162322">
            <w:pPr>
              <w:keepNext/>
            </w:pPr>
            <w:r>
              <w:t xml:space="preserve">A/B: Ok to consider </w:t>
            </w:r>
          </w:p>
          <w:p w14:paraId="6E64812F" w14:textId="77777777" w:rsidR="00A34D45" w:rsidRDefault="00A34D45" w:rsidP="00162322">
            <w:pPr>
              <w:keepNext/>
            </w:pPr>
            <w:r>
              <w:t xml:space="preserve">C: it can be postponed. </w:t>
            </w:r>
          </w:p>
        </w:tc>
      </w:tr>
      <w:tr w:rsidR="009F2C34" w14:paraId="0859824B" w14:textId="77777777" w:rsidTr="00A34D45">
        <w:trPr>
          <w:trHeight w:val="333"/>
        </w:trPr>
        <w:tc>
          <w:tcPr>
            <w:tcW w:w="627" w:type="pct"/>
          </w:tcPr>
          <w:p w14:paraId="023D7B50" w14:textId="754DCB98" w:rsidR="009F2C34" w:rsidRPr="009F2C34" w:rsidRDefault="009F2C34" w:rsidP="0016232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73" w:type="pct"/>
          </w:tcPr>
          <w:p w14:paraId="0BB05FD7" w14:textId="1257B399" w:rsidR="009F2C34" w:rsidRPr="009F2C34" w:rsidRDefault="009F2C34" w:rsidP="00162322">
            <w:pPr>
              <w:keepNext/>
            </w:pPr>
            <w:r w:rsidRPr="009F2C34">
              <w:rPr>
                <w:rFonts w:eastAsiaTheme="minorEastAsia" w:hint="eastAsia"/>
                <w:lang w:eastAsia="zh-CN"/>
              </w:rPr>
              <w:t>D</w:t>
            </w:r>
            <w:r w:rsidRPr="009F2C34">
              <w:rPr>
                <w:rFonts w:eastAsiaTheme="minorEastAsia"/>
                <w:lang w:eastAsia="zh-CN"/>
              </w:rPr>
              <w:t>ifferent sub use case can consider different aspects for generalization evaluation.</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r>
        <w:rPr>
          <w:sz w:val="18"/>
          <w:szCs w:val="18"/>
        </w:rPr>
        <w:t>Futurewei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r>
        <w:rPr>
          <w:sz w:val="18"/>
          <w:szCs w:val="18"/>
        </w:rPr>
        <w:t xml:space="preserve">where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r>
              <w:rPr>
                <w:rFonts w:eastAsia="宋体"/>
                <w:smallCaps/>
              </w:rPr>
              <w:t xml:space="preserve">Futurewei, Google, MediaTek,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8E305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8E305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162322">
            <w:pPr>
              <w:rPr>
                <w:smallCaps/>
              </w:rPr>
            </w:pPr>
            <w:r>
              <w:rPr>
                <w:smallCaps/>
              </w:rPr>
              <w:t>LG</w:t>
            </w:r>
          </w:p>
        </w:tc>
        <w:tc>
          <w:tcPr>
            <w:tcW w:w="4257" w:type="pct"/>
          </w:tcPr>
          <w:p w14:paraId="7A0776A0" w14:textId="77777777" w:rsidR="00A34D45" w:rsidRDefault="00A34D45" w:rsidP="00162322">
            <w:pPr>
              <w:rPr>
                <w:rFonts w:eastAsia="Malgun Gothic"/>
                <w:kern w:val="0"/>
              </w:rPr>
            </w:pPr>
            <w:r>
              <w:rPr>
                <w:rFonts w:eastAsia="Malgun Gothic" w:hint="eastAsia"/>
                <w:kern w:val="0"/>
              </w:rPr>
              <w:t xml:space="preserve">No need such restriction at this stage. </w:t>
            </w:r>
          </w:p>
        </w:tc>
      </w:tr>
      <w:tr w:rsidR="009F2C34" w14:paraId="163D8D36" w14:textId="77777777" w:rsidTr="00A34D45">
        <w:trPr>
          <w:trHeight w:val="333"/>
        </w:trPr>
        <w:tc>
          <w:tcPr>
            <w:tcW w:w="743" w:type="pct"/>
          </w:tcPr>
          <w:p w14:paraId="2A9F0EF1" w14:textId="21123F13" w:rsidR="009F2C34" w:rsidRPr="009F2C34" w:rsidRDefault="009F2C34" w:rsidP="0016232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4257" w:type="pct"/>
          </w:tcPr>
          <w:p w14:paraId="330D09CB" w14:textId="0D7B8D44" w:rsidR="009F2C34" w:rsidRPr="009F2C34" w:rsidRDefault="009F2C34" w:rsidP="00162322">
            <w:pPr>
              <w:rPr>
                <w:rFonts w:eastAsiaTheme="minorEastAsia"/>
                <w:kern w:val="0"/>
                <w:lang w:eastAsia="zh-CN"/>
              </w:rPr>
            </w:pPr>
            <w:r>
              <w:rPr>
                <w:rFonts w:eastAsiaTheme="minorEastAsia" w:hint="eastAsia"/>
                <w:kern w:val="0"/>
                <w:lang w:eastAsia="zh-CN"/>
              </w:rPr>
              <w:t>N</w:t>
            </w:r>
            <w:r>
              <w:rPr>
                <w:rFonts w:eastAsiaTheme="minorEastAsia"/>
                <w:kern w:val="0"/>
                <w:lang w:eastAsia="zh-CN"/>
              </w:rPr>
              <w:t>ot needed.</w:t>
            </w:r>
          </w:p>
        </w:tc>
      </w:tr>
      <w:tr w:rsidR="00065B43" w14:paraId="57D62EDE" w14:textId="77777777" w:rsidTr="00A34D45">
        <w:trPr>
          <w:trHeight w:val="333"/>
        </w:trPr>
        <w:tc>
          <w:tcPr>
            <w:tcW w:w="743" w:type="pct"/>
          </w:tcPr>
          <w:p w14:paraId="302E7B04" w14:textId="0A55F8B8" w:rsidR="00065B43" w:rsidRDefault="00065B43" w:rsidP="00065B43">
            <w:pPr>
              <w:rPr>
                <w:rFonts w:hint="eastAsia"/>
                <w:smallCaps/>
              </w:rPr>
            </w:pPr>
            <w:r>
              <w:rPr>
                <w:rFonts w:eastAsiaTheme="minorEastAsia" w:hint="eastAsia"/>
                <w:smallCaps/>
                <w:kern w:val="0"/>
              </w:rPr>
              <w:t>F</w:t>
            </w:r>
            <w:r>
              <w:rPr>
                <w:rFonts w:eastAsiaTheme="minorEastAsia"/>
                <w:smallCaps/>
                <w:kern w:val="0"/>
              </w:rPr>
              <w:t>ujitsu</w:t>
            </w:r>
          </w:p>
        </w:tc>
        <w:tc>
          <w:tcPr>
            <w:tcW w:w="4257" w:type="pct"/>
          </w:tcPr>
          <w:p w14:paraId="02321ED9" w14:textId="1F335661" w:rsidR="00065B43" w:rsidRDefault="00065B43" w:rsidP="00065B43">
            <w:pPr>
              <w:rPr>
                <w:rFonts w:hint="eastAsia"/>
                <w:kern w:val="0"/>
              </w:rPr>
            </w:pPr>
            <w:r>
              <w:rPr>
                <w:rFonts w:eastAsiaTheme="minorEastAsia"/>
                <w:kern w:val="0"/>
              </w:rPr>
              <w:t>If the evaluation results are tried to be aligned, it’s better to provide list of number of beams.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r>
        <w:rPr>
          <w:sz w:val="18"/>
          <w:szCs w:val="18"/>
        </w:rPr>
        <w:t>Futurewei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r>
              <w:rPr>
                <w:smallCaps/>
              </w:rPr>
              <w:t>Futurewei</w:t>
            </w:r>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162322">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162322">
            <w:pPr>
              <w:rPr>
                <w:rFonts w:eastAsia="宋体"/>
                <w:kern w:val="0"/>
                <w:lang w:eastAsia="ja-JP"/>
              </w:rPr>
            </w:pPr>
            <w:r>
              <w:rPr>
                <w:rFonts w:eastAsia="宋体"/>
                <w:kern w:val="0"/>
                <w:lang w:eastAsia="ja-JP"/>
              </w:rPr>
              <w:t>Q1: No</w:t>
            </w:r>
          </w:p>
          <w:p w14:paraId="4FA372E0" w14:textId="77777777" w:rsidR="00A34D45" w:rsidRDefault="00A34D45" w:rsidP="00162322">
            <w:pPr>
              <w:rPr>
                <w:rFonts w:eastAsia="MS Mincho"/>
                <w:kern w:val="0"/>
                <w:lang w:eastAsia="ja-JP"/>
              </w:rPr>
            </w:pPr>
            <w:r>
              <w:rPr>
                <w:rFonts w:eastAsia="宋体"/>
                <w:kern w:val="0"/>
                <w:lang w:eastAsia="ja-JP"/>
              </w:rPr>
              <w:t>Q2: Yes</w:t>
            </w:r>
          </w:p>
          <w:p w14:paraId="4C7AE8C5" w14:textId="77777777" w:rsidR="00A34D45" w:rsidRPr="00F72DEB" w:rsidRDefault="00A34D45" w:rsidP="00162322">
            <w:pPr>
              <w:rPr>
                <w:rFonts w:eastAsia="宋体"/>
                <w:kern w:val="0"/>
                <w:lang w:eastAsia="ja-JP"/>
              </w:rPr>
            </w:pPr>
          </w:p>
        </w:tc>
      </w:tr>
      <w:tr w:rsidR="009F2C34" w:rsidRPr="00F72DEB" w14:paraId="5FBC349B" w14:textId="77777777" w:rsidTr="00A34D45">
        <w:trPr>
          <w:trHeight w:val="333"/>
        </w:trPr>
        <w:tc>
          <w:tcPr>
            <w:tcW w:w="739" w:type="pct"/>
          </w:tcPr>
          <w:p w14:paraId="24529381" w14:textId="4554B8E4" w:rsidR="009F2C34" w:rsidRDefault="009F2C34" w:rsidP="00162322">
            <w:pPr>
              <w:rPr>
                <w:rFonts w:eastAsia="宋体"/>
                <w:smallCaps/>
                <w:kern w:val="0"/>
                <w:lang w:eastAsia="zh-CN"/>
              </w:rPr>
            </w:pPr>
            <w:r>
              <w:rPr>
                <w:rFonts w:eastAsia="宋体" w:hint="eastAsia"/>
                <w:smallCaps/>
                <w:kern w:val="0"/>
                <w:lang w:eastAsia="zh-CN"/>
              </w:rPr>
              <w:t>C</w:t>
            </w:r>
            <w:r>
              <w:rPr>
                <w:rFonts w:eastAsia="宋体"/>
                <w:smallCaps/>
                <w:kern w:val="0"/>
                <w:lang w:eastAsia="zh-CN"/>
              </w:rPr>
              <w:t>MCC</w:t>
            </w:r>
          </w:p>
        </w:tc>
        <w:tc>
          <w:tcPr>
            <w:tcW w:w="4261" w:type="pct"/>
          </w:tcPr>
          <w:p w14:paraId="5E45E429" w14:textId="77777777" w:rsidR="009F2C34" w:rsidRDefault="009F2C34" w:rsidP="009F2C34">
            <w:r>
              <w:rPr>
                <w:rFonts w:eastAsiaTheme="minorEastAsia" w:hint="eastAsia"/>
                <w:kern w:val="0"/>
              </w:rPr>
              <w:t>Q</w:t>
            </w:r>
            <w:r>
              <w:rPr>
                <w:rFonts w:eastAsiaTheme="minorEastAsia"/>
                <w:kern w:val="0"/>
              </w:rPr>
              <w:t xml:space="preserve">1: It </w:t>
            </w:r>
            <w:r>
              <w:t>restricts the flexibility in practical.</w:t>
            </w:r>
          </w:p>
          <w:p w14:paraId="3A4ED0DC" w14:textId="77777777" w:rsidR="009F2C34" w:rsidRDefault="009F2C34" w:rsidP="009F2C34">
            <w:pPr>
              <w:rPr>
                <w:rFonts w:eastAsiaTheme="minorEastAsia"/>
                <w:kern w:val="0"/>
              </w:rPr>
            </w:pPr>
            <w:r>
              <w:rPr>
                <w:rFonts w:eastAsiaTheme="minorEastAsia" w:hint="eastAsia"/>
                <w:kern w:val="0"/>
              </w:rPr>
              <w:t>Q</w:t>
            </w:r>
            <w:r>
              <w:rPr>
                <w:rFonts w:eastAsiaTheme="minorEastAsia"/>
                <w:kern w:val="0"/>
              </w:rPr>
              <w:t>2: We prefer variable set B can be the baseline.</w:t>
            </w:r>
          </w:p>
          <w:p w14:paraId="0EF17257" w14:textId="7CAF6B33" w:rsidR="009F2C34" w:rsidRDefault="009F2C34" w:rsidP="009F2C34">
            <w:pPr>
              <w:rPr>
                <w:rFonts w:eastAsia="宋体"/>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065B43" w:rsidRPr="00F72DEB" w14:paraId="4C75EAB9" w14:textId="77777777" w:rsidTr="00A34D45">
        <w:trPr>
          <w:trHeight w:val="333"/>
        </w:trPr>
        <w:tc>
          <w:tcPr>
            <w:tcW w:w="739" w:type="pct"/>
          </w:tcPr>
          <w:p w14:paraId="0C7DD25E" w14:textId="3D84165F" w:rsidR="00065B43" w:rsidRDefault="00065B43" w:rsidP="00065B43">
            <w:pPr>
              <w:rPr>
                <w:rFonts w:eastAsia="宋体" w:hint="eastAsia"/>
                <w:smallCaps/>
                <w:kern w:val="0"/>
              </w:rPr>
            </w:pPr>
            <w:r>
              <w:rPr>
                <w:rFonts w:eastAsiaTheme="minorEastAsia" w:hint="eastAsia"/>
                <w:lang w:eastAsia="zh-CN"/>
              </w:rPr>
              <w:t>F</w:t>
            </w:r>
            <w:r>
              <w:rPr>
                <w:rFonts w:eastAsiaTheme="minorEastAsia"/>
                <w:lang w:eastAsia="zh-CN"/>
              </w:rPr>
              <w:t>ujitsu</w:t>
            </w:r>
          </w:p>
        </w:tc>
        <w:tc>
          <w:tcPr>
            <w:tcW w:w="4261" w:type="pct"/>
          </w:tcPr>
          <w:p w14:paraId="0F5B12A1" w14:textId="77777777" w:rsidR="00065B43" w:rsidRDefault="00065B43" w:rsidP="00065B43">
            <w:pPr>
              <w:rPr>
                <w:rFonts w:eastAsia="宋体"/>
                <w:kern w:val="0"/>
                <w:lang w:eastAsia="ja-JP"/>
              </w:rPr>
            </w:pPr>
            <w:r>
              <w:rPr>
                <w:rFonts w:eastAsia="宋体"/>
                <w:kern w:val="0"/>
                <w:lang w:eastAsia="ja-JP"/>
              </w:rPr>
              <w:t>Q1: No</w:t>
            </w:r>
          </w:p>
          <w:p w14:paraId="33E67558" w14:textId="77777777" w:rsidR="00065B43" w:rsidRDefault="00065B43" w:rsidP="00065B43">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51FC05C3" w14:textId="77777777" w:rsidR="00065B43" w:rsidRDefault="00065B43" w:rsidP="00065B43">
            <w:pPr>
              <w:rPr>
                <w:rFonts w:hint="eastAsia"/>
                <w:kern w:val="0"/>
              </w:rPr>
            </w:pP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162322">
            <w:pPr>
              <w:rPr>
                <w:kern w:val="0"/>
              </w:rPr>
            </w:pPr>
            <w:r>
              <w:rPr>
                <w:kern w:val="0"/>
              </w:rPr>
              <w:t>LG</w:t>
            </w:r>
          </w:p>
        </w:tc>
        <w:tc>
          <w:tcPr>
            <w:tcW w:w="4384" w:type="pct"/>
          </w:tcPr>
          <w:p w14:paraId="794AF0D8" w14:textId="77777777" w:rsidR="00A34D45" w:rsidRDefault="00A34D45" w:rsidP="00162322">
            <w:pPr>
              <w:rPr>
                <w:kern w:val="0"/>
              </w:rPr>
            </w:pPr>
            <w:r>
              <w:rPr>
                <w:rFonts w:hint="eastAsia"/>
                <w:kern w:val="0"/>
              </w:rPr>
              <w:t>O</w:t>
            </w:r>
            <w:r>
              <w:rPr>
                <w:kern w:val="0"/>
              </w:rPr>
              <w:t>K</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r>
        <w:rPr>
          <w:sz w:val="18"/>
          <w:szCs w:val="18"/>
        </w:rPr>
        <w:t>ZTE[3]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r>
        <w:rPr>
          <w:sz w:val="18"/>
          <w:szCs w:val="18"/>
        </w:rPr>
        <w:t>Futurewei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77777777" w:rsidR="002A2CC1" w:rsidRDefault="008D5F24">
      <w:pPr>
        <w:pStyle w:val="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af9"/>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4"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af9"/>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r>
        <w:rPr>
          <w:rFonts w:eastAsia="宋体"/>
          <w:bCs/>
          <w:kern w:val="0"/>
          <w:sz w:val="18"/>
          <w:szCs w:val="18"/>
        </w:rPr>
        <w:t>OPPO[8]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af9"/>
        <w:numPr>
          <w:ilvl w:val="0"/>
          <w:numId w:val="61"/>
        </w:numPr>
        <w:rPr>
          <w:lang w:eastAsia="en-US"/>
        </w:rPr>
      </w:pPr>
      <w:r>
        <w:rPr>
          <w:lang w:eastAsia="en-US"/>
        </w:rPr>
        <w:t>Xiaomi[17]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r>
        <w:rPr>
          <w:lang w:eastAsia="en-US"/>
        </w:rPr>
        <w:t>Nokia[19]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065B43">
      <w:pPr>
        <w:rPr>
          <w:b/>
          <w:bCs/>
        </w:rPr>
      </w:pPr>
      <w:hyperlink r:id="rId18"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65B43">
      <w:hyperlink r:id="rId19"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065B43">
      <w:hyperlink r:id="rId20"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114.5pt;mso-width-percent:0;mso-height-percent:0;mso-width-percent:0;mso-height-percent:0" o:ole="">
            <v:imagedata r:id="rId21" o:title=""/>
          </v:shape>
          <o:OLEObject Type="Embed" ProgID="Visio.Drawing.15" ShapeID="_x0000_i1025" DrawAspect="Content" ObjectID="_1727019594" r:id="rId22"/>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A950" w14:textId="77777777" w:rsidR="00A91E33" w:rsidRDefault="00A91E33" w:rsidP="00D6456D">
      <w:r>
        <w:separator/>
      </w:r>
    </w:p>
  </w:endnote>
  <w:endnote w:type="continuationSeparator" w:id="0">
    <w:p w14:paraId="6C0457D0" w14:textId="77777777" w:rsidR="00A91E33" w:rsidRDefault="00A91E33"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5315" w14:textId="77777777" w:rsidR="00A91E33" w:rsidRDefault="00A91E33" w:rsidP="00D6456D">
      <w:r>
        <w:separator/>
      </w:r>
    </w:p>
  </w:footnote>
  <w:footnote w:type="continuationSeparator" w:id="0">
    <w:p w14:paraId="43B13CF2" w14:textId="77777777" w:rsidR="00A91E33" w:rsidRDefault="00A91E33"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0937032">
    <w:abstractNumId w:val="5"/>
  </w:num>
  <w:num w:numId="2" w16cid:durableId="1608192211">
    <w:abstractNumId w:val="29"/>
  </w:num>
  <w:num w:numId="3" w16cid:durableId="1873878242">
    <w:abstractNumId w:val="0"/>
  </w:num>
  <w:num w:numId="4" w16cid:durableId="437725032">
    <w:abstractNumId w:val="42"/>
  </w:num>
  <w:num w:numId="5" w16cid:durableId="1080835239">
    <w:abstractNumId w:val="19"/>
  </w:num>
  <w:num w:numId="6" w16cid:durableId="979503079">
    <w:abstractNumId w:val="51"/>
  </w:num>
  <w:num w:numId="7" w16cid:durableId="1632903048">
    <w:abstractNumId w:val="43"/>
  </w:num>
  <w:num w:numId="8" w16cid:durableId="4112433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042377">
    <w:abstractNumId w:val="48"/>
    <w:lvlOverride w:ilvl="0">
      <w:startOverride w:val="1"/>
    </w:lvlOverride>
  </w:num>
  <w:num w:numId="10" w16cid:durableId="265623855">
    <w:abstractNumId w:val="31"/>
  </w:num>
  <w:num w:numId="11" w16cid:durableId="97213922">
    <w:abstractNumId w:val="61"/>
  </w:num>
  <w:num w:numId="12" w16cid:durableId="501163981">
    <w:abstractNumId w:val="67"/>
  </w:num>
  <w:num w:numId="13" w16cid:durableId="711342333">
    <w:abstractNumId w:val="22"/>
  </w:num>
  <w:num w:numId="14" w16cid:durableId="2059429418">
    <w:abstractNumId w:val="68"/>
  </w:num>
  <w:num w:numId="15" w16cid:durableId="1883012292">
    <w:abstractNumId w:val="40"/>
  </w:num>
  <w:num w:numId="16" w16cid:durableId="77676379">
    <w:abstractNumId w:val="60"/>
  </w:num>
  <w:num w:numId="17" w16cid:durableId="1189682248">
    <w:abstractNumId w:val="57"/>
  </w:num>
  <w:num w:numId="18" w16cid:durableId="1152940441">
    <w:abstractNumId w:val="53"/>
  </w:num>
  <w:num w:numId="19" w16cid:durableId="397362106">
    <w:abstractNumId w:val="14"/>
  </w:num>
  <w:num w:numId="20" w16cid:durableId="984166972">
    <w:abstractNumId w:val="1"/>
  </w:num>
  <w:num w:numId="21" w16cid:durableId="857425740">
    <w:abstractNumId w:val="41"/>
  </w:num>
  <w:num w:numId="22" w16cid:durableId="920260642">
    <w:abstractNumId w:val="69"/>
  </w:num>
  <w:num w:numId="23" w16cid:durableId="1950695921">
    <w:abstractNumId w:val="32"/>
  </w:num>
  <w:num w:numId="24" w16cid:durableId="236021384">
    <w:abstractNumId w:val="34"/>
  </w:num>
  <w:num w:numId="25" w16cid:durableId="353381271">
    <w:abstractNumId w:val="64"/>
  </w:num>
  <w:num w:numId="26" w16cid:durableId="1123420721">
    <w:abstractNumId w:val="6"/>
  </w:num>
  <w:num w:numId="27" w16cid:durableId="1369257813">
    <w:abstractNumId w:val="63"/>
  </w:num>
  <w:num w:numId="28" w16cid:durableId="190802545">
    <w:abstractNumId w:val="70"/>
  </w:num>
  <w:num w:numId="29" w16cid:durableId="103811419">
    <w:abstractNumId w:val="73"/>
  </w:num>
  <w:num w:numId="30" w16cid:durableId="2081712245">
    <w:abstractNumId w:val="79"/>
  </w:num>
  <w:num w:numId="31" w16cid:durableId="1275559163">
    <w:abstractNumId w:val="38"/>
  </w:num>
  <w:num w:numId="32" w16cid:durableId="943655100">
    <w:abstractNumId w:val="55"/>
  </w:num>
  <w:num w:numId="33" w16cid:durableId="282269544">
    <w:abstractNumId w:val="76"/>
  </w:num>
  <w:num w:numId="34" w16cid:durableId="629213860">
    <w:abstractNumId w:val="39"/>
  </w:num>
  <w:num w:numId="35" w16cid:durableId="1966082691">
    <w:abstractNumId w:val="52"/>
  </w:num>
  <w:num w:numId="36" w16cid:durableId="895047586">
    <w:abstractNumId w:val="74"/>
  </w:num>
  <w:num w:numId="37" w16cid:durableId="2111510885">
    <w:abstractNumId w:val="49"/>
  </w:num>
  <w:num w:numId="38" w16cid:durableId="775639773">
    <w:abstractNumId w:val="26"/>
  </w:num>
  <w:num w:numId="39" w16cid:durableId="567305083">
    <w:abstractNumId w:val="30"/>
  </w:num>
  <w:num w:numId="40" w16cid:durableId="2072538683">
    <w:abstractNumId w:val="37"/>
  </w:num>
  <w:num w:numId="41" w16cid:durableId="412436608">
    <w:abstractNumId w:val="2"/>
  </w:num>
  <w:num w:numId="42" w16cid:durableId="363363801">
    <w:abstractNumId w:val="62"/>
  </w:num>
  <w:num w:numId="43" w16cid:durableId="886381122">
    <w:abstractNumId w:val="65"/>
  </w:num>
  <w:num w:numId="44" w16cid:durableId="1021056529">
    <w:abstractNumId w:val="8"/>
  </w:num>
  <w:num w:numId="45" w16cid:durableId="1890455461">
    <w:abstractNumId w:val="3"/>
  </w:num>
  <w:num w:numId="46" w16cid:durableId="897978335">
    <w:abstractNumId w:val="36"/>
  </w:num>
  <w:num w:numId="47" w16cid:durableId="1982222320">
    <w:abstractNumId w:val="28"/>
  </w:num>
  <w:num w:numId="48" w16cid:durableId="1983921632">
    <w:abstractNumId w:val="77"/>
  </w:num>
  <w:num w:numId="49" w16cid:durableId="1823429794">
    <w:abstractNumId w:val="46"/>
  </w:num>
  <w:num w:numId="50" w16cid:durableId="538011758">
    <w:abstractNumId w:val="10"/>
  </w:num>
  <w:num w:numId="51" w16cid:durableId="1183858427">
    <w:abstractNumId w:val="66"/>
  </w:num>
  <w:num w:numId="52" w16cid:durableId="87428601">
    <w:abstractNumId w:val="4"/>
  </w:num>
  <w:num w:numId="53" w16cid:durableId="1301423634">
    <w:abstractNumId w:val="11"/>
  </w:num>
  <w:num w:numId="54" w16cid:durableId="849023155">
    <w:abstractNumId w:val="18"/>
  </w:num>
  <w:num w:numId="55" w16cid:durableId="1260992159">
    <w:abstractNumId w:val="56"/>
  </w:num>
  <w:num w:numId="56" w16cid:durableId="897786410">
    <w:abstractNumId w:val="44"/>
  </w:num>
  <w:num w:numId="57" w16cid:durableId="758333208">
    <w:abstractNumId w:val="9"/>
  </w:num>
  <w:num w:numId="58" w16cid:durableId="1193496728">
    <w:abstractNumId w:val="13"/>
  </w:num>
  <w:num w:numId="59" w16cid:durableId="15235581">
    <w:abstractNumId w:val="54"/>
  </w:num>
  <w:num w:numId="60" w16cid:durableId="866795318">
    <w:abstractNumId w:val="27"/>
  </w:num>
  <w:num w:numId="61" w16cid:durableId="1116365086">
    <w:abstractNumId w:val="20"/>
  </w:num>
  <w:num w:numId="62" w16cid:durableId="521364779">
    <w:abstractNumId w:val="78"/>
  </w:num>
  <w:num w:numId="63" w16cid:durableId="73212165">
    <w:abstractNumId w:val="59"/>
  </w:num>
  <w:num w:numId="64" w16cid:durableId="1248659327">
    <w:abstractNumId w:val="47"/>
  </w:num>
  <w:num w:numId="65" w16cid:durableId="762605807">
    <w:abstractNumId w:val="71"/>
  </w:num>
  <w:num w:numId="66" w16cid:durableId="615450325">
    <w:abstractNumId w:val="72"/>
  </w:num>
  <w:num w:numId="67" w16cid:durableId="1420062833">
    <w:abstractNumId w:val="23"/>
  </w:num>
  <w:num w:numId="68" w16cid:durableId="712390364">
    <w:abstractNumId w:val="7"/>
  </w:num>
  <w:num w:numId="69" w16cid:durableId="1159728936">
    <w:abstractNumId w:val="35"/>
  </w:num>
  <w:num w:numId="70" w16cid:durableId="622461468">
    <w:abstractNumId w:val="50"/>
  </w:num>
  <w:num w:numId="71" w16cid:durableId="1454983080">
    <w:abstractNumId w:val="24"/>
  </w:num>
  <w:num w:numId="72" w16cid:durableId="1116874542">
    <w:abstractNumId w:val="33"/>
  </w:num>
  <w:num w:numId="73" w16cid:durableId="545263233">
    <w:abstractNumId w:val="15"/>
  </w:num>
  <w:num w:numId="74" w16cid:durableId="753211702">
    <w:abstractNumId w:val="25"/>
  </w:num>
  <w:num w:numId="75" w16cid:durableId="261376264">
    <w:abstractNumId w:val="21"/>
  </w:num>
  <w:num w:numId="76" w16cid:durableId="695037021">
    <w:abstractNumId w:val="16"/>
  </w:num>
  <w:num w:numId="77" w16cid:durableId="1087271116">
    <w:abstractNumId w:val="17"/>
  </w:num>
  <w:num w:numId="78" w16cid:durableId="486092348">
    <w:abstractNumId w:val="75"/>
  </w:num>
  <w:num w:numId="79" w16cid:durableId="128986564">
    <w:abstractNumId w:val="12"/>
  </w:num>
  <w:num w:numId="80" w16cid:durableId="811599178">
    <w:abstractNumId w:val="32"/>
  </w:num>
  <w:num w:numId="81" w16cid:durableId="417361798">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5B43"/>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2C34"/>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E33"/>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4E8702-1208-4E49-AAF1-02870469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28272</Words>
  <Characters>161156</Characters>
  <Application>Microsoft Office Word</Application>
  <DocSecurity>0</DocSecurity>
  <Lines>1342</Lines>
  <Paragraphs>378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Shan, Yujia/单 宇佳</cp:lastModifiedBy>
  <cp:revision>2</cp:revision>
  <dcterms:created xsi:type="dcterms:W3CDTF">2022-10-11T10:49:00Z</dcterms:created>
  <dcterms:modified xsi:type="dcterms:W3CDTF">2022-10-11T10:49:00Z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2022-10-11T10:49:12Z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5736022f-e2eb-4668-b93c-32b20453f2be</vt:lpwstr>
  </property>
  <property fmtid="{D5CDD505-2E9C-101B-9397-08002B2CF9AE}" pid="13" name="MSIP_Label_a7295cc1-d279-42ac-ab4d-3b0f4fece050_ContentBits">
    <vt:lpwstr>0</vt:lpwstr>
  </property>
</Properties>
</file>