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A92DE5"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ListParagraph"/>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ListParagraph"/>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A9B9A4A" w14:textId="77777777" w:rsidR="00F97DD4" w:rsidRDefault="00F97DD4" w:rsidP="00557DB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E7ADBFA" w14:textId="77777777" w:rsidR="00F97DD4" w:rsidRPr="00C30182" w:rsidRDefault="00F97DD4" w:rsidP="00557DB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TableGrid"/>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557DB2">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CATT, Lenovo, Spreadtrum</w:t>
            </w:r>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minimize possibility of unsync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sidRPr="00116CDE">
              <w:rPr>
                <w:rFonts w:ascii="Times New Roman" w:eastAsia="DengXian" w:hAnsi="Times New Roman" w:cs="Times New Roman"/>
                <w:sz w:val="20"/>
                <w:szCs w:val="20"/>
                <w:lang w:val="en-GB" w:eastAsia="zh-CN"/>
              </w:rPr>
              <w:t xml:space="preserve"> support FL’s proposal 1-3</w:t>
            </w:r>
            <w:r>
              <w:rPr>
                <w:rFonts w:ascii="Times New Roman" w:eastAsia="DengXian" w:hAnsi="Times New Roman" w:cs="Times New Roman"/>
                <w:sz w:val="20"/>
                <w:szCs w:val="20"/>
                <w:lang w:val="en-GB" w:eastAsia="zh-CN"/>
              </w:rPr>
              <w:t>, but the modified version from Nokia seems to be acceptable.</w:t>
            </w:r>
          </w:p>
        </w:tc>
      </w:tr>
      <w:tr w:rsidR="00D85422" w:rsidRPr="007F3E63" w14:paraId="1E35EEA0" w14:textId="77777777" w:rsidTr="00557DB2">
        <w:tc>
          <w:tcPr>
            <w:tcW w:w="2065" w:type="dxa"/>
          </w:tcPr>
          <w:p w14:paraId="0808EE51" w14:textId="3FFF0153" w:rsidR="00D85422" w:rsidRDefault="00D85422" w:rsidP="00557DB2">
            <w:pPr>
              <w:jc w:val="both"/>
              <w:rPr>
                <w:rFonts w:ascii="Times New Roman" w:eastAsia="Malgun Gothic" w:hAnsi="Times New Roman" w:cs="Times New Roman" w:hint="eastAsia"/>
                <w:lang w:eastAsia="ko-KR"/>
              </w:rPr>
            </w:pPr>
          </w:p>
        </w:tc>
        <w:tc>
          <w:tcPr>
            <w:tcW w:w="7285" w:type="dxa"/>
          </w:tcPr>
          <w:p w14:paraId="59AB5DAF" w14:textId="77777777" w:rsidR="00D85422" w:rsidRDefault="00D85422" w:rsidP="00557DB2">
            <w:pPr>
              <w:spacing w:line="256" w:lineRule="auto"/>
              <w:jc w:val="both"/>
              <w:rPr>
                <w:rFonts w:ascii="Times New Roman" w:eastAsia="Malgun Gothic" w:hAnsi="Times New Roman" w:cs="Times New Roman"/>
                <w:sz w:val="20"/>
                <w:szCs w:val="20"/>
                <w:lang w:val="en-GB" w:eastAsia="ko-KR"/>
              </w:rPr>
            </w:pPr>
          </w:p>
        </w:tc>
      </w:tr>
    </w:tbl>
    <w:p w14:paraId="4EFAE4AE" w14:textId="77777777"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w:t>
      </w:r>
      <w:r>
        <w:rPr>
          <w:rFonts w:ascii="Times New Roman" w:hAnsi="Times New Roman" w:cs="Times New Roman"/>
          <w:sz w:val="20"/>
          <w:szCs w:val="20"/>
          <w:lang w:val="en-GB"/>
        </w:rPr>
        <w:lastRenderedPageBreak/>
        <w:t>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04D009" w14:textId="77777777" w:rsidR="00557DB2" w:rsidRPr="002510B9"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ListParagraph"/>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lastRenderedPageBreak/>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lastRenderedPageBreak/>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Xiaomi, Mediatek,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Malgun Gothic" w:hAnsi="Times New Roman" w:cs="Times New Roman"/>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r w:rsidR="00D85422" w:rsidRPr="00B355D7" w14:paraId="78BBC662" w14:textId="77777777" w:rsidTr="00557DB2">
        <w:tc>
          <w:tcPr>
            <w:tcW w:w="2065" w:type="dxa"/>
          </w:tcPr>
          <w:p w14:paraId="4855DED6" w14:textId="601B54D4" w:rsidR="00D85422" w:rsidRDefault="00D85422" w:rsidP="00557DB2">
            <w:pPr>
              <w:jc w:val="both"/>
              <w:rPr>
                <w:rFonts w:ascii="Times New Roman" w:eastAsia="Malgun Gothic" w:hAnsi="Times New Roman" w:cs="Times New Roman" w:hint="eastAsia"/>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56CA5D62"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6F8764F"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1C023D1F" w14:textId="77777777" w:rsidR="00D85422" w:rsidRDefault="00D85422" w:rsidP="00557DB2">
            <w:pPr>
              <w:jc w:val="both"/>
              <w:rPr>
                <w:rFonts w:ascii="Times New Roman" w:eastAsia="Malgun Gothic" w:hAnsi="Times New Roman" w:cs="Times New Roman"/>
                <w:sz w:val="20"/>
                <w:szCs w:val="20"/>
                <w:lang w:val="en-GB" w:eastAsia="ko-KR"/>
              </w:rPr>
            </w:pPr>
          </w:p>
          <w:p w14:paraId="215298C7" w14:textId="43333766"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w:t>
            </w:r>
            <w:r w:rsidR="00643EAA">
              <w:rPr>
                <w:rFonts w:ascii="Times New Roman" w:eastAsia="Malgun Gothic" w:hAnsi="Times New Roman" w:cs="Times New Roman"/>
                <w:sz w:val="20"/>
                <w:szCs w:val="20"/>
                <w:lang w:val="en-GB" w:eastAsia="ko-KR"/>
              </w:rPr>
              <w:t xml:space="preserve">Please feel free to suggest another wording. </w:t>
            </w:r>
            <w:r>
              <w:rPr>
                <w:rFonts w:ascii="Times New Roman" w:eastAsia="Malgun Gothic" w:hAnsi="Times New Roman" w:cs="Times New Roman"/>
                <w:sz w:val="20"/>
                <w:szCs w:val="20"/>
                <w:lang w:val="en-GB" w:eastAsia="ko-KR"/>
              </w:rPr>
              <w:t xml:space="preserve">I don’t understand the relationship with PUSCH repetition type A or TBoMS? Or do you mean that you would like to add these to the list? </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20B76564"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DengXian" w:hAnsi="Times New Roman" w:cs="Times New Roman"/>
                <w:sz w:val="20"/>
                <w:szCs w:val="20"/>
                <w:lang w:val="en-GB" w:eastAsia="zh-CN"/>
              </w:rPr>
            </w:pPr>
          </w:p>
          <w:p w14:paraId="043BC88D"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48974D6" w14:textId="77777777" w:rsidR="00AB184D" w:rsidRDefault="00AB184D" w:rsidP="00AB184D">
            <w:pPr>
              <w:jc w:val="both"/>
              <w:rPr>
                <w:rFonts w:ascii="Times New Roman" w:eastAsia="DengXian" w:hAnsi="Times New Roman" w:cs="Times New Roman"/>
                <w:sz w:val="20"/>
                <w:szCs w:val="20"/>
                <w:lang w:val="en-GB" w:eastAsia="zh-CN"/>
              </w:rPr>
            </w:pPr>
          </w:p>
          <w:p w14:paraId="768E8345" w14:textId="2853DE48"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w:t>
            </w:r>
            <w:r>
              <w:rPr>
                <w:rFonts w:ascii="Times New Roman" w:hAnsi="Times New Roman" w:cs="Times New Roman"/>
                <w:sz w:val="20"/>
                <w:szCs w:val="20"/>
                <w:lang w:val="en-GB"/>
              </w:rPr>
              <w:lastRenderedPageBreak/>
              <w:t>often as our view of the reason to change waveform is based on SRS and gNB measurement.</w:t>
            </w:r>
          </w:p>
          <w:p w14:paraId="1DF0C372" w14:textId="38AB8DF2" w:rsidR="008B0EE9"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don’t </w:t>
            </w:r>
            <w:r w:rsidRPr="00557DB2">
              <w:rPr>
                <w:rFonts w:ascii="Times New Roman" w:eastAsia="Malgun Gothic" w:hAnsi="Times New Roman" w:cs="Times New Roman"/>
                <w:sz w:val="20"/>
                <w:szCs w:val="20"/>
                <w:lang w:val="en-GB" w:eastAsia="ko-KR"/>
              </w:rPr>
              <w:t>think it's appropriate to change the waveform frequently.</w:t>
            </w:r>
            <w:r>
              <w:t xml:space="preserve"> </w:t>
            </w:r>
            <w:r w:rsidRPr="00557DB2">
              <w:rPr>
                <w:rFonts w:ascii="Times New Roman" w:eastAsia="Malgun Gothic" w:hAnsi="Times New Roman" w:cs="Times New Roman"/>
                <w:sz w:val="20"/>
                <w:szCs w:val="20"/>
                <w:lang w:val="en-GB" w:eastAsia="ko-KR"/>
              </w:rPr>
              <w:t xml:space="preserve">However, since </w:t>
            </w:r>
            <w:r w:rsidR="00605574">
              <w:rPr>
                <w:rFonts w:ascii="Times New Roman" w:eastAsia="Malgun Gothic" w:hAnsi="Times New Roman" w:cs="Times New Roman"/>
                <w:sz w:val="20"/>
                <w:szCs w:val="20"/>
                <w:lang w:val="en-GB" w:eastAsia="ko-KR"/>
              </w:rPr>
              <w:t>gNB will be able to handle it</w:t>
            </w:r>
            <w:r w:rsidRPr="00557DB2">
              <w:rPr>
                <w:rFonts w:ascii="Times New Roman" w:eastAsia="Malgun Gothic" w:hAnsi="Times New Roman" w:cs="Times New Roman"/>
                <w:sz w:val="20"/>
                <w:szCs w:val="20"/>
                <w:lang w:val="en-GB" w:eastAsia="ko-KR"/>
              </w:rPr>
              <w:t xml:space="preserve">, it is not necessary to specify the </w:t>
            </w:r>
            <w:r>
              <w:rPr>
                <w:rFonts w:ascii="Times New Roman" w:eastAsia="Malgun Gothic" w:hAnsi="Times New Roman" w:cs="Times New Roman"/>
                <w:sz w:val="20"/>
                <w:szCs w:val="20"/>
                <w:lang w:val="en-GB" w:eastAsia="ko-KR"/>
              </w:rPr>
              <w:t>UE behavior.</w:t>
            </w:r>
          </w:p>
        </w:tc>
      </w:tr>
      <w:tr w:rsidR="001E1CEB" w:rsidRPr="00605574" w14:paraId="6884468C" w14:textId="77777777" w:rsidTr="00557DB2">
        <w:tc>
          <w:tcPr>
            <w:tcW w:w="2065" w:type="dxa"/>
          </w:tcPr>
          <w:p w14:paraId="300575F7" w14:textId="472F3D69" w:rsidR="001E1CEB" w:rsidRPr="001E1CEB" w:rsidRDefault="001E1CEB" w:rsidP="00E55F2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3AA815C" w14:textId="05B389EF" w:rsidR="001E1CEB" w:rsidRDefault="001E1CEB" w:rsidP="001E1CE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F317686" w14:textId="028BF6D2" w:rsidR="001E1CEB" w:rsidRDefault="001E1CEB" w:rsidP="001E1CEB">
            <w:pPr>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5C8B568D" w14:textId="5F468DE2" w:rsidR="001E1CEB" w:rsidRDefault="001E1CEB" w:rsidP="001E1CEB">
            <w:pPr>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gNB to judge the switching, the </w:t>
            </w:r>
            <w:r w:rsidRPr="001E1CEB">
              <w:rPr>
                <w:rFonts w:ascii="Times New Roman" w:hAnsi="Times New Roman" w:cs="Times New Roman"/>
                <w:sz w:val="20"/>
                <w:szCs w:val="20"/>
                <w:lang w:val="en-GB"/>
              </w:rPr>
              <w:t>necessity</w:t>
            </w:r>
            <w:r>
              <w:rPr>
                <w:rFonts w:ascii="Times New Roman" w:hAnsi="Times New Roman" w:cs="Times New Roman"/>
                <w:sz w:val="20"/>
                <w:szCs w:val="20"/>
                <w:lang w:val="en-GB"/>
              </w:rPr>
              <w:t xml:space="preserve"> to introduce new input seems little.</w:t>
            </w: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Mediatek) think the discussions have somewhat lower priority compared to other topics. One company (Ericsson) </w:t>
      </w:r>
      <w:r>
        <w:rPr>
          <w:rFonts w:ascii="Times New Roman" w:hAnsi="Times New Roman" w:cs="Times New Roman"/>
          <w:sz w:val="20"/>
          <w:szCs w:val="20"/>
          <w:lang w:val="en-GB"/>
        </w:rPr>
        <w:lastRenderedPageBreak/>
        <w:t>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information on power headroom and/or Pcmax for a waveform</w:t>
            </w:r>
          </w:p>
          <w:p w14:paraId="0B98B963"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change on power headroom and/or Pcmax assuming change of waveform</w:t>
            </w:r>
          </w:p>
          <w:p w14:paraId="7D0CD24B"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DBF5087" w14:textId="77777777" w:rsidR="00B418F6" w:rsidRPr="00D558CA"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4F68" w14:textId="77777777" w:rsidR="00FC7397" w:rsidRDefault="00FC7397">
      <w:pPr>
        <w:spacing w:after="0" w:line="240" w:lineRule="auto"/>
      </w:pPr>
      <w:r>
        <w:separator/>
      </w:r>
    </w:p>
  </w:endnote>
  <w:endnote w:type="continuationSeparator" w:id="0">
    <w:p w14:paraId="68C424AD" w14:textId="77777777" w:rsidR="00FC7397" w:rsidRDefault="00FC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57DB2" w:rsidRDefault="00557DB2">
    <w:pPr>
      <w:pStyle w:val="Footer"/>
    </w:pPr>
    <w:r>
      <w:rPr>
        <w:noProof/>
        <w:lang w:eastAsia="zh-CN"/>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557DB2" w:rsidRPr="005D0157" w:rsidRDefault="00557DB2"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B0vl68dAwAAOAYAAA4AAAAAAAAA&#10;AAAAAAAALgIAAGRycy9lMm9Eb2MueG1sUEsBAi0AFAAGAAgAAAAhABgFQNzeAAAACwEAAA8AAAAA&#10;AAAAAAAAAAAAdwUAAGRycy9kb3ducmV2LnhtbFBLBQYAAAAABAAEAPMAAACCBgAAAAA=&#10;" o:allowincell="f" filled="f" stroked="f" strokeweight=".5pt">
              <v:textbox inset="20pt,0,,0">
                <w:txbxContent>
                  <w:p w14:paraId="54138AF3" w14:textId="34832DE6" w:rsidR="00557DB2" w:rsidRPr="005D0157" w:rsidRDefault="00557DB2" w:rsidP="005D015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3CD0" w14:textId="77777777" w:rsidR="00FC7397" w:rsidRDefault="00FC7397">
      <w:pPr>
        <w:spacing w:after="0" w:line="240" w:lineRule="auto"/>
      </w:pPr>
      <w:r>
        <w:separator/>
      </w:r>
    </w:p>
  </w:footnote>
  <w:footnote w:type="continuationSeparator" w:id="0">
    <w:p w14:paraId="0AD7D3DB" w14:textId="77777777" w:rsidR="00FC7397" w:rsidRDefault="00FC7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25261667">
    <w:abstractNumId w:val="7"/>
  </w:num>
  <w:num w:numId="2" w16cid:durableId="426538121">
    <w:abstractNumId w:val="37"/>
  </w:num>
  <w:num w:numId="3" w16cid:durableId="1920022838">
    <w:abstractNumId w:val="27"/>
  </w:num>
  <w:num w:numId="4" w16cid:durableId="1273439946">
    <w:abstractNumId w:val="13"/>
  </w:num>
  <w:num w:numId="5" w16cid:durableId="691109417">
    <w:abstractNumId w:val="14"/>
  </w:num>
  <w:num w:numId="6" w16cid:durableId="2012904117">
    <w:abstractNumId w:val="32"/>
  </w:num>
  <w:num w:numId="7" w16cid:durableId="370881158">
    <w:abstractNumId w:val="26"/>
  </w:num>
  <w:num w:numId="8" w16cid:durableId="405541973">
    <w:abstractNumId w:val="28"/>
  </w:num>
  <w:num w:numId="9" w16cid:durableId="1714037004">
    <w:abstractNumId w:val="24"/>
  </w:num>
  <w:num w:numId="10" w16cid:durableId="473066916">
    <w:abstractNumId w:val="21"/>
  </w:num>
  <w:num w:numId="11" w16cid:durableId="1152596855">
    <w:abstractNumId w:val="52"/>
  </w:num>
  <w:num w:numId="12" w16cid:durableId="721028363">
    <w:abstractNumId w:val="44"/>
  </w:num>
  <w:num w:numId="13" w16cid:durableId="2104916021">
    <w:abstractNumId w:val="30"/>
  </w:num>
  <w:num w:numId="14" w16cid:durableId="101346514">
    <w:abstractNumId w:val="6"/>
  </w:num>
  <w:num w:numId="15" w16cid:durableId="626664362">
    <w:abstractNumId w:val="36"/>
  </w:num>
  <w:num w:numId="16" w16cid:durableId="1330719970">
    <w:abstractNumId w:val="1"/>
  </w:num>
  <w:num w:numId="17" w16cid:durableId="108473178">
    <w:abstractNumId w:val="22"/>
  </w:num>
  <w:num w:numId="18" w16cid:durableId="585190085">
    <w:abstractNumId w:val="19"/>
  </w:num>
  <w:num w:numId="19" w16cid:durableId="2003511047">
    <w:abstractNumId w:val="20"/>
  </w:num>
  <w:num w:numId="20" w16cid:durableId="43480820">
    <w:abstractNumId w:val="3"/>
  </w:num>
  <w:num w:numId="21" w16cid:durableId="44719847">
    <w:abstractNumId w:val="5"/>
  </w:num>
  <w:num w:numId="22" w16cid:durableId="1951547539">
    <w:abstractNumId w:val="23"/>
  </w:num>
  <w:num w:numId="23" w16cid:durableId="1191916342">
    <w:abstractNumId w:val="49"/>
  </w:num>
  <w:num w:numId="24" w16cid:durableId="929897553">
    <w:abstractNumId w:val="53"/>
  </w:num>
  <w:num w:numId="25" w16cid:durableId="1635600902">
    <w:abstractNumId w:val="11"/>
  </w:num>
  <w:num w:numId="26" w16cid:durableId="36517566">
    <w:abstractNumId w:val="33"/>
  </w:num>
  <w:num w:numId="27" w16cid:durableId="857306612">
    <w:abstractNumId w:val="50"/>
  </w:num>
  <w:num w:numId="28" w16cid:durableId="378864878">
    <w:abstractNumId w:val="47"/>
  </w:num>
  <w:num w:numId="29" w16cid:durableId="1377661037">
    <w:abstractNumId w:val="29"/>
  </w:num>
  <w:num w:numId="30" w16cid:durableId="815687635">
    <w:abstractNumId w:val="0"/>
  </w:num>
  <w:num w:numId="31" w16cid:durableId="1398359175">
    <w:abstractNumId w:val="17"/>
  </w:num>
  <w:num w:numId="32" w16cid:durableId="2079740861">
    <w:abstractNumId w:val="2"/>
  </w:num>
  <w:num w:numId="33" w16cid:durableId="951472125">
    <w:abstractNumId w:val="4"/>
  </w:num>
  <w:num w:numId="34" w16cid:durableId="1295329798">
    <w:abstractNumId w:val="35"/>
  </w:num>
  <w:num w:numId="35" w16cid:durableId="928083983">
    <w:abstractNumId w:val="31"/>
  </w:num>
  <w:num w:numId="36" w16cid:durableId="1598757789">
    <w:abstractNumId w:val="18"/>
  </w:num>
  <w:num w:numId="37" w16cid:durableId="413935241">
    <w:abstractNumId w:val="43"/>
  </w:num>
  <w:num w:numId="38" w16cid:durableId="1551763039">
    <w:abstractNumId w:val="39"/>
  </w:num>
  <w:num w:numId="39" w16cid:durableId="985158599">
    <w:abstractNumId w:val="16"/>
  </w:num>
  <w:num w:numId="40" w16cid:durableId="1447045685">
    <w:abstractNumId w:val="42"/>
  </w:num>
  <w:num w:numId="41" w16cid:durableId="2117021572">
    <w:abstractNumId w:val="48"/>
  </w:num>
  <w:num w:numId="42" w16cid:durableId="576130784">
    <w:abstractNumId w:val="15"/>
  </w:num>
  <w:num w:numId="43" w16cid:durableId="1679499928">
    <w:abstractNumId w:val="45"/>
  </w:num>
  <w:num w:numId="44" w16cid:durableId="2116706719">
    <w:abstractNumId w:val="9"/>
  </w:num>
  <w:num w:numId="45" w16cid:durableId="1705448561">
    <w:abstractNumId w:val="34"/>
  </w:num>
  <w:num w:numId="46" w16cid:durableId="1696416910">
    <w:abstractNumId w:val="38"/>
  </w:num>
  <w:num w:numId="47" w16cid:durableId="146090076">
    <w:abstractNumId w:val="51"/>
  </w:num>
  <w:num w:numId="48" w16cid:durableId="992224587">
    <w:abstractNumId w:val="12"/>
  </w:num>
  <w:num w:numId="49" w16cid:durableId="156699162">
    <w:abstractNumId w:val="40"/>
  </w:num>
  <w:num w:numId="50" w16cid:durableId="145707818">
    <w:abstractNumId w:val="41"/>
  </w:num>
  <w:num w:numId="51" w16cid:durableId="485055071">
    <w:abstractNumId w:val="8"/>
  </w:num>
  <w:num w:numId="52" w16cid:durableId="142505449">
    <w:abstractNumId w:val="10"/>
  </w:num>
  <w:num w:numId="53" w16cid:durableId="1957173383">
    <w:abstractNumId w:val="25"/>
  </w:num>
  <w:num w:numId="54" w16cid:durableId="1829049748">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AFEF37-23E1-40D8-9CB2-75EFEF2C8F28}">
  <ds:schemaRefs>
    <ds:schemaRef ds:uri="http://schemas.openxmlformats.org/officeDocument/2006/bibliography"/>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15004</Words>
  <Characters>85523</Characters>
  <Application>Microsoft Office Word</Application>
  <DocSecurity>0</DocSecurity>
  <Lines>712</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10</cp:revision>
  <dcterms:created xsi:type="dcterms:W3CDTF">2022-10-13T22:59:00Z</dcterms:created>
  <dcterms:modified xsi:type="dcterms:W3CDTF">2022-10-14T04:55:00Z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