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3E148F"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DengXian"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proofErr w:type="gramStart"/>
            <w:r w:rsidRPr="00682569">
              <w:rPr>
                <w:rFonts w:ascii="Times New Roman" w:hAnsi="Times New Roman" w:cs="Times New Roman"/>
                <w:color w:val="FF0000"/>
                <w:sz w:val="20"/>
                <w:szCs w:val="20"/>
                <w:lang w:val="en-GB"/>
              </w:rPr>
              <w:t>are</w:t>
            </w:r>
            <w:proofErr w:type="gramEnd"/>
            <w:r w:rsidRPr="00682569">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w:t>
      </w:r>
      <w:r>
        <w:rPr>
          <w:rFonts w:ascii="Times New Roman" w:hAnsi="Times New Roman" w:cs="Times New Roman"/>
          <w:sz w:val="20"/>
          <w:szCs w:val="20"/>
          <w:lang w:val="en-GB"/>
        </w:rPr>
        <w:lastRenderedPageBreak/>
        <w:t>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r>
              <w:rPr>
                <w:rFonts w:ascii="Times New Roman" w:hAnsi="Times New Roman" w:cs="Times New Roman"/>
                <w:sz w:val="20"/>
                <w:szCs w:val="20"/>
                <w:lang w:val="en-GB"/>
              </w:rPr>
              <w:lastRenderedPageBreak/>
              <w:t>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hint="eastAsia"/>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i.e. “new field” or “reuse existing field” instead of “explicit” or “implicit”. With the </w:t>
      </w:r>
      <w:r>
        <w:rPr>
          <w:rFonts w:ascii="Times New Roman" w:hAnsi="Times New Roman" w:cs="Times New Roman"/>
          <w:sz w:val="20"/>
          <w:szCs w:val="20"/>
        </w:rPr>
        <w:lastRenderedPageBreak/>
        <w:t>“explicit/implicit”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lastRenderedPageBreak/>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lastRenderedPageBreak/>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w:t>
      </w:r>
      <w:r>
        <w:rPr>
          <w:rFonts w:ascii="Times New Roman" w:hAnsi="Times New Roman" w:cs="Times New Roman"/>
          <w:sz w:val="20"/>
          <w:szCs w:val="20"/>
          <w:lang w:val="en-GB"/>
        </w:rPr>
        <w:lastRenderedPageBreak/>
        <w:t>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hint="eastAsia"/>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sidRPr="00DE21BA">
              <w:rPr>
                <w:rFonts w:ascii="Times New Roman" w:eastAsia="DengXian" w:hAnsi="Times New Roman" w:cs="Times New Roman"/>
                <w:color w:val="FF0000"/>
                <w:sz w:val="20"/>
                <w:szCs w:val="20"/>
                <w:lang w:val="en-GB" w:eastAsia="zh-CN"/>
              </w:rPr>
              <w:t>add also</w:t>
            </w:r>
            <w:proofErr w:type="gramEnd"/>
            <w:r w:rsidRPr="00DE21BA">
              <w:rPr>
                <w:rFonts w:ascii="Times New Roman" w:eastAsia="DengXian" w:hAnsi="Times New Roman" w:cs="Times New Roman"/>
                <w:color w:val="FF0000"/>
                <w:sz w:val="20"/>
                <w:szCs w:val="20"/>
                <w:lang w:val="en-GB" w:eastAsia="zh-CN"/>
              </w:rPr>
              <w:t xml:space="preserve">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sidRPr="00DE21BA">
              <w:rPr>
                <w:rFonts w:ascii="Times New Roman" w:eastAsia="DengXian" w:hAnsi="Times New Roman" w:cs="Times New Roman"/>
                <w:color w:val="FF0000"/>
                <w:sz w:val="20"/>
                <w:szCs w:val="20"/>
                <w:lang w:val="en-GB" w:eastAsia="zh-CN"/>
              </w:rPr>
              <w:t>add also</w:t>
            </w:r>
            <w:proofErr w:type="gramEnd"/>
            <w:r w:rsidRPr="00DE21BA">
              <w:rPr>
                <w:rFonts w:ascii="Times New Roman" w:eastAsia="DengXian" w:hAnsi="Times New Roman" w:cs="Times New Roman"/>
                <w:color w:val="FF0000"/>
                <w:sz w:val="20"/>
                <w:szCs w:val="20"/>
                <w:lang w:val="en-GB" w:eastAsia="zh-CN"/>
              </w:rPr>
              <w:t xml:space="preserve">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sidRPr="003E148F">
              <w:rPr>
                <w:rFonts w:ascii="Times New Roman" w:eastAsia="DengXian" w:hAnsi="Times New Roman" w:cs="Times New Roman"/>
                <w:sz w:val="20"/>
                <w:szCs w:val="20"/>
                <w:lang w:val="en-GB" w:eastAsia="zh-CN"/>
              </w:rPr>
              <w:t>main-bullet</w:t>
            </w:r>
            <w:proofErr w:type="gramEnd"/>
            <w:r w:rsidRPr="003E148F">
              <w:rPr>
                <w:rFonts w:ascii="Times New Roman" w:eastAsia="DengXian" w:hAnsi="Times New Roman" w:cs="Times New Roman"/>
                <w:sz w:val="20"/>
                <w:szCs w:val="20"/>
                <w:lang w:val="en-GB" w:eastAsia="zh-CN"/>
              </w:rPr>
              <w:t xml:space="preserve">) FSS point saying that at least Alt. 1 and Alt. 3 could be both considered would help. </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lastRenderedPageBreak/>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lastRenderedPageBreak/>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AA81" w14:textId="77777777" w:rsidR="00FA12D3" w:rsidRDefault="00FA12D3">
      <w:pPr>
        <w:spacing w:after="0" w:line="240" w:lineRule="auto"/>
      </w:pPr>
      <w:r>
        <w:separator/>
      </w:r>
    </w:p>
  </w:endnote>
  <w:endnote w:type="continuationSeparator" w:id="0">
    <w:p w14:paraId="72CCB286" w14:textId="77777777" w:rsidR="00FA12D3" w:rsidRDefault="00FA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78D" w14:textId="77777777" w:rsidR="00FA12D3" w:rsidRDefault="00FA12D3">
      <w:pPr>
        <w:spacing w:after="0" w:line="240" w:lineRule="auto"/>
      </w:pPr>
      <w:r>
        <w:separator/>
      </w:r>
    </w:p>
  </w:footnote>
  <w:footnote w:type="continuationSeparator" w:id="0">
    <w:p w14:paraId="3ACF8D57" w14:textId="77777777" w:rsidR="00FA12D3" w:rsidRDefault="00FA1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1"/>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8"/>
  </w:num>
  <w:num w:numId="24">
    <w:abstractNumId w:val="52"/>
  </w:num>
  <w:num w:numId="25">
    <w:abstractNumId w:val="11"/>
  </w:num>
  <w:num w:numId="26">
    <w:abstractNumId w:val="33"/>
  </w:num>
  <w:num w:numId="27">
    <w:abstractNumId w:val="49"/>
  </w:num>
  <w:num w:numId="28">
    <w:abstractNumId w:val="46"/>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7"/>
  </w:num>
  <w:num w:numId="42">
    <w:abstractNumId w:val="15"/>
  </w:num>
  <w:num w:numId="43">
    <w:abstractNumId w:val="45"/>
  </w:num>
  <w:num w:numId="44">
    <w:abstractNumId w:val="9"/>
  </w:num>
  <w:num w:numId="45">
    <w:abstractNumId w:val="34"/>
  </w:num>
  <w:num w:numId="46">
    <w:abstractNumId w:val="38"/>
  </w:num>
  <w:num w:numId="47">
    <w:abstractNumId w:val="50"/>
  </w:num>
  <w:num w:numId="48">
    <w:abstractNumId w:val="12"/>
  </w:num>
  <w:num w:numId="49">
    <w:abstractNumId w:val="40"/>
  </w:num>
  <w:num w:numId="50">
    <w:abstractNumId w:val="41"/>
  </w:num>
  <w:num w:numId="51">
    <w:abstractNumId w:val="8"/>
  </w:num>
  <w:num w:numId="52">
    <w:abstractNumId w:val="10"/>
  </w:num>
  <w:num w:numId="5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47C4D89-D146-4417-B311-8695C65C8E2D}">
  <ds:schemaRefs>
    <ds:schemaRef ds:uri="http://schemas.openxmlformats.org/officeDocument/2006/bibliography"/>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12789</Words>
  <Characters>72900</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Nokia/NSB2</cp:lastModifiedBy>
  <cp:revision>4</cp:revision>
  <dcterms:created xsi:type="dcterms:W3CDTF">2022-10-13T08:58:00Z</dcterms:created>
  <dcterms:modified xsi:type="dcterms:W3CDTF">2022-10-13T09:08:00Z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