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w:t>
            </w:r>
            <w:proofErr w:type="spellEnd"/>
            <w:r w:rsidRPr="00010FE5">
              <w:rPr>
                <w:rFonts w:ascii="Times New Roman" w:eastAsia="DengXian" w:hAnsi="Times New Roman" w:cs="Times New Roman"/>
                <w:i/>
                <w:iCs/>
                <w:sz w:val="20"/>
                <w:szCs w:val="20"/>
                <w:lang w:val="en-GB" w:eastAsia="zh-CN"/>
              </w:rPr>
              <w:t>-Config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736DA5">
        <w:tc>
          <w:tcPr>
            <w:tcW w:w="2065" w:type="dxa"/>
          </w:tcPr>
          <w:p w14:paraId="04E95B4C"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736DA5">
        <w:tc>
          <w:tcPr>
            <w:tcW w:w="2065" w:type="dxa"/>
          </w:tcPr>
          <w:p w14:paraId="59AB785F" w14:textId="7C85F640" w:rsidR="008B253B" w:rsidRDefault="008B253B"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 xml:space="preserve">up to 12 CG configurations con be configured in a BWP, different CG configurations can be of different waveforms. A UE can transmit PUSCH </w:t>
            </w:r>
            <w:r>
              <w:rPr>
                <w:rFonts w:ascii="Times New Roman" w:eastAsia="DengXian" w:hAnsi="Times New Roman" w:cs="Times New Roman"/>
                <w:lang w:val="en-GB" w:eastAsia="zh-CN"/>
              </w:rPr>
              <w:lastRenderedPageBreak/>
              <w:t>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736DA5">
        <w:tc>
          <w:tcPr>
            <w:tcW w:w="2065" w:type="dxa"/>
          </w:tcPr>
          <w:p w14:paraId="259EF7D5" w14:textId="77777777" w:rsidR="00736DA5" w:rsidRDefault="00736DA5" w:rsidP="00CA2C0D">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5E967B32"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736DA5">
        <w:tc>
          <w:tcPr>
            <w:tcW w:w="2065" w:type="dxa"/>
          </w:tcPr>
          <w:p w14:paraId="04DD903C" w14:textId="79993555" w:rsidR="00517267" w:rsidRDefault="00517267" w:rsidP="00CA2C0D">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736DA5">
        <w:tc>
          <w:tcPr>
            <w:tcW w:w="2065" w:type="dxa"/>
          </w:tcPr>
          <w:p w14:paraId="6026461D"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736DA5">
        <w:tc>
          <w:tcPr>
            <w:tcW w:w="2065" w:type="dxa"/>
          </w:tcPr>
          <w:p w14:paraId="6B47A35D" w14:textId="3EF1BD92" w:rsidR="00716A07" w:rsidRDefault="00716A07"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736DA5">
        <w:tc>
          <w:tcPr>
            <w:tcW w:w="2065" w:type="dxa"/>
          </w:tcPr>
          <w:p w14:paraId="2E52DEAF"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736DA5">
        <w:tc>
          <w:tcPr>
            <w:tcW w:w="2065" w:type="dxa"/>
          </w:tcPr>
          <w:p w14:paraId="563517C1" w14:textId="099E143B" w:rsidR="00D146A8" w:rsidRDefault="00D146A8"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[2][3][4][9][19][20][29]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[26][29]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lastRenderedPageBreak/>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have concern on adding new field due to overhead increase. Similarly, reusing existing field also reduces the usage of the field (for explicit solution) or reduce </w:t>
            </w:r>
            <w:r>
              <w:rPr>
                <w:rFonts w:ascii="Times New Roman" w:hAnsi="Times New Roman" w:cs="Times New Roman"/>
                <w:sz w:val="20"/>
                <w:szCs w:val="20"/>
              </w:rPr>
              <w:lastRenderedPageBreak/>
              <w:t>scheduling flexibility (for implicit solution). Therefore, solutions to minimize the impacts should be considered.</w:t>
            </w:r>
          </w:p>
        </w:tc>
      </w:tr>
      <w:tr w:rsidR="00E53322" w14:paraId="65C9F483" w14:textId="77777777">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736DA5">
        <w:tc>
          <w:tcPr>
            <w:tcW w:w="2065" w:type="dxa"/>
          </w:tcPr>
          <w:p w14:paraId="52DE6F54"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CA2C0D">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736DA5">
        <w:tc>
          <w:tcPr>
            <w:tcW w:w="2065" w:type="dxa"/>
          </w:tcPr>
          <w:p w14:paraId="49B9CE54" w14:textId="0E8BA732" w:rsidR="003C03CB" w:rsidRDefault="003C03CB"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w:t>
            </w:r>
            <w:r>
              <w:rPr>
                <w:rFonts w:ascii="Times New Roman" w:hAnsi="Times New Roman" w:cs="Times New Roman"/>
                <w:sz w:val="20"/>
                <w:szCs w:val="20"/>
              </w:rPr>
              <w:t>is achieved in Topic#1</w:t>
            </w:r>
            <w:r>
              <w:rPr>
                <w:rFonts w:ascii="Times New Roman" w:hAnsi="Times New Roman" w:cs="Times New Roman"/>
                <w:sz w:val="20"/>
                <w:szCs w:val="20"/>
              </w:rPr>
              <w:t>, we can make down-selection for switching mechanism.</w:t>
            </w:r>
            <w:r>
              <w:rPr>
                <w:rFonts w:ascii="Times New Roman" w:hAnsi="Times New Roman" w:cs="Times New Roman"/>
                <w:sz w:val="20"/>
                <w:szCs w:val="20"/>
              </w:rPr>
              <w:t xml:space="preserve">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bl>
    <w:p w14:paraId="04A88852" w14:textId="77777777" w:rsidR="00736684" w:rsidRDefault="00736684">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736DA5">
        <w:tc>
          <w:tcPr>
            <w:tcW w:w="2065" w:type="dxa"/>
          </w:tcPr>
          <w:p w14:paraId="2296FBA3"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736DA5">
        <w:tc>
          <w:tcPr>
            <w:tcW w:w="2065" w:type="dxa"/>
          </w:tcPr>
          <w:p w14:paraId="38F1B405" w14:textId="0FA8C2A3" w:rsidR="001E7022" w:rsidRDefault="001E7022"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study some of these enhancements in future meetings. But for now we prefer to see some progress Topics #1 and #2.</w:t>
            </w:r>
            <w:r>
              <w:rPr>
                <w:rFonts w:ascii="Times New Roman" w:hAnsi="Times New Roman" w:cs="Times New Roman"/>
                <w:sz w:val="20"/>
                <w:szCs w:val="20"/>
                <w:lang w:val="en-GB"/>
              </w:rPr>
              <w:t xml:space="preserve"> </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0EB3" w14:textId="77777777" w:rsidR="000D613F" w:rsidRDefault="000D613F">
      <w:pPr>
        <w:spacing w:after="0" w:line="240" w:lineRule="auto"/>
      </w:pPr>
      <w:r>
        <w:separator/>
      </w:r>
    </w:p>
  </w:endnote>
  <w:endnote w:type="continuationSeparator" w:id="0">
    <w:p w14:paraId="3E53C227" w14:textId="77777777" w:rsidR="000D613F" w:rsidRDefault="000D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49" w14:textId="350E9D34" w:rsidR="00736684" w:rsidRDefault="0073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5203" w14:textId="77777777" w:rsidR="000D613F" w:rsidRDefault="000D613F">
      <w:pPr>
        <w:spacing w:after="0" w:line="240" w:lineRule="auto"/>
      </w:pPr>
      <w:r>
        <w:separator/>
      </w:r>
    </w:p>
  </w:footnote>
  <w:footnote w:type="continuationSeparator" w:id="0">
    <w:p w14:paraId="5FC8CD33" w14:textId="77777777" w:rsidR="000D613F" w:rsidRDefault="000D6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43C59FD"/>
    <w:multiLevelType w:val="singleLevel"/>
    <w:tmpl w:val="243C59FD"/>
    <w:lvl w:ilvl="0">
      <w:start w:val="1"/>
      <w:numFmt w:val="lowerLetter"/>
      <w:suff w:val="space"/>
      <w:lvlText w:val="%1)"/>
      <w:lvlJc w:val="left"/>
    </w:lvl>
  </w:abstractNum>
  <w:abstractNum w:abstractNumId="16"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7F0FA"/>
    <w:multiLevelType w:val="singleLevel"/>
    <w:tmpl w:val="3017F0FA"/>
    <w:lvl w:ilvl="0">
      <w:start w:val="1"/>
      <w:numFmt w:val="lowerLetter"/>
      <w:suff w:val="space"/>
      <w:lvlText w:val="%1)"/>
      <w:lvlJc w:val="left"/>
    </w:lvl>
  </w:abstractNum>
  <w:abstractNum w:abstractNumId="20"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7"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77508571">
    <w:abstractNumId w:val="7"/>
  </w:num>
  <w:num w:numId="2" w16cid:durableId="1468668443">
    <w:abstractNumId w:val="32"/>
  </w:num>
  <w:num w:numId="3" w16cid:durableId="1468741886">
    <w:abstractNumId w:val="23"/>
  </w:num>
  <w:num w:numId="4" w16cid:durableId="1416128136">
    <w:abstractNumId w:val="10"/>
  </w:num>
  <w:num w:numId="5" w16cid:durableId="1356495735">
    <w:abstractNumId w:val="11"/>
  </w:num>
  <w:num w:numId="6" w16cid:durableId="1449547043">
    <w:abstractNumId w:val="28"/>
  </w:num>
  <w:num w:numId="7" w16cid:durableId="2055232515">
    <w:abstractNumId w:val="22"/>
  </w:num>
  <w:num w:numId="8" w16cid:durableId="1579823128">
    <w:abstractNumId w:val="24"/>
  </w:num>
  <w:num w:numId="9" w16cid:durableId="2028678340">
    <w:abstractNumId w:val="21"/>
  </w:num>
  <w:num w:numId="10" w16cid:durableId="376662974">
    <w:abstractNumId w:val="18"/>
  </w:num>
  <w:num w:numId="11" w16cid:durableId="1645695395">
    <w:abstractNumId w:val="42"/>
  </w:num>
  <w:num w:numId="12" w16cid:durableId="1471439901">
    <w:abstractNumId w:val="36"/>
  </w:num>
  <w:num w:numId="13" w16cid:durableId="1598178071">
    <w:abstractNumId w:val="26"/>
  </w:num>
  <w:num w:numId="14" w16cid:durableId="1956523675">
    <w:abstractNumId w:val="6"/>
  </w:num>
  <w:num w:numId="15" w16cid:durableId="1474254727">
    <w:abstractNumId w:val="31"/>
  </w:num>
  <w:num w:numId="16" w16cid:durableId="1009868808">
    <w:abstractNumId w:val="1"/>
  </w:num>
  <w:num w:numId="17" w16cid:durableId="1479565674">
    <w:abstractNumId w:val="19"/>
  </w:num>
  <w:num w:numId="18" w16cid:durableId="475486942">
    <w:abstractNumId w:val="16"/>
  </w:num>
  <w:num w:numId="19" w16cid:durableId="488057689">
    <w:abstractNumId w:val="17"/>
  </w:num>
  <w:num w:numId="20" w16cid:durableId="79835034">
    <w:abstractNumId w:val="3"/>
  </w:num>
  <w:num w:numId="21" w16cid:durableId="524101007">
    <w:abstractNumId w:val="5"/>
  </w:num>
  <w:num w:numId="22" w16cid:durableId="897977576">
    <w:abstractNumId w:val="20"/>
  </w:num>
  <w:num w:numId="23" w16cid:durableId="1611863362">
    <w:abstractNumId w:val="40"/>
  </w:num>
  <w:num w:numId="24" w16cid:durableId="844981518">
    <w:abstractNumId w:val="43"/>
  </w:num>
  <w:num w:numId="25" w16cid:durableId="1188249815">
    <w:abstractNumId w:val="9"/>
  </w:num>
  <w:num w:numId="26" w16cid:durableId="1640724793">
    <w:abstractNumId w:val="29"/>
  </w:num>
  <w:num w:numId="27" w16cid:durableId="990057680">
    <w:abstractNumId w:val="41"/>
  </w:num>
  <w:num w:numId="28" w16cid:durableId="1756247749">
    <w:abstractNumId w:val="38"/>
  </w:num>
  <w:num w:numId="29" w16cid:durableId="1542664934">
    <w:abstractNumId w:val="25"/>
  </w:num>
  <w:num w:numId="30" w16cid:durableId="579367779">
    <w:abstractNumId w:val="0"/>
  </w:num>
  <w:num w:numId="31" w16cid:durableId="1500730229">
    <w:abstractNumId w:val="14"/>
  </w:num>
  <w:num w:numId="32" w16cid:durableId="1861963679">
    <w:abstractNumId w:val="2"/>
  </w:num>
  <w:num w:numId="33" w16cid:durableId="556822937">
    <w:abstractNumId w:val="4"/>
  </w:num>
  <w:num w:numId="34" w16cid:durableId="1142579946">
    <w:abstractNumId w:val="30"/>
  </w:num>
  <w:num w:numId="35" w16cid:durableId="1310094920">
    <w:abstractNumId w:val="27"/>
  </w:num>
  <w:num w:numId="36" w16cid:durableId="1627663978">
    <w:abstractNumId w:val="15"/>
  </w:num>
  <w:num w:numId="37" w16cid:durableId="685205395">
    <w:abstractNumId w:val="35"/>
  </w:num>
  <w:num w:numId="38" w16cid:durableId="1608662227">
    <w:abstractNumId w:val="33"/>
  </w:num>
  <w:num w:numId="39" w16cid:durableId="670570549">
    <w:abstractNumId w:val="13"/>
  </w:num>
  <w:num w:numId="40" w16cid:durableId="1741244536">
    <w:abstractNumId w:val="34"/>
  </w:num>
  <w:num w:numId="41" w16cid:durableId="1179004313">
    <w:abstractNumId w:val="39"/>
  </w:num>
  <w:num w:numId="42" w16cid:durableId="1270351621">
    <w:abstractNumId w:val="12"/>
  </w:num>
  <w:num w:numId="43" w16cid:durableId="1273131761">
    <w:abstractNumId w:val="37"/>
  </w:num>
  <w:num w:numId="44" w16cid:durableId="14788857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3E8912D6-F261-4773-925C-68C51147FAC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8898</Words>
  <Characters>50720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Umut Ugurlu</cp:lastModifiedBy>
  <cp:revision>18</cp:revision>
  <dcterms:created xsi:type="dcterms:W3CDTF">2022-10-12T18:10:00Z</dcterms:created>
  <dcterms:modified xsi:type="dcterms:W3CDTF">2022-10-12T19:07:00Z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ies>
</file>