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N</w:t>
            </w:r>
            <w:r>
              <w:rPr>
                <w:rFonts w:ascii="Times New Roman" w:hAnsi="Times New Roman" w:cs="Times New Roman"/>
                <w:sz w:val="20"/>
                <w:szCs w:val="20"/>
                <w:lang w:val="en-GB"/>
              </w:rPr>
              <w:t>aoya</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Shibaike</w:t>
            </w:r>
            <w:proofErr w:type="spellEnd"/>
          </w:p>
        </w:tc>
        <w:tc>
          <w:tcPr>
            <w:tcW w:w="5527" w:type="dxa"/>
          </w:tcPr>
          <w:p w14:paraId="04A8861D"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naoya.shibaike</w:t>
            </w:r>
            <w:proofErr w:type="spellEnd"/>
            <w:r>
              <w:rPr>
                <w:rFonts w:ascii="Times New Roman" w:hAnsi="Times New Roman" w:cs="Times New Roman"/>
                <w:sz w:val="20"/>
                <w:szCs w:val="20"/>
                <w:lang w:val="en-GB"/>
              </w:rPr>
              <w:t xml:space="preserv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hint="eastAsia"/>
                <w:sz w:val="20"/>
                <w:szCs w:val="20"/>
                <w:lang w:val="en-GB"/>
              </w:rPr>
              <w:t>Q</w:t>
            </w:r>
            <w:r>
              <w:rPr>
                <w:rFonts w:ascii="Times New Roman" w:hAnsi="Times New Roman" w:cs="Times New Roman"/>
                <w:sz w:val="20"/>
                <w:szCs w:val="20"/>
                <w:lang w:val="en-GB"/>
              </w:rPr>
              <w:t>iping</w:t>
            </w:r>
            <w:proofErr w:type="spellEnd"/>
            <w:r>
              <w:rPr>
                <w:rFonts w:ascii="Times New Roman" w:hAnsi="Times New Roman" w:cs="Times New Roman"/>
                <w:sz w:val="20"/>
                <w:szCs w:val="20"/>
                <w:lang w:val="en-GB"/>
              </w:rPr>
              <w:t xml:space="preserve">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zhipeng.lin</w:t>
            </w:r>
            <w:proofErr w:type="spellEnd"/>
            <w:r>
              <w:rPr>
                <w:rFonts w:ascii="Times New Roman" w:hAnsi="Times New Roman" w:cs="Times New Roman"/>
                <w:sz w:val="20"/>
                <w:szCs w:val="20"/>
                <w:lang w:val="en-GB"/>
              </w:rPr>
              <w:t xml:space="preserve">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Transsion</w:t>
            </w:r>
            <w:proofErr w:type="spellEnd"/>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proofErr w:type="spellStart"/>
            <w:r>
              <w:rPr>
                <w:rFonts w:ascii="Times New Roman" w:eastAsia="SimSun" w:hAnsi="Times New Roman" w:cs="Times New Roman" w:hint="eastAsia"/>
                <w:sz w:val="20"/>
                <w:szCs w:val="20"/>
                <w:lang w:eastAsia="zh-CN"/>
              </w:rPr>
              <w:t>Xingya</w:t>
            </w:r>
            <w:proofErr w:type="spellEnd"/>
            <w:r>
              <w:rPr>
                <w:rFonts w:ascii="Times New Roman" w:eastAsia="SimSun" w:hAnsi="Times New Roman" w:cs="Times New Roman" w:hint="eastAsia"/>
                <w:sz w:val="20"/>
                <w:szCs w:val="20"/>
                <w:lang w:eastAsia="zh-CN"/>
              </w:rPr>
              <w:t xml:space="preserve">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Sam </w:t>
            </w:r>
            <w:proofErr w:type="spellStart"/>
            <w:r>
              <w:rPr>
                <w:rFonts w:ascii="Times New Roman" w:eastAsia="DengXian" w:hAnsi="Times New Roman" w:cs="Times New Roman"/>
                <w:sz w:val="20"/>
                <w:szCs w:val="20"/>
                <w:lang w:val="en-GB" w:eastAsia="zh-CN"/>
              </w:rPr>
              <w:t>Atungsiri</w:t>
            </w:r>
            <w:proofErr w:type="spellEnd"/>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proofErr w:type="spellStart"/>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w:t>
            </w:r>
            <w:proofErr w:type="spellEnd"/>
            <w:r>
              <w:rPr>
                <w:rFonts w:ascii="Times New Roman" w:eastAsia="DengXian" w:hAnsi="Times New Roman" w:cs="Times New Roman"/>
                <w:sz w:val="20"/>
                <w:szCs w:val="20"/>
                <w:lang w:val="en-GB" w:eastAsia="zh-CN"/>
              </w:rPr>
              <w:t xml:space="preserve">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Quang</w:t>
            </w:r>
            <w:proofErr w:type="spellEnd"/>
            <w:r>
              <w:rPr>
                <w:rFonts w:ascii="Times New Roman" w:hAnsi="Times New Roman" w:cs="Times New Roman"/>
                <w:sz w:val="20"/>
                <w:szCs w:val="20"/>
                <w:lang w:val="en-GB"/>
              </w:rPr>
              <w:t xml:space="preserve">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proofErr w:type="spellStart"/>
            <w:r>
              <w:rPr>
                <w:rFonts w:ascii="Times New Roman" w:hAnsi="Times New Roman" w:cs="Times New Roman"/>
                <w:sz w:val="20"/>
                <w:szCs w:val="20"/>
                <w:lang w:val="en-GB"/>
              </w:rPr>
              <w:t>nhat-quang.nhan</w:t>
            </w:r>
            <w:proofErr w:type="spellEnd"/>
            <w:r>
              <w:rPr>
                <w:rFonts w:ascii="Times New Roman" w:hAnsi="Times New Roman" w:cs="Times New Roman"/>
                <w:sz w:val="20"/>
                <w:szCs w:val="20"/>
                <w:lang w:val="en-GB"/>
              </w:rPr>
              <w:t xml:space="preserve">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Taewoo</w:t>
            </w:r>
            <w:proofErr w:type="spellEnd"/>
            <w:r>
              <w:rPr>
                <w:rFonts w:ascii="Times New Roman" w:hAnsi="Times New Roman" w:cs="Times New Roman"/>
                <w:sz w:val="20"/>
                <w:szCs w:val="20"/>
                <w:lang w:val="en-GB"/>
              </w:rPr>
              <w:t xml:space="preserve">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This discussion has high priority since it may impose requirements on the dynamic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w:t>
      </w:r>
      <w:proofErr w:type="gramStart"/>
      <w:r>
        <w:rPr>
          <w:rFonts w:ascii="Times New Roman" w:hAnsi="Times New Roman" w:cs="Times New Roman"/>
          <w:sz w:val="20"/>
          <w:szCs w:val="20"/>
          <w:lang w:val="en-GB"/>
        </w:rPr>
        <w:t>8][</w:t>
      </w:r>
      <w:proofErr w:type="gramEnd"/>
      <w:r>
        <w:rPr>
          <w:rFonts w:ascii="Times New Roman" w:hAnsi="Times New Roman" w:cs="Times New Roman"/>
          <w:sz w:val="20"/>
          <w:szCs w:val="20"/>
          <w:lang w:val="en-GB"/>
        </w:rPr>
        <w:t>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lastRenderedPageBreak/>
              <w:t xml:space="preserve">We are open to consider Msg3. For the other cases, we prefer not considering DCI format 0_0. We didn’t touch </w:t>
            </w:r>
            <w:proofErr w:type="spellStart"/>
            <w:r>
              <w:rPr>
                <w:rFonts w:ascii="Times New Roman" w:eastAsiaTheme="minorEastAsia" w:hAnsi="Times New Roman" w:cs="Times New Roman"/>
                <w:sz w:val="20"/>
                <w:szCs w:val="20"/>
                <w:lang w:val="en-GB"/>
              </w:rPr>
              <w:t>fallback</w:t>
            </w:r>
            <w:proofErr w:type="spellEnd"/>
            <w:r>
              <w:rPr>
                <w:rFonts w:ascii="Times New Roman" w:eastAsiaTheme="minorEastAsia" w:hAnsi="Times New Roman" w:cs="Times New Roman"/>
                <w:sz w:val="20"/>
                <w:szCs w:val="20"/>
                <w:lang w:val="en-GB"/>
              </w:rPr>
              <w:t xml:space="preserve"> DCI related </w:t>
            </w:r>
            <w:proofErr w:type="spellStart"/>
            <w:r>
              <w:rPr>
                <w:rFonts w:ascii="Times New Roman" w:eastAsiaTheme="minorEastAsia" w:hAnsi="Times New Roman" w:cs="Times New Roman"/>
                <w:sz w:val="20"/>
                <w:szCs w:val="20"/>
                <w:lang w:val="en-GB"/>
              </w:rPr>
              <w:t>behavior</w:t>
            </w:r>
            <w:proofErr w:type="spellEnd"/>
            <w:r>
              <w:rPr>
                <w:rFonts w:ascii="Times New Roman" w:eastAsiaTheme="minorEastAsia" w:hAnsi="Times New Roman" w:cs="Times New Roman"/>
                <w:sz w:val="20"/>
                <w:szCs w:val="20"/>
                <w:lang w:val="en-GB"/>
              </w:rPr>
              <w:t xml:space="preserve"> in Rel-17 </w:t>
            </w:r>
            <w:proofErr w:type="spellStart"/>
            <w:r>
              <w:rPr>
                <w:rFonts w:ascii="Times New Roman" w:eastAsiaTheme="minorEastAsia" w:hAnsi="Times New Roman" w:cs="Times New Roman"/>
                <w:sz w:val="20"/>
                <w:szCs w:val="20"/>
                <w:lang w:val="en-GB"/>
              </w:rPr>
              <w:t>CovEnh</w:t>
            </w:r>
            <w:proofErr w:type="spellEnd"/>
            <w:r>
              <w:rPr>
                <w:rFonts w:ascii="Times New Roman" w:eastAsiaTheme="minorEastAsia" w:hAnsi="Times New Roman" w:cs="Times New Roman"/>
                <w:sz w:val="20"/>
                <w:szCs w:val="20"/>
                <w:lang w:val="en-GB"/>
              </w:rPr>
              <w:t xml:space="preserve">,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tc>
          <w:tcPr>
            <w:tcW w:w="2065" w:type="dxa"/>
          </w:tcPr>
          <w:p w14:paraId="04A886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proofErr w:type="spellStart"/>
            <w:r w:rsidRPr="00010FE5">
              <w:rPr>
                <w:rFonts w:ascii="Times New Roman" w:eastAsia="DengXian" w:hAnsi="Times New Roman" w:cs="Times New Roman"/>
                <w:i/>
                <w:iCs/>
                <w:sz w:val="20"/>
                <w:szCs w:val="20"/>
                <w:lang w:val="en-GB" w:eastAsia="zh-CN"/>
              </w:rPr>
              <w:t>transformPrecoder</w:t>
            </w:r>
            <w:proofErr w:type="spellEnd"/>
            <w:r>
              <w:rPr>
                <w:rFonts w:ascii="Times New Roman" w:eastAsia="DengXian" w:hAnsi="Times New Roman" w:cs="Times New Roman"/>
                <w:sz w:val="20"/>
                <w:szCs w:val="20"/>
                <w:lang w:val="en-GB" w:eastAsia="zh-CN"/>
              </w:rPr>
              <w:t xml:space="preserve"> in </w:t>
            </w:r>
            <w:proofErr w:type="spellStart"/>
            <w:r w:rsidRPr="00010FE5">
              <w:rPr>
                <w:rFonts w:ascii="Times New Roman" w:eastAsia="DengXian" w:hAnsi="Times New Roman" w:cs="Times New Roman"/>
                <w:i/>
                <w:iCs/>
                <w:sz w:val="20"/>
                <w:szCs w:val="20"/>
                <w:lang w:val="en-GB" w:eastAsia="zh-CN"/>
              </w:rPr>
              <w:t>pusch-Config</w:t>
            </w:r>
            <w:proofErr w:type="spellEnd"/>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736DA5">
        <w:tc>
          <w:tcPr>
            <w:tcW w:w="2065" w:type="dxa"/>
          </w:tcPr>
          <w:p w14:paraId="04E95B4C"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lastRenderedPageBreak/>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w:t>
      </w:r>
      <w:proofErr w:type="gramStart"/>
      <w:r>
        <w:rPr>
          <w:rFonts w:ascii="Times New Roman" w:hAnsi="Times New Roman" w:cs="Times New Roman"/>
          <w:sz w:val="20"/>
          <w:szCs w:val="20"/>
        </w:rPr>
        <w:t>12][</w:t>
      </w:r>
      <w:proofErr w:type="gramEnd"/>
      <w:r>
        <w:rPr>
          <w:rFonts w:ascii="Times New Roman" w:hAnsi="Times New Roman" w:cs="Times New Roman"/>
          <w:sz w:val="20"/>
          <w:szCs w:val="20"/>
        </w:rPr>
        <w:t>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w:t>
            </w:r>
            <w:r>
              <w:rPr>
                <w:rFonts w:ascii="Times New Roman" w:hAnsi="Times New Roman" w:cs="Times New Roman"/>
                <w:sz w:val="20"/>
                <w:szCs w:val="20"/>
                <w:lang w:val="en-GB"/>
              </w:rPr>
              <w:lastRenderedPageBreak/>
              <w:t xml:space="preserve">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critical. May suffice to focus on DG-PUSCH.</w:t>
            </w:r>
          </w:p>
        </w:tc>
      </w:tr>
      <w:tr w:rsidR="00736684" w14:paraId="04A886F1" w14:textId="77777777">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tc>
          <w:tcPr>
            <w:tcW w:w="2065" w:type="dxa"/>
          </w:tcPr>
          <w:p w14:paraId="04A88707"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 xml:space="preserve">or CG type 2, DCI can activate/deactivate a CG type 2 transmission. By activating/deactivating CG PUSCH transmissions with different waveforms, the gNB can switch the waveform for CG PUSCHs dynamically. The current </w:t>
            </w:r>
            <w:r>
              <w:rPr>
                <w:rFonts w:ascii="Times New Roman" w:eastAsia="DengXian" w:hAnsi="Times New Roman" w:cs="Times New Roman"/>
                <w:lang w:val="en-GB" w:eastAsia="zh-CN"/>
              </w:rPr>
              <w:lastRenderedPageBreak/>
              <w:t>standard is flexibility enough for CG PUSCH transmission. The focus of R18 should be on dynamic grant PUSCH.</w:t>
            </w:r>
          </w:p>
        </w:tc>
      </w:tr>
      <w:tr w:rsidR="00D43BE6" w14:paraId="0F303F1A" w14:textId="77777777">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lastRenderedPageBreak/>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736DA5">
        <w:tc>
          <w:tcPr>
            <w:tcW w:w="2065" w:type="dxa"/>
          </w:tcPr>
          <w:p w14:paraId="259EF7D5" w14:textId="77777777" w:rsidR="00736DA5" w:rsidRDefault="00736DA5" w:rsidP="00CA2C0D">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Samsung</w:t>
            </w:r>
          </w:p>
        </w:tc>
        <w:tc>
          <w:tcPr>
            <w:tcW w:w="7285" w:type="dxa"/>
          </w:tcPr>
          <w:p w14:paraId="5E967B32"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no company seems to propose to support dynamic indication for </w:t>
      </w:r>
      <w:proofErr w:type="spellStart"/>
      <w:r>
        <w:rPr>
          <w:rFonts w:ascii="Times New Roman" w:hAnsi="Times New Roman" w:cs="Times New Roman"/>
          <w:sz w:val="20"/>
          <w:szCs w:val="20"/>
          <w:lang w:val="en-GB"/>
        </w:rPr>
        <w:t>msgA</w:t>
      </w:r>
      <w:proofErr w:type="spellEnd"/>
      <w:r>
        <w:rPr>
          <w:rFonts w:ascii="Times New Roman" w:hAnsi="Times New Roman" w:cs="Times New Roman"/>
          <w:sz w:val="20"/>
          <w:szCs w:val="20"/>
          <w:lang w:val="en-GB"/>
        </w:rPr>
        <w:t>,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1 partitioning is required which should be avoided.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3 retransmission, it is scheduled by DCI format 0_0 and our view is that dynamic waveform switching is not applicable to PUSCHs scheduled by DCI format 0_0 regardless of the RNTI.</w:t>
            </w:r>
          </w:p>
        </w:tc>
      </w:tr>
      <w:tr w:rsidR="00736684" w14:paraId="04A8872E" w14:textId="77777777">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Don’t think </w:t>
            </w:r>
            <w:proofErr w:type="spellStart"/>
            <w:r>
              <w:rPr>
                <w:rFonts w:ascii="Times New Roman" w:hAnsi="Times New Roman" w:cs="Times New Roman"/>
                <w:sz w:val="20"/>
                <w:szCs w:val="20"/>
                <w:lang w:val="en-GB"/>
              </w:rPr>
              <w:t>its</w:t>
            </w:r>
            <w:proofErr w:type="spellEnd"/>
            <w:r>
              <w:rPr>
                <w:rFonts w:ascii="Times New Roman" w:hAnsi="Times New Roman" w:cs="Times New Roman"/>
                <w:sz w:val="20"/>
                <w:szCs w:val="20"/>
                <w:lang w:val="en-GB"/>
              </w:rPr>
              <w:t xml:space="preserve"> necessary to support. Dynamic switching for a UE not yet in connected state, without clear capability report is a major undertaking with no clear benefits.</w:t>
            </w:r>
          </w:p>
        </w:tc>
      </w:tr>
      <w:tr w:rsidR="00736684" w14:paraId="04A8873F" w14:textId="77777777">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tc>
          <w:tcPr>
            <w:tcW w:w="2065" w:type="dxa"/>
          </w:tcPr>
          <w:p w14:paraId="04A88753"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736DA5">
        <w:tc>
          <w:tcPr>
            <w:tcW w:w="2065" w:type="dxa"/>
          </w:tcPr>
          <w:p w14:paraId="6026461D"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375CC35E"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w:t>
            </w:r>
            <w:proofErr w:type="spellStart"/>
            <w:r>
              <w:rPr>
                <w:rFonts w:ascii="Times New Roman" w:eastAsia="Calibri" w:hAnsi="Times New Roman" w:cs="Times New Roman"/>
                <w:i/>
                <w:color w:val="auto"/>
                <w:sz w:val="20"/>
                <w:szCs w:val="20"/>
                <w:lang w:val="en-GB"/>
              </w:rPr>
              <w:t>OFDMand</w:t>
            </w:r>
            <w:proofErr w:type="spellEnd"/>
            <w:r>
              <w:rPr>
                <w:rFonts w:ascii="Times New Roman" w:eastAsia="Calibri" w:hAnsi="Times New Roman" w:cs="Times New Roman"/>
                <w:i/>
                <w:color w:val="auto"/>
                <w:sz w:val="20"/>
                <w:szCs w:val="20"/>
                <w:lang w:val="en-GB"/>
              </w:rPr>
              <w:t xml:space="preserve">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prefer </w:t>
            </w:r>
            <w:proofErr w:type="spellStart"/>
            <w:r>
              <w:rPr>
                <w:rFonts w:ascii="Times New Roman" w:eastAsia="DengXian" w:hAnsi="Times New Roman" w:cs="Times New Roman"/>
                <w:sz w:val="20"/>
                <w:szCs w:val="20"/>
                <w:lang w:val="en-GB" w:eastAsia="zh-CN"/>
              </w:rPr>
              <w:t>no</w:t>
            </w:r>
            <w:proofErr w:type="spellEnd"/>
            <w:r>
              <w:rPr>
                <w:rFonts w:ascii="Times New Roman" w:eastAsia="DengXian" w:hAnsi="Times New Roman" w:cs="Times New Roman"/>
                <w:sz w:val="20"/>
                <w:szCs w:val="20"/>
                <w:lang w:val="en-GB" w:eastAsia="zh-CN"/>
              </w:rPr>
              <w:t xml:space="preserve">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tc>
          <w:tcPr>
            <w:tcW w:w="2065" w:type="dxa"/>
          </w:tcPr>
          <w:p w14:paraId="04A887A9"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lastRenderedPageBreak/>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736DA5">
        <w:tc>
          <w:tcPr>
            <w:tcW w:w="2065" w:type="dxa"/>
          </w:tcPr>
          <w:p w14:paraId="2E52DEAF" w14:textId="77777777" w:rsidR="00736DA5" w:rsidRDefault="00736DA5"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w:t>
            </w:r>
            <w:proofErr w:type="spellStart"/>
            <w:r>
              <w:rPr>
                <w:rFonts w:ascii="Times New Roman" w:hAnsi="Times New Roman" w:cs="Times New Roman"/>
                <w:sz w:val="20"/>
                <w:szCs w:val="20"/>
                <w:lang w:val="en-GB"/>
              </w:rPr>
              <w:t>mTRP</w:t>
            </w:r>
            <w:proofErr w:type="spellEnd"/>
            <w:r>
              <w:rPr>
                <w:rFonts w:ascii="Times New Roman" w:hAnsi="Times New Roman" w:cs="Times New Roman"/>
                <w:sz w:val="20"/>
                <w:szCs w:val="20"/>
                <w:lang w:val="en-GB"/>
              </w:rPr>
              <w:t xml:space="preserve">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xml:space="preserve">: Vivo [5], China Telecom [6], CATT [8], Sony [10], NEC [11], Panasonic [12], InterDigital [13], Lenovo [14],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 Xiaomi [16], CMCC [17], ETRI [18], Fujitsu [19], Ericsson [22], Samsung [23], LG [25], </w:t>
      </w:r>
      <w:proofErr w:type="spellStart"/>
      <w:r>
        <w:rPr>
          <w:rFonts w:ascii="Times New Roman" w:hAnsi="Times New Roman" w:cs="Times New Roman"/>
          <w:sz w:val="20"/>
          <w:szCs w:val="20"/>
          <w:lang w:val="en-GB"/>
        </w:rPr>
        <w:t>CEWiT</w:t>
      </w:r>
      <w:proofErr w:type="spellEnd"/>
      <w:r>
        <w:rPr>
          <w:rFonts w:ascii="Times New Roman" w:hAnsi="Times New Roman" w:cs="Times New Roman"/>
          <w:sz w:val="20"/>
          <w:szCs w:val="20"/>
          <w:lang w:val="en-GB"/>
        </w:rPr>
        <w:t xml:space="preserve">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xml:space="preserve">: Vivo [5], China Telecom [6], CATT [8], Sony [10], NEC [11], Panasonic [12], InterDigital [13], Xiaomi [16], CMCC [17], ETRI [18], Fujitsu [19], Samsung [23], LG [25], Qualcomm [27], </w:t>
      </w:r>
      <w:proofErr w:type="spellStart"/>
      <w:r>
        <w:rPr>
          <w:rFonts w:ascii="Times New Roman" w:hAnsi="Times New Roman" w:cs="Times New Roman"/>
          <w:sz w:val="20"/>
          <w:szCs w:val="20"/>
        </w:rPr>
        <w:t>CEWiT</w:t>
      </w:r>
      <w:proofErr w:type="spellEnd"/>
      <w:r>
        <w:rPr>
          <w:rFonts w:ascii="Times New Roman" w:hAnsi="Times New Roman" w:cs="Times New Roman"/>
          <w:sz w:val="20"/>
          <w:szCs w:val="20"/>
        </w:rPr>
        <w:t xml:space="preserve">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xml:space="preserve">: ZTE [3], Spreadtrum [4], Intel [9], Lenovo [14], </w:t>
      </w:r>
      <w:proofErr w:type="spellStart"/>
      <w:r>
        <w:rPr>
          <w:rFonts w:ascii="Times New Roman" w:hAnsi="Times New Roman" w:cs="Times New Roman"/>
          <w:sz w:val="20"/>
          <w:szCs w:val="20"/>
        </w:rPr>
        <w:t>Mavenir</w:t>
      </w:r>
      <w:proofErr w:type="spellEnd"/>
      <w:r>
        <w:rPr>
          <w:rFonts w:ascii="Times New Roman" w:hAnsi="Times New Roman" w:cs="Times New Roman"/>
          <w:sz w:val="20"/>
          <w:szCs w:val="20"/>
        </w:rPr>
        <w:t xml:space="preserve">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may add overhead and reduce coverage [</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18][19][29] and may not be warranted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overhead from additional field [</w:t>
            </w:r>
            <w:proofErr w:type="gramStart"/>
            <w:r>
              <w:rPr>
                <w:rFonts w:ascii="Times New Roman" w:hAnsi="Times New Roman" w:cs="Times New Roman"/>
                <w:sz w:val="20"/>
                <w:szCs w:val="20"/>
              </w:rPr>
              <w:t>27][</w:t>
            </w:r>
            <w:proofErr w:type="gramEnd"/>
            <w:r>
              <w:rPr>
                <w:rFonts w:ascii="Times New Roman" w:hAnsi="Times New Roman" w:cs="Times New Roman"/>
                <w:sz w:val="20"/>
                <w:szCs w:val="20"/>
              </w:rPr>
              <w:t>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[17][28]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[22][27]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[16][22]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-Larger latency [2][3][4][9][19][20][29]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-Requires RAN2 involvement [26][29]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lastRenderedPageBreak/>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t>
            </w:r>
            <w:proofErr w:type="gramStart"/>
            <w:r>
              <w:rPr>
                <w:rFonts w:ascii="Times New Roman" w:eastAsia="SimSun" w:hAnsi="Times New Roman" w:cs="Times New Roman" w:hint="eastAsia"/>
                <w:sz w:val="20"/>
                <w:szCs w:val="20"/>
                <w:lang w:eastAsia="zh-CN"/>
              </w:rPr>
              <w:t>waveform</w:t>
            </w:r>
            <w:proofErr w:type="gramEnd"/>
            <w:r>
              <w:rPr>
                <w:rFonts w:ascii="Times New Roman" w:eastAsia="SimSun" w:hAnsi="Times New Roman" w:cs="Times New Roman" w:hint="eastAsia"/>
                <w:sz w:val="20"/>
                <w:szCs w:val="20"/>
                <w:lang w:eastAsia="zh-CN"/>
              </w:rPr>
              <w:t xml:space="preserve">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tc>
          <w:tcPr>
            <w:tcW w:w="2065" w:type="dxa"/>
          </w:tcPr>
          <w:p w14:paraId="04A8884F"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SimSun" w:hAnsi="Times New Roman" w:cs="Times New Roman" w:hint="eastAsia"/>
                <w:sz w:val="20"/>
                <w:szCs w:val="20"/>
                <w:lang w:eastAsia="zh-CN"/>
              </w:rPr>
              <w:t>Transsion</w:t>
            </w:r>
            <w:proofErr w:type="spellEnd"/>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 xml:space="preserve">Reusing fields will impact legacy </w:t>
            </w:r>
            <w:proofErr w:type="spellStart"/>
            <w:r>
              <w:rPr>
                <w:rFonts w:ascii="Times New Roman" w:hAnsi="Times New Roman" w:cs="Times New Roman"/>
                <w:sz w:val="20"/>
                <w:szCs w:val="20"/>
              </w:rPr>
              <w:t>behaviour</w:t>
            </w:r>
            <w:proofErr w:type="spellEnd"/>
          </w:p>
        </w:tc>
      </w:tr>
      <w:tr w:rsidR="004807E7" w14:paraId="150C115E" w14:textId="77777777">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736DA5">
        <w:tc>
          <w:tcPr>
            <w:tcW w:w="2065" w:type="dxa"/>
          </w:tcPr>
          <w:p w14:paraId="52DE6F54" w14:textId="77777777" w:rsidR="00736DA5" w:rsidRDefault="00736DA5"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CA2C0D">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w:t>
            </w:r>
            <w:proofErr w:type="spellStart"/>
            <w:r w:rsidRPr="007D2C61">
              <w:rPr>
                <w:rFonts w:ascii="Times New Roman" w:hAnsi="Times New Roman" w:cs="Times New Roman"/>
                <w:sz w:val="20"/>
                <w:szCs w:val="20"/>
                <w:lang w:val="en-GB"/>
              </w:rPr>
              <w:t>signaled</w:t>
            </w:r>
            <w:proofErr w:type="spellEnd"/>
            <w:r w:rsidRPr="007D2C61">
              <w:rPr>
                <w:rFonts w:ascii="Times New Roman" w:hAnsi="Times New Roman" w:cs="Times New Roman"/>
                <w:sz w:val="20"/>
                <w:szCs w:val="20"/>
                <w:lang w:val="en-GB"/>
              </w:rPr>
              <w:t xml:space="preserve">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bl>
    <w:p w14:paraId="04A88852" w14:textId="77777777" w:rsidR="00736684" w:rsidRDefault="00736684">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lastRenderedPageBreak/>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w:t>
      </w:r>
      <w:proofErr w:type="gramStart"/>
      <w:r>
        <w:rPr>
          <w:rFonts w:ascii="Times New Roman" w:hAnsi="Times New Roman" w:cs="Times New Roman"/>
          <w:sz w:val="20"/>
          <w:szCs w:val="20"/>
        </w:rPr>
        <w:t>8][</w:t>
      </w:r>
      <w:proofErr w:type="gramEnd"/>
      <w:r>
        <w:rPr>
          <w:rFonts w:ascii="Times New Roman" w:hAnsi="Times New Roman" w:cs="Times New Roman"/>
          <w:sz w:val="20"/>
          <w:szCs w:val="20"/>
        </w:rPr>
        <w:t>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Not align DCI size ([26], not </w:t>
      </w:r>
      <w:proofErr w:type="gramStart"/>
      <w:r>
        <w:rPr>
          <w:rFonts w:ascii="Times New Roman" w:hAnsi="Times New Roman" w:cs="Times New Roman"/>
          <w:sz w:val="20"/>
          <w:szCs w:val="20"/>
        </w:rPr>
        <w:t>preferred)[</w:t>
      </w:r>
      <w:proofErr w:type="gramEnd"/>
      <w:r>
        <w:rPr>
          <w:rFonts w:ascii="Times New Roman" w:hAnsi="Times New Roman" w:cs="Times New Roman"/>
          <w:sz w:val="20"/>
          <w:szCs w:val="20"/>
        </w:rPr>
        <w:t>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proofErr w:type="spellStart"/>
      <w:r>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proofErr w:type="gramStart"/>
      <w:r>
        <w:rPr>
          <w:rFonts w:ascii="Times New Roman" w:hAnsi="Times New Roman" w:cs="Times New Roman"/>
          <w:sz w:val="20"/>
          <w:szCs w:val="20"/>
          <w:lang w:val="en-GB"/>
        </w:rPr>
        <w:t>Pcmax,c</w:t>
      </w:r>
      <w:proofErr w:type="spellEnd"/>
      <w:proofErr w:type="gramEnd"/>
      <w:r>
        <w:rPr>
          <w:rFonts w:ascii="Times New Roman" w:hAnsi="Times New Roman" w:cs="Times New Roman"/>
          <w:sz w:val="20"/>
          <w:szCs w:val="20"/>
          <w:lang w:val="en-GB"/>
        </w:rPr>
        <w:t xml:space="preserve">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are open to this issue. More discussion </w:t>
            </w:r>
            <w:proofErr w:type="gramStart"/>
            <w:r>
              <w:rPr>
                <w:rFonts w:ascii="Times New Roman" w:eastAsia="SimSun" w:hAnsi="Times New Roman" w:cs="Times New Roman" w:hint="eastAsia"/>
                <w:sz w:val="20"/>
                <w:szCs w:val="20"/>
                <w:lang w:eastAsia="zh-CN"/>
              </w:rPr>
              <w:t>are</w:t>
            </w:r>
            <w:proofErr w:type="gramEnd"/>
            <w:r>
              <w:rPr>
                <w:rFonts w:ascii="Times New Roman" w:eastAsia="SimSun" w:hAnsi="Times New Roman" w:cs="Times New Roman" w:hint="eastAsia"/>
                <w:sz w:val="20"/>
                <w:szCs w:val="20"/>
                <w:lang w:eastAsia="zh-CN"/>
              </w:rPr>
              <w:t xml:space="preserv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tc>
          <w:tcPr>
            <w:tcW w:w="2065" w:type="dxa"/>
          </w:tcPr>
          <w:p w14:paraId="04A888AD" w14:textId="77777777" w:rsidR="00736684" w:rsidRDefault="00A34991">
            <w:pPr>
              <w:jc w:val="both"/>
              <w:rPr>
                <w:rFonts w:ascii="Times New Roman" w:eastAsia="SimSun" w:hAnsi="Times New Roman" w:cs="Times New Roman"/>
                <w:sz w:val="20"/>
                <w:szCs w:val="20"/>
                <w:lang w:eastAsia="zh-CN"/>
              </w:rPr>
            </w:pPr>
            <w:proofErr w:type="spellStart"/>
            <w:r>
              <w:rPr>
                <w:rFonts w:ascii="Times New Roman" w:eastAsia="DengXian" w:hAnsi="Times New Roman" w:cs="Times New Roman" w:hint="eastAsia"/>
                <w:sz w:val="20"/>
                <w:szCs w:val="20"/>
                <w:lang w:eastAsia="zh-CN"/>
              </w:rPr>
              <w:t>Transsion</w:t>
            </w:r>
            <w:proofErr w:type="spellEnd"/>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736DA5">
        <w:tc>
          <w:tcPr>
            <w:tcW w:w="2065" w:type="dxa"/>
          </w:tcPr>
          <w:p w14:paraId="2296FBA3"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bl>
    <w:p w14:paraId="04A888B0" w14:textId="77777777" w:rsidR="00736684" w:rsidRDefault="00736684">
      <w:pPr>
        <w:rPr>
          <w:rFonts w:ascii="Times New Roman" w:hAnsi="Times New Roman" w:cs="Times New Roman"/>
          <w:sz w:val="20"/>
          <w:szCs w:val="20"/>
          <w:lang w:val="en-GB"/>
        </w:rPr>
      </w:pPr>
      <w:bookmarkStart w:id="1" w:name="_GoBack"/>
      <w:bookmarkEnd w:id="1"/>
    </w:p>
    <w:p w14:paraId="04A888B1" w14:textId="77777777" w:rsidR="00736684" w:rsidRDefault="00A34991">
      <w:pPr>
        <w:pStyle w:val="Heading1"/>
      </w:pPr>
      <w:r>
        <w:lastRenderedPageBreak/>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Mavenir</w:t>
            </w:r>
            <w:proofErr w:type="spellEnd"/>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xiaomi</w:t>
            </w:r>
            <w:proofErr w:type="spellEnd"/>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proofErr w:type="spellStart"/>
            <w:r>
              <w:rPr>
                <w:rFonts w:ascii="Times New Roman" w:eastAsia="Times New Roman" w:hAnsi="Times New Roman" w:cs="Times New Roman"/>
                <w:color w:val="000000"/>
                <w:sz w:val="20"/>
                <w:szCs w:val="20"/>
                <w:lang w:eastAsia="en-US"/>
              </w:rPr>
              <w:t>CEWiT</w:t>
            </w:r>
            <w:proofErr w:type="spellEnd"/>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8D384" w14:textId="77777777" w:rsidR="001976AC" w:rsidRDefault="001976AC">
      <w:pPr>
        <w:spacing w:after="0" w:line="240" w:lineRule="auto"/>
      </w:pPr>
      <w:r>
        <w:separator/>
      </w:r>
    </w:p>
  </w:endnote>
  <w:endnote w:type="continuationSeparator" w:id="0">
    <w:p w14:paraId="3983603F" w14:textId="77777777" w:rsidR="001976AC" w:rsidRDefault="0019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8949" w14:textId="350E9D34" w:rsidR="00736684" w:rsidRDefault="0073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822E" w14:textId="77777777" w:rsidR="001976AC" w:rsidRDefault="001976AC">
      <w:pPr>
        <w:spacing w:after="0" w:line="240" w:lineRule="auto"/>
      </w:pPr>
      <w:r>
        <w:separator/>
      </w:r>
    </w:p>
  </w:footnote>
  <w:footnote w:type="continuationSeparator" w:id="0">
    <w:p w14:paraId="68C15493" w14:textId="77777777" w:rsidR="001976AC" w:rsidRDefault="00197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43C59FD"/>
    <w:multiLevelType w:val="singleLevel"/>
    <w:tmpl w:val="243C59FD"/>
    <w:lvl w:ilvl="0">
      <w:start w:val="1"/>
      <w:numFmt w:val="lowerLetter"/>
      <w:suff w:val="space"/>
      <w:lvlText w:val="%1)"/>
      <w:lvlJc w:val="left"/>
    </w:lvl>
  </w:abstractNum>
  <w:abstractNum w:abstractNumId="15"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17F0FA"/>
    <w:multiLevelType w:val="singleLevel"/>
    <w:tmpl w:val="3017F0FA"/>
    <w:lvl w:ilvl="0">
      <w:start w:val="1"/>
      <w:numFmt w:val="lowerLetter"/>
      <w:suff w:val="space"/>
      <w:lvlText w:val="%1)"/>
      <w:lvlJc w:val="left"/>
    </w:lvl>
  </w:abstractNum>
  <w:abstractNum w:abstractNumId="19"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6"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1"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1"/>
  </w:num>
  <w:num w:numId="3">
    <w:abstractNumId w:val="22"/>
  </w:num>
  <w:num w:numId="4">
    <w:abstractNumId w:val="9"/>
  </w:num>
  <w:num w:numId="5">
    <w:abstractNumId w:val="10"/>
  </w:num>
  <w:num w:numId="6">
    <w:abstractNumId w:val="27"/>
  </w:num>
  <w:num w:numId="7">
    <w:abstractNumId w:val="21"/>
  </w:num>
  <w:num w:numId="8">
    <w:abstractNumId w:val="23"/>
  </w:num>
  <w:num w:numId="9">
    <w:abstractNumId w:val="20"/>
  </w:num>
  <w:num w:numId="10">
    <w:abstractNumId w:val="17"/>
  </w:num>
  <w:num w:numId="11">
    <w:abstractNumId w:val="41"/>
  </w:num>
  <w:num w:numId="12">
    <w:abstractNumId w:val="35"/>
  </w:num>
  <w:num w:numId="13">
    <w:abstractNumId w:val="25"/>
  </w:num>
  <w:num w:numId="14">
    <w:abstractNumId w:val="6"/>
  </w:num>
  <w:num w:numId="15">
    <w:abstractNumId w:val="30"/>
  </w:num>
  <w:num w:numId="16">
    <w:abstractNumId w:val="1"/>
  </w:num>
  <w:num w:numId="17">
    <w:abstractNumId w:val="18"/>
  </w:num>
  <w:num w:numId="18">
    <w:abstractNumId w:val="15"/>
  </w:num>
  <w:num w:numId="19">
    <w:abstractNumId w:val="16"/>
  </w:num>
  <w:num w:numId="20">
    <w:abstractNumId w:val="3"/>
  </w:num>
  <w:num w:numId="21">
    <w:abstractNumId w:val="5"/>
  </w:num>
  <w:num w:numId="22">
    <w:abstractNumId w:val="19"/>
  </w:num>
  <w:num w:numId="23">
    <w:abstractNumId w:val="39"/>
  </w:num>
  <w:num w:numId="24">
    <w:abstractNumId w:val="42"/>
  </w:num>
  <w:num w:numId="25">
    <w:abstractNumId w:val="8"/>
  </w:num>
  <w:num w:numId="26">
    <w:abstractNumId w:val="28"/>
  </w:num>
  <w:num w:numId="27">
    <w:abstractNumId w:val="40"/>
  </w:num>
  <w:num w:numId="28">
    <w:abstractNumId w:val="37"/>
  </w:num>
  <w:num w:numId="29">
    <w:abstractNumId w:val="24"/>
  </w:num>
  <w:num w:numId="30">
    <w:abstractNumId w:val="0"/>
  </w:num>
  <w:num w:numId="31">
    <w:abstractNumId w:val="13"/>
  </w:num>
  <w:num w:numId="32">
    <w:abstractNumId w:val="2"/>
  </w:num>
  <w:num w:numId="33">
    <w:abstractNumId w:val="4"/>
  </w:num>
  <w:num w:numId="34">
    <w:abstractNumId w:val="29"/>
  </w:num>
  <w:num w:numId="35">
    <w:abstractNumId w:val="26"/>
  </w:num>
  <w:num w:numId="36">
    <w:abstractNumId w:val="14"/>
  </w:num>
  <w:num w:numId="37">
    <w:abstractNumId w:val="34"/>
  </w:num>
  <w:num w:numId="38">
    <w:abstractNumId w:val="32"/>
  </w:num>
  <w:num w:numId="39">
    <w:abstractNumId w:val="12"/>
  </w:num>
  <w:num w:numId="40">
    <w:abstractNumId w:val="33"/>
  </w:num>
  <w:num w:numId="41">
    <w:abstractNumId w:val="38"/>
  </w:num>
  <w:num w:numId="42">
    <w:abstractNumId w:val="1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E8912D6-F261-4773-925C-68C51147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8600</Words>
  <Characters>49025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Samsung</cp:lastModifiedBy>
  <cp:revision>3</cp:revision>
  <dcterms:created xsi:type="dcterms:W3CDTF">2022-10-12T18:10:00Z</dcterms:created>
  <dcterms:modified xsi:type="dcterms:W3CDTF">2022-10-12T18:13:00Z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ies>
</file>