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Heading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ListParagraph"/>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ListParagraph"/>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ListParagraph"/>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Heading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8E45EC" w14:paraId="3B1C8C0D" w14:textId="77777777" w:rsidTr="008E45EC">
        <w:tc>
          <w:tcPr>
            <w:tcW w:w="2155" w:type="dxa"/>
          </w:tcPr>
          <w:p w14:paraId="36E82761" w14:textId="77777777" w:rsidR="008E45EC" w:rsidRDefault="008E45EC" w:rsidP="008E45EC">
            <w:pPr>
              <w:jc w:val="both"/>
              <w:rPr>
                <w:rFonts w:ascii="Times New Roman" w:hAnsi="Times New Roman" w:cs="Times New Roman"/>
                <w:sz w:val="20"/>
                <w:szCs w:val="20"/>
                <w:lang w:val="en-GB"/>
              </w:rPr>
            </w:pPr>
          </w:p>
        </w:tc>
        <w:tc>
          <w:tcPr>
            <w:tcW w:w="1530" w:type="dxa"/>
          </w:tcPr>
          <w:p w14:paraId="033B7308" w14:textId="77777777" w:rsidR="008E45EC" w:rsidRDefault="008E45EC" w:rsidP="008E45EC">
            <w:pPr>
              <w:jc w:val="both"/>
              <w:rPr>
                <w:rFonts w:ascii="Times New Roman" w:hAnsi="Times New Roman" w:cs="Times New Roman"/>
                <w:sz w:val="20"/>
                <w:szCs w:val="20"/>
                <w:lang w:val="en-GB"/>
              </w:rPr>
            </w:pPr>
          </w:p>
        </w:tc>
        <w:tc>
          <w:tcPr>
            <w:tcW w:w="5665" w:type="dxa"/>
          </w:tcPr>
          <w:p w14:paraId="1AB8B5A0" w14:textId="77777777" w:rsidR="008E45EC" w:rsidRDefault="008E45EC" w:rsidP="008E45EC">
            <w:pPr>
              <w:jc w:val="both"/>
              <w:rPr>
                <w:rFonts w:ascii="Times New Roman" w:hAnsi="Times New Roman" w:cs="Times New Roman"/>
                <w:sz w:val="20"/>
                <w:szCs w:val="20"/>
                <w:lang w:val="en-GB"/>
              </w:rPr>
            </w:pPr>
          </w:p>
        </w:tc>
      </w:tr>
      <w:tr w:rsidR="008E45EC" w14:paraId="04B95EB1" w14:textId="77777777" w:rsidTr="008E45EC">
        <w:tc>
          <w:tcPr>
            <w:tcW w:w="2155" w:type="dxa"/>
          </w:tcPr>
          <w:p w14:paraId="51359FCB" w14:textId="77777777" w:rsidR="008E45EC" w:rsidRDefault="008E45EC" w:rsidP="008E45EC">
            <w:pPr>
              <w:jc w:val="both"/>
              <w:rPr>
                <w:rFonts w:ascii="Times New Roman" w:hAnsi="Times New Roman" w:cs="Times New Roman"/>
                <w:sz w:val="20"/>
                <w:szCs w:val="20"/>
                <w:lang w:val="en-GB"/>
              </w:rPr>
            </w:pPr>
          </w:p>
        </w:tc>
        <w:tc>
          <w:tcPr>
            <w:tcW w:w="1530" w:type="dxa"/>
          </w:tcPr>
          <w:p w14:paraId="11401D1E" w14:textId="77777777" w:rsidR="008E45EC" w:rsidRDefault="008E45EC" w:rsidP="008E45EC">
            <w:pPr>
              <w:jc w:val="both"/>
              <w:rPr>
                <w:rFonts w:ascii="Times New Roman" w:hAnsi="Times New Roman" w:cs="Times New Roman"/>
                <w:sz w:val="20"/>
                <w:szCs w:val="20"/>
                <w:lang w:val="en-GB"/>
              </w:rPr>
            </w:pPr>
          </w:p>
        </w:tc>
        <w:tc>
          <w:tcPr>
            <w:tcW w:w="5665" w:type="dxa"/>
          </w:tcPr>
          <w:p w14:paraId="63A9D0BA" w14:textId="77777777" w:rsidR="008E45EC" w:rsidRDefault="008E45EC" w:rsidP="008E45EC">
            <w:pPr>
              <w:jc w:val="both"/>
              <w:rPr>
                <w:rFonts w:ascii="Times New Roman" w:hAnsi="Times New Roman" w:cs="Times New Roman"/>
                <w:sz w:val="20"/>
                <w:szCs w:val="20"/>
                <w:lang w:val="en-GB"/>
              </w:rPr>
            </w:pPr>
          </w:p>
        </w:tc>
      </w:tr>
      <w:tr w:rsidR="008E45EC" w14:paraId="1C316938" w14:textId="77777777" w:rsidTr="008E45EC">
        <w:tc>
          <w:tcPr>
            <w:tcW w:w="2155" w:type="dxa"/>
          </w:tcPr>
          <w:p w14:paraId="56726E16" w14:textId="77777777" w:rsidR="008E45EC" w:rsidRDefault="008E45EC" w:rsidP="008E45EC">
            <w:pPr>
              <w:jc w:val="both"/>
              <w:rPr>
                <w:rFonts w:ascii="Times New Roman" w:hAnsi="Times New Roman" w:cs="Times New Roman"/>
                <w:sz w:val="20"/>
                <w:szCs w:val="20"/>
                <w:lang w:val="en-GB"/>
              </w:rPr>
            </w:pPr>
          </w:p>
        </w:tc>
        <w:tc>
          <w:tcPr>
            <w:tcW w:w="1530" w:type="dxa"/>
          </w:tcPr>
          <w:p w14:paraId="7EF62E43" w14:textId="77777777" w:rsidR="008E45EC" w:rsidRDefault="008E45EC" w:rsidP="008E45EC">
            <w:pPr>
              <w:jc w:val="both"/>
              <w:rPr>
                <w:rFonts w:ascii="Times New Roman" w:hAnsi="Times New Roman" w:cs="Times New Roman"/>
                <w:sz w:val="20"/>
                <w:szCs w:val="20"/>
                <w:lang w:val="en-GB"/>
              </w:rPr>
            </w:pPr>
          </w:p>
        </w:tc>
        <w:tc>
          <w:tcPr>
            <w:tcW w:w="5665" w:type="dxa"/>
          </w:tcPr>
          <w:p w14:paraId="4559AC3D" w14:textId="77777777" w:rsidR="008E45EC" w:rsidRDefault="008E45EC" w:rsidP="008E45EC">
            <w:pPr>
              <w:jc w:val="both"/>
              <w:rPr>
                <w:rFonts w:ascii="Times New Roman" w:hAnsi="Times New Roman" w:cs="Times New Roman"/>
                <w:sz w:val="20"/>
                <w:szCs w:val="20"/>
                <w:lang w:val="en-GB"/>
              </w:rPr>
            </w:pP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Heading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Heading1"/>
      </w:pPr>
      <w:r>
        <w:t xml:space="preserve">Proposals </w:t>
      </w:r>
    </w:p>
    <w:p w14:paraId="40A9DFC3" w14:textId="0109438C"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Heading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ListParagraph"/>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145D65F8" w14:textId="1A71F982"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77777777" w:rsidR="00AF1D64" w:rsidRDefault="00AF1D64" w:rsidP="00EB1114">
            <w:pPr>
              <w:jc w:val="both"/>
              <w:rPr>
                <w:rFonts w:ascii="Times New Roman" w:hAnsi="Times New Roman" w:cs="Times New Roman"/>
                <w:sz w:val="20"/>
                <w:szCs w:val="20"/>
                <w:lang w:val="en-GB"/>
              </w:rPr>
            </w:pPr>
          </w:p>
        </w:tc>
        <w:tc>
          <w:tcPr>
            <w:tcW w:w="7285" w:type="dxa"/>
          </w:tcPr>
          <w:p w14:paraId="78BD0D0A" w14:textId="77777777" w:rsidR="00AF1D64" w:rsidRDefault="00AF1D64" w:rsidP="00EB1114">
            <w:pPr>
              <w:jc w:val="both"/>
              <w:rPr>
                <w:rFonts w:ascii="Times New Roman" w:hAnsi="Times New Roman" w:cs="Times New Roman"/>
                <w:sz w:val="20"/>
                <w:szCs w:val="20"/>
                <w:lang w:val="en-GB"/>
              </w:rPr>
            </w:pPr>
          </w:p>
        </w:tc>
      </w:tr>
      <w:tr w:rsidR="00AF1D64" w14:paraId="1AFA6FFA" w14:textId="77777777" w:rsidTr="00AF1D64">
        <w:tc>
          <w:tcPr>
            <w:tcW w:w="2065" w:type="dxa"/>
          </w:tcPr>
          <w:p w14:paraId="24AFE564" w14:textId="77777777" w:rsidR="00AF1D64" w:rsidRDefault="00AF1D64" w:rsidP="00EB1114">
            <w:pPr>
              <w:jc w:val="both"/>
              <w:rPr>
                <w:rFonts w:ascii="Times New Roman" w:hAnsi="Times New Roman" w:cs="Times New Roman"/>
                <w:sz w:val="20"/>
                <w:szCs w:val="20"/>
                <w:lang w:val="en-GB"/>
              </w:rPr>
            </w:pPr>
          </w:p>
        </w:tc>
        <w:tc>
          <w:tcPr>
            <w:tcW w:w="7285" w:type="dxa"/>
          </w:tcPr>
          <w:p w14:paraId="0B000632" w14:textId="77777777" w:rsidR="00AF1D64" w:rsidRDefault="00AF1D64" w:rsidP="00EB1114">
            <w:pPr>
              <w:jc w:val="both"/>
              <w:rPr>
                <w:rFonts w:ascii="Times New Roman" w:hAnsi="Times New Roman" w:cs="Times New Roman"/>
                <w:sz w:val="20"/>
                <w:szCs w:val="20"/>
                <w:lang w:val="en-GB"/>
              </w:rPr>
            </w:pPr>
          </w:p>
        </w:tc>
      </w:tr>
      <w:tr w:rsidR="00AF1D64" w14:paraId="4AF18602" w14:textId="77777777" w:rsidTr="00AF1D64">
        <w:tc>
          <w:tcPr>
            <w:tcW w:w="2065" w:type="dxa"/>
          </w:tcPr>
          <w:p w14:paraId="14A68C0F" w14:textId="77777777" w:rsidR="00AF1D64" w:rsidRDefault="00AF1D64" w:rsidP="00EB1114">
            <w:pPr>
              <w:jc w:val="both"/>
              <w:rPr>
                <w:rFonts w:ascii="Times New Roman" w:hAnsi="Times New Roman" w:cs="Times New Roman"/>
                <w:sz w:val="20"/>
                <w:szCs w:val="20"/>
                <w:lang w:val="en-GB"/>
              </w:rPr>
            </w:pPr>
          </w:p>
        </w:tc>
        <w:tc>
          <w:tcPr>
            <w:tcW w:w="7285" w:type="dxa"/>
          </w:tcPr>
          <w:p w14:paraId="5457E4CE" w14:textId="77777777" w:rsidR="00AF1D64" w:rsidRDefault="00AF1D64" w:rsidP="00EB1114">
            <w:pPr>
              <w:jc w:val="both"/>
              <w:rPr>
                <w:rFonts w:ascii="Times New Roman" w:hAnsi="Times New Roman" w:cs="Times New Roman"/>
                <w:sz w:val="20"/>
                <w:szCs w:val="20"/>
                <w:lang w:val="en-GB"/>
              </w:rPr>
            </w:pPr>
          </w:p>
        </w:tc>
      </w:tr>
      <w:tr w:rsidR="00AF1D64" w14:paraId="6BDB40EE" w14:textId="77777777" w:rsidTr="00AF1D64">
        <w:tc>
          <w:tcPr>
            <w:tcW w:w="2065" w:type="dxa"/>
          </w:tcPr>
          <w:p w14:paraId="2EAEC608" w14:textId="77777777" w:rsidR="00AF1D64" w:rsidRDefault="00AF1D64" w:rsidP="00EB1114">
            <w:pPr>
              <w:jc w:val="both"/>
              <w:rPr>
                <w:rFonts w:ascii="Times New Roman" w:hAnsi="Times New Roman" w:cs="Times New Roman"/>
                <w:sz w:val="20"/>
                <w:szCs w:val="20"/>
                <w:lang w:val="en-GB"/>
              </w:rPr>
            </w:pPr>
          </w:p>
        </w:tc>
        <w:tc>
          <w:tcPr>
            <w:tcW w:w="7285" w:type="dxa"/>
          </w:tcPr>
          <w:p w14:paraId="01EFE971" w14:textId="77777777" w:rsidR="00AF1D64" w:rsidRDefault="00AF1D64" w:rsidP="00EB1114">
            <w:pPr>
              <w:jc w:val="both"/>
              <w:rPr>
                <w:rFonts w:ascii="Times New Roman" w:hAnsi="Times New Roman" w:cs="Times New Roman"/>
                <w:sz w:val="20"/>
                <w:szCs w:val="20"/>
                <w:lang w:val="en-GB"/>
              </w:rPr>
            </w:pPr>
          </w:p>
        </w:tc>
      </w:tr>
    </w:tbl>
    <w:p w14:paraId="03BDBE0E" w14:textId="621702EB" w:rsidR="003B26FD" w:rsidRPr="00EB1114"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Spreadtrum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ZTE [3], vivo [5], China Telecom [6], (Sony [10]), InterDigital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ListParagraph"/>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r>
        <w:rPr>
          <w:rFonts w:ascii="Times New Roman" w:hAnsi="Times New Roman" w:cs="Times New Roman"/>
          <w:sz w:val="20"/>
          <w:szCs w:val="20"/>
          <w:lang w:val="en-GB"/>
        </w:rPr>
        <w:t>Mediatek [20]</w:t>
      </w:r>
    </w:p>
    <w:p w14:paraId="5EF72F90" w14:textId="0194A817" w:rsidR="00172043" w:rsidRPr="00172043" w:rsidRDefault="00172043"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ListParagraph"/>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ListParagraph"/>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77777777" w:rsidR="00004174" w:rsidRDefault="00004174" w:rsidP="00640108">
            <w:pPr>
              <w:jc w:val="both"/>
              <w:rPr>
                <w:rFonts w:ascii="Times New Roman" w:hAnsi="Times New Roman" w:cs="Times New Roman"/>
                <w:sz w:val="20"/>
                <w:szCs w:val="20"/>
                <w:lang w:val="en-GB"/>
              </w:rPr>
            </w:pPr>
          </w:p>
        </w:tc>
        <w:tc>
          <w:tcPr>
            <w:tcW w:w="7285" w:type="dxa"/>
          </w:tcPr>
          <w:p w14:paraId="33D7B79C" w14:textId="77777777" w:rsidR="00004174" w:rsidRDefault="00004174" w:rsidP="00640108">
            <w:pPr>
              <w:jc w:val="both"/>
              <w:rPr>
                <w:rFonts w:ascii="Times New Roman" w:hAnsi="Times New Roman" w:cs="Times New Roman"/>
                <w:sz w:val="20"/>
                <w:szCs w:val="20"/>
                <w:lang w:val="en-GB"/>
              </w:rPr>
            </w:pPr>
          </w:p>
        </w:tc>
      </w:tr>
      <w:tr w:rsidR="00004174" w14:paraId="29E6E212" w14:textId="77777777" w:rsidTr="00640108">
        <w:tc>
          <w:tcPr>
            <w:tcW w:w="2065" w:type="dxa"/>
          </w:tcPr>
          <w:p w14:paraId="5400DB0F" w14:textId="77777777" w:rsidR="00004174" w:rsidRDefault="00004174" w:rsidP="00640108">
            <w:pPr>
              <w:jc w:val="both"/>
              <w:rPr>
                <w:rFonts w:ascii="Times New Roman" w:hAnsi="Times New Roman" w:cs="Times New Roman"/>
                <w:sz w:val="20"/>
                <w:szCs w:val="20"/>
                <w:lang w:val="en-GB"/>
              </w:rPr>
            </w:pPr>
          </w:p>
        </w:tc>
        <w:tc>
          <w:tcPr>
            <w:tcW w:w="7285" w:type="dxa"/>
          </w:tcPr>
          <w:p w14:paraId="3FE0B0AE" w14:textId="77777777" w:rsidR="00004174" w:rsidRDefault="00004174" w:rsidP="00640108">
            <w:pPr>
              <w:jc w:val="both"/>
              <w:rPr>
                <w:rFonts w:ascii="Times New Roman" w:hAnsi="Times New Roman" w:cs="Times New Roman"/>
                <w:sz w:val="20"/>
                <w:szCs w:val="20"/>
                <w:lang w:val="en-GB"/>
              </w:rPr>
            </w:pPr>
          </w:p>
        </w:tc>
      </w:tr>
      <w:tr w:rsidR="00004174" w14:paraId="2F11B271" w14:textId="77777777" w:rsidTr="00640108">
        <w:tc>
          <w:tcPr>
            <w:tcW w:w="2065" w:type="dxa"/>
          </w:tcPr>
          <w:p w14:paraId="197BA4BB" w14:textId="77777777" w:rsidR="00004174" w:rsidRDefault="00004174" w:rsidP="00640108">
            <w:pPr>
              <w:jc w:val="both"/>
              <w:rPr>
                <w:rFonts w:ascii="Times New Roman" w:hAnsi="Times New Roman" w:cs="Times New Roman"/>
                <w:sz w:val="20"/>
                <w:szCs w:val="20"/>
                <w:lang w:val="en-GB"/>
              </w:rPr>
            </w:pPr>
          </w:p>
        </w:tc>
        <w:tc>
          <w:tcPr>
            <w:tcW w:w="7285" w:type="dxa"/>
          </w:tcPr>
          <w:p w14:paraId="376B6BC2" w14:textId="77777777" w:rsidR="00004174" w:rsidRDefault="00004174" w:rsidP="00640108">
            <w:pPr>
              <w:jc w:val="both"/>
              <w:rPr>
                <w:rFonts w:ascii="Times New Roman" w:hAnsi="Times New Roman" w:cs="Times New Roman"/>
                <w:sz w:val="20"/>
                <w:szCs w:val="20"/>
                <w:lang w:val="en-GB"/>
              </w:rPr>
            </w:pPr>
          </w:p>
        </w:tc>
      </w:tr>
      <w:tr w:rsidR="00004174" w14:paraId="412878DD" w14:textId="77777777" w:rsidTr="00640108">
        <w:tc>
          <w:tcPr>
            <w:tcW w:w="2065" w:type="dxa"/>
          </w:tcPr>
          <w:p w14:paraId="54F75F08" w14:textId="77777777" w:rsidR="00004174" w:rsidRDefault="00004174" w:rsidP="00640108">
            <w:pPr>
              <w:jc w:val="both"/>
              <w:rPr>
                <w:rFonts w:ascii="Times New Roman" w:hAnsi="Times New Roman" w:cs="Times New Roman"/>
                <w:sz w:val="20"/>
                <w:szCs w:val="20"/>
                <w:lang w:val="en-GB"/>
              </w:rPr>
            </w:pPr>
          </w:p>
        </w:tc>
        <w:tc>
          <w:tcPr>
            <w:tcW w:w="7285" w:type="dxa"/>
          </w:tcPr>
          <w:p w14:paraId="3105A8C6" w14:textId="77777777" w:rsidR="00004174" w:rsidRDefault="00004174" w:rsidP="00640108">
            <w:pPr>
              <w:jc w:val="both"/>
              <w:rPr>
                <w:rFonts w:ascii="Times New Roman" w:hAnsi="Times New Roman" w:cs="Times New Roman"/>
                <w:sz w:val="20"/>
                <w:szCs w:val="20"/>
                <w:lang w:val="en-GB"/>
              </w:rPr>
            </w:pPr>
          </w:p>
        </w:tc>
      </w:tr>
    </w:tbl>
    <w:p w14:paraId="24EE94EF" w14:textId="77777777" w:rsidR="003B26FD"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Consider with lower priority [12]</w:t>
      </w:r>
    </w:p>
    <w:p w14:paraId="6878AC2F" w14:textId="279DD31A" w:rsidR="00CC35CE" w:rsidRDefault="00CC35CE"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ListParagraph"/>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Spreadtrum [4], CATT [8], Mediatek [20]</w:t>
      </w:r>
    </w:p>
    <w:p w14:paraId="0CC64A1B" w14:textId="3D53EB92" w:rsidR="007F0827"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ListParagraph"/>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ListParagraph"/>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77777777" w:rsidR="005F04DC" w:rsidRDefault="005F04DC" w:rsidP="00640108">
            <w:pPr>
              <w:jc w:val="both"/>
              <w:rPr>
                <w:rFonts w:ascii="Times New Roman" w:hAnsi="Times New Roman" w:cs="Times New Roman"/>
                <w:sz w:val="20"/>
                <w:szCs w:val="20"/>
                <w:lang w:val="en-GB"/>
              </w:rPr>
            </w:pPr>
          </w:p>
        </w:tc>
        <w:tc>
          <w:tcPr>
            <w:tcW w:w="7285" w:type="dxa"/>
          </w:tcPr>
          <w:p w14:paraId="5E3E2E0F" w14:textId="77777777" w:rsidR="005F04DC" w:rsidRDefault="005F04DC" w:rsidP="00640108">
            <w:pPr>
              <w:jc w:val="both"/>
              <w:rPr>
                <w:rFonts w:ascii="Times New Roman" w:hAnsi="Times New Roman" w:cs="Times New Roman"/>
                <w:sz w:val="20"/>
                <w:szCs w:val="20"/>
                <w:lang w:val="en-GB"/>
              </w:rPr>
            </w:pPr>
          </w:p>
        </w:tc>
      </w:tr>
      <w:tr w:rsidR="005F04DC" w14:paraId="208166AA" w14:textId="77777777" w:rsidTr="00640108">
        <w:tc>
          <w:tcPr>
            <w:tcW w:w="2065" w:type="dxa"/>
          </w:tcPr>
          <w:p w14:paraId="67C42806" w14:textId="77777777" w:rsidR="005F04DC" w:rsidRDefault="005F04DC" w:rsidP="00640108">
            <w:pPr>
              <w:jc w:val="both"/>
              <w:rPr>
                <w:rFonts w:ascii="Times New Roman" w:hAnsi="Times New Roman" w:cs="Times New Roman"/>
                <w:sz w:val="20"/>
                <w:szCs w:val="20"/>
                <w:lang w:val="en-GB"/>
              </w:rPr>
            </w:pPr>
          </w:p>
        </w:tc>
        <w:tc>
          <w:tcPr>
            <w:tcW w:w="7285" w:type="dxa"/>
          </w:tcPr>
          <w:p w14:paraId="6B406577" w14:textId="77777777" w:rsidR="005F04DC" w:rsidRDefault="005F04DC" w:rsidP="00640108">
            <w:pPr>
              <w:jc w:val="both"/>
              <w:rPr>
                <w:rFonts w:ascii="Times New Roman" w:hAnsi="Times New Roman" w:cs="Times New Roman"/>
                <w:sz w:val="20"/>
                <w:szCs w:val="20"/>
                <w:lang w:val="en-GB"/>
              </w:rPr>
            </w:pPr>
          </w:p>
        </w:tc>
      </w:tr>
      <w:tr w:rsidR="005F04DC" w14:paraId="231A27B0" w14:textId="77777777" w:rsidTr="00640108">
        <w:tc>
          <w:tcPr>
            <w:tcW w:w="2065" w:type="dxa"/>
          </w:tcPr>
          <w:p w14:paraId="1F4C58E8" w14:textId="77777777" w:rsidR="005F04DC" w:rsidRDefault="005F04DC" w:rsidP="00640108">
            <w:pPr>
              <w:jc w:val="both"/>
              <w:rPr>
                <w:rFonts w:ascii="Times New Roman" w:hAnsi="Times New Roman" w:cs="Times New Roman"/>
                <w:sz w:val="20"/>
                <w:szCs w:val="20"/>
                <w:lang w:val="en-GB"/>
              </w:rPr>
            </w:pPr>
          </w:p>
        </w:tc>
        <w:tc>
          <w:tcPr>
            <w:tcW w:w="7285" w:type="dxa"/>
          </w:tcPr>
          <w:p w14:paraId="4EFB8B41" w14:textId="77777777" w:rsidR="005F04DC" w:rsidRDefault="005F04DC" w:rsidP="00640108">
            <w:pPr>
              <w:jc w:val="both"/>
              <w:rPr>
                <w:rFonts w:ascii="Times New Roman" w:hAnsi="Times New Roman" w:cs="Times New Roman"/>
                <w:sz w:val="20"/>
                <w:szCs w:val="20"/>
                <w:lang w:val="en-GB"/>
              </w:rPr>
            </w:pPr>
          </w:p>
        </w:tc>
      </w:tr>
      <w:tr w:rsidR="005F04DC" w14:paraId="4F665A80" w14:textId="77777777" w:rsidTr="00640108">
        <w:tc>
          <w:tcPr>
            <w:tcW w:w="2065" w:type="dxa"/>
          </w:tcPr>
          <w:p w14:paraId="3D715411" w14:textId="77777777" w:rsidR="005F04DC" w:rsidRDefault="005F04DC" w:rsidP="00640108">
            <w:pPr>
              <w:jc w:val="both"/>
              <w:rPr>
                <w:rFonts w:ascii="Times New Roman" w:hAnsi="Times New Roman" w:cs="Times New Roman"/>
                <w:sz w:val="20"/>
                <w:szCs w:val="20"/>
                <w:lang w:val="en-GB"/>
              </w:rPr>
            </w:pPr>
          </w:p>
        </w:tc>
        <w:tc>
          <w:tcPr>
            <w:tcW w:w="7285" w:type="dxa"/>
          </w:tcPr>
          <w:p w14:paraId="3FB2F4CE" w14:textId="77777777" w:rsidR="005F04DC" w:rsidRDefault="005F04DC" w:rsidP="00640108">
            <w:pPr>
              <w:jc w:val="both"/>
              <w:rPr>
                <w:rFonts w:ascii="Times New Roman" w:hAnsi="Times New Roman" w:cs="Times New Roman"/>
                <w:sz w:val="20"/>
                <w:szCs w:val="20"/>
                <w:lang w:val="en-GB"/>
              </w:rPr>
            </w:pP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ListParagraph"/>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77777777" w:rsidR="00776450" w:rsidRDefault="00776450" w:rsidP="00640108">
            <w:pPr>
              <w:jc w:val="both"/>
              <w:rPr>
                <w:rFonts w:ascii="Times New Roman" w:hAnsi="Times New Roman" w:cs="Times New Roman"/>
                <w:sz w:val="20"/>
                <w:szCs w:val="20"/>
                <w:lang w:val="en-GB"/>
              </w:rPr>
            </w:pPr>
          </w:p>
        </w:tc>
        <w:tc>
          <w:tcPr>
            <w:tcW w:w="7285" w:type="dxa"/>
          </w:tcPr>
          <w:p w14:paraId="3E115137" w14:textId="77777777" w:rsidR="00776450" w:rsidRDefault="00776450" w:rsidP="00640108">
            <w:pPr>
              <w:jc w:val="both"/>
              <w:rPr>
                <w:rFonts w:ascii="Times New Roman" w:hAnsi="Times New Roman" w:cs="Times New Roman"/>
                <w:sz w:val="20"/>
                <w:szCs w:val="20"/>
                <w:lang w:val="en-GB"/>
              </w:rPr>
            </w:pPr>
          </w:p>
        </w:tc>
      </w:tr>
      <w:tr w:rsidR="00776450" w14:paraId="58C49854" w14:textId="77777777" w:rsidTr="00640108">
        <w:tc>
          <w:tcPr>
            <w:tcW w:w="2065" w:type="dxa"/>
          </w:tcPr>
          <w:p w14:paraId="05212F6C" w14:textId="77777777" w:rsidR="00776450" w:rsidRDefault="00776450" w:rsidP="00640108">
            <w:pPr>
              <w:jc w:val="both"/>
              <w:rPr>
                <w:rFonts w:ascii="Times New Roman" w:hAnsi="Times New Roman" w:cs="Times New Roman"/>
                <w:sz w:val="20"/>
                <w:szCs w:val="20"/>
                <w:lang w:val="en-GB"/>
              </w:rPr>
            </w:pPr>
          </w:p>
        </w:tc>
        <w:tc>
          <w:tcPr>
            <w:tcW w:w="7285" w:type="dxa"/>
          </w:tcPr>
          <w:p w14:paraId="65250884" w14:textId="77777777" w:rsidR="00776450" w:rsidRDefault="00776450" w:rsidP="00640108">
            <w:pPr>
              <w:jc w:val="both"/>
              <w:rPr>
                <w:rFonts w:ascii="Times New Roman" w:hAnsi="Times New Roman" w:cs="Times New Roman"/>
                <w:sz w:val="20"/>
                <w:szCs w:val="20"/>
                <w:lang w:val="en-GB"/>
              </w:rPr>
            </w:pPr>
          </w:p>
        </w:tc>
      </w:tr>
      <w:tr w:rsidR="00776450" w14:paraId="33D04BE7" w14:textId="77777777" w:rsidTr="00640108">
        <w:tc>
          <w:tcPr>
            <w:tcW w:w="2065" w:type="dxa"/>
          </w:tcPr>
          <w:p w14:paraId="0914A955" w14:textId="77777777" w:rsidR="00776450" w:rsidRDefault="00776450" w:rsidP="00640108">
            <w:pPr>
              <w:jc w:val="both"/>
              <w:rPr>
                <w:rFonts w:ascii="Times New Roman" w:hAnsi="Times New Roman" w:cs="Times New Roman"/>
                <w:sz w:val="20"/>
                <w:szCs w:val="20"/>
                <w:lang w:val="en-GB"/>
              </w:rPr>
            </w:pPr>
          </w:p>
        </w:tc>
        <w:tc>
          <w:tcPr>
            <w:tcW w:w="7285" w:type="dxa"/>
          </w:tcPr>
          <w:p w14:paraId="78B0DB0C" w14:textId="77777777" w:rsidR="00776450" w:rsidRDefault="00776450" w:rsidP="00640108">
            <w:pPr>
              <w:jc w:val="both"/>
              <w:rPr>
                <w:rFonts w:ascii="Times New Roman" w:hAnsi="Times New Roman" w:cs="Times New Roman"/>
                <w:sz w:val="20"/>
                <w:szCs w:val="20"/>
                <w:lang w:val="en-GB"/>
              </w:rPr>
            </w:pPr>
          </w:p>
        </w:tc>
      </w:tr>
      <w:tr w:rsidR="00776450" w14:paraId="03B6DED2" w14:textId="77777777" w:rsidTr="00640108">
        <w:tc>
          <w:tcPr>
            <w:tcW w:w="2065" w:type="dxa"/>
          </w:tcPr>
          <w:p w14:paraId="58FCB029" w14:textId="77777777" w:rsidR="00776450" w:rsidRDefault="00776450" w:rsidP="00640108">
            <w:pPr>
              <w:jc w:val="both"/>
              <w:rPr>
                <w:rFonts w:ascii="Times New Roman" w:hAnsi="Times New Roman" w:cs="Times New Roman"/>
                <w:sz w:val="20"/>
                <w:szCs w:val="20"/>
                <w:lang w:val="en-GB"/>
              </w:rPr>
            </w:pPr>
          </w:p>
        </w:tc>
        <w:tc>
          <w:tcPr>
            <w:tcW w:w="7285" w:type="dxa"/>
          </w:tcPr>
          <w:p w14:paraId="70FF0D87" w14:textId="77777777" w:rsidR="00776450" w:rsidRDefault="00776450" w:rsidP="00640108">
            <w:pPr>
              <w:jc w:val="both"/>
              <w:rPr>
                <w:rFonts w:ascii="Times New Roman" w:hAnsi="Times New Roman" w:cs="Times New Roman"/>
                <w:sz w:val="20"/>
                <w:szCs w:val="20"/>
                <w:lang w:val="en-GB"/>
              </w:rPr>
            </w:pP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Heading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ListParagraph"/>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Mediatek [20], Apple [21], Sharp [24]</w:t>
      </w:r>
    </w:p>
    <w:p w14:paraId="247C1432" w14:textId="3F4E1C3E"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Mavenir [15], Xiaomi [16], CMCC [17], ETRI [18], Fujitsu [19], Ericsson [22], Samsung [23], LG [25], </w:t>
      </w:r>
      <w:r w:rsidR="00690B34" w:rsidRPr="00B14045">
        <w:rPr>
          <w:rFonts w:ascii="Times New Roman" w:hAnsi="Times New Roman" w:cs="Times New Roman"/>
          <w:sz w:val="20"/>
          <w:szCs w:val="20"/>
          <w:lang w:val="en-GB"/>
        </w:rPr>
        <w:t xml:space="preserve">CEWiT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ListParagraph"/>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lastRenderedPageBreak/>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ListParagraph"/>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LG [25], Qualcomm [27], CEWiT [28], Nokia [29]</w:t>
      </w:r>
    </w:p>
    <w:p w14:paraId="2B406B71" w14:textId="334C07A5" w:rsidR="00CF24FF" w:rsidRDefault="00CF24FF" w:rsidP="00D3497C">
      <w:pPr>
        <w:pStyle w:val="ListParagraph"/>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Mavenir [15], Mediatek [20], Apple [21], Ericsson [22], Sharp [24]</w:t>
      </w:r>
    </w:p>
    <w:p w14:paraId="06CE0F6D" w14:textId="77777777" w:rsidR="00B14045" w:rsidRPr="00B14045" w:rsidRDefault="00B14045" w:rsidP="00B14045">
      <w:pPr>
        <w:pStyle w:val="ListParagraph"/>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ListParagraph"/>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FDMed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ListParagraph"/>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ListParagraph"/>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ListParagraph"/>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t>Preferred</w:t>
      </w:r>
      <w:r>
        <w:rPr>
          <w:rFonts w:ascii="Times New Roman" w:hAnsi="Times New Roman" w:cs="Times New Roman"/>
          <w:sz w:val="20"/>
          <w:szCs w:val="20"/>
        </w:rPr>
        <w:t>: CMCC [17]</w:t>
      </w:r>
    </w:p>
    <w:p w14:paraId="00AB1E02" w14:textId="05FB1114" w:rsidR="00CF24FF" w:rsidRPr="00D3497C" w:rsidRDefault="00CF24FF" w:rsidP="00941983">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InterDigital [13], Lenovo [14], Mavenir [15], Xiaomi [16], ETRI [18], Ericsson [22], Samsung [23], Qualcomm [27], CEWiT [28]</w:t>
      </w:r>
    </w:p>
    <w:p w14:paraId="429DBAC7" w14:textId="2BB05F1D" w:rsidR="00CF24FF" w:rsidRDefault="00CF24FF" w:rsidP="00D3497C">
      <w:pPr>
        <w:pStyle w:val="ListParagraph"/>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China Telecom [6], Oppo [7], CATT [8], Intel [9], Sony [10], Panasonic [12], Fujitsu [19], Mediatek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lastRenderedPageBreak/>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ListParagraph"/>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ListParagraph"/>
        <w:jc w:val="both"/>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77777777" w:rsidR="00A54814" w:rsidRDefault="00A54814" w:rsidP="00640108">
            <w:pPr>
              <w:jc w:val="both"/>
              <w:rPr>
                <w:rFonts w:ascii="Times New Roman" w:hAnsi="Times New Roman" w:cs="Times New Roman"/>
                <w:sz w:val="20"/>
                <w:szCs w:val="20"/>
                <w:lang w:val="en-GB"/>
              </w:rPr>
            </w:pPr>
          </w:p>
        </w:tc>
        <w:tc>
          <w:tcPr>
            <w:tcW w:w="7285" w:type="dxa"/>
          </w:tcPr>
          <w:p w14:paraId="074E09D1" w14:textId="77777777" w:rsidR="00A54814" w:rsidRDefault="00A54814" w:rsidP="00640108">
            <w:pPr>
              <w:jc w:val="both"/>
              <w:rPr>
                <w:rFonts w:ascii="Times New Roman" w:hAnsi="Times New Roman" w:cs="Times New Roman"/>
                <w:sz w:val="20"/>
                <w:szCs w:val="20"/>
                <w:lang w:val="en-GB"/>
              </w:rPr>
            </w:pPr>
          </w:p>
        </w:tc>
      </w:tr>
      <w:tr w:rsidR="00A54814" w14:paraId="66953CBC" w14:textId="77777777" w:rsidTr="00640108">
        <w:tc>
          <w:tcPr>
            <w:tcW w:w="2065" w:type="dxa"/>
          </w:tcPr>
          <w:p w14:paraId="15B34136" w14:textId="77777777" w:rsidR="00A54814" w:rsidRDefault="00A54814" w:rsidP="00640108">
            <w:pPr>
              <w:jc w:val="both"/>
              <w:rPr>
                <w:rFonts w:ascii="Times New Roman" w:hAnsi="Times New Roman" w:cs="Times New Roman"/>
                <w:sz w:val="20"/>
                <w:szCs w:val="20"/>
                <w:lang w:val="en-GB"/>
              </w:rPr>
            </w:pPr>
          </w:p>
        </w:tc>
        <w:tc>
          <w:tcPr>
            <w:tcW w:w="7285" w:type="dxa"/>
          </w:tcPr>
          <w:p w14:paraId="18D9621A" w14:textId="77777777" w:rsidR="00A54814" w:rsidRDefault="00A54814" w:rsidP="00640108">
            <w:pPr>
              <w:jc w:val="both"/>
              <w:rPr>
                <w:rFonts w:ascii="Times New Roman" w:hAnsi="Times New Roman" w:cs="Times New Roman"/>
                <w:sz w:val="20"/>
                <w:szCs w:val="20"/>
                <w:lang w:val="en-GB"/>
              </w:rPr>
            </w:pPr>
          </w:p>
        </w:tc>
      </w:tr>
      <w:tr w:rsidR="00A54814" w14:paraId="1F70A4C6" w14:textId="77777777" w:rsidTr="00640108">
        <w:tc>
          <w:tcPr>
            <w:tcW w:w="2065" w:type="dxa"/>
          </w:tcPr>
          <w:p w14:paraId="0647E878" w14:textId="77777777" w:rsidR="00A54814" w:rsidRDefault="00A54814" w:rsidP="00640108">
            <w:pPr>
              <w:jc w:val="both"/>
              <w:rPr>
                <w:rFonts w:ascii="Times New Roman" w:hAnsi="Times New Roman" w:cs="Times New Roman"/>
                <w:sz w:val="20"/>
                <w:szCs w:val="20"/>
                <w:lang w:val="en-GB"/>
              </w:rPr>
            </w:pPr>
          </w:p>
        </w:tc>
        <w:tc>
          <w:tcPr>
            <w:tcW w:w="7285" w:type="dxa"/>
          </w:tcPr>
          <w:p w14:paraId="0FADF3DA" w14:textId="77777777" w:rsidR="00A54814" w:rsidRDefault="00A54814" w:rsidP="00640108">
            <w:pPr>
              <w:jc w:val="both"/>
              <w:rPr>
                <w:rFonts w:ascii="Times New Roman" w:hAnsi="Times New Roman" w:cs="Times New Roman"/>
                <w:sz w:val="20"/>
                <w:szCs w:val="20"/>
                <w:lang w:val="en-GB"/>
              </w:rPr>
            </w:pPr>
          </w:p>
        </w:tc>
      </w:tr>
      <w:tr w:rsidR="00A54814" w14:paraId="69FF1586" w14:textId="77777777" w:rsidTr="00640108">
        <w:tc>
          <w:tcPr>
            <w:tcW w:w="2065" w:type="dxa"/>
          </w:tcPr>
          <w:p w14:paraId="3F6E0AB5" w14:textId="77777777" w:rsidR="00A54814" w:rsidRDefault="00A54814" w:rsidP="00640108">
            <w:pPr>
              <w:jc w:val="both"/>
              <w:rPr>
                <w:rFonts w:ascii="Times New Roman" w:hAnsi="Times New Roman" w:cs="Times New Roman"/>
                <w:sz w:val="20"/>
                <w:szCs w:val="20"/>
                <w:lang w:val="en-GB"/>
              </w:rPr>
            </w:pPr>
          </w:p>
        </w:tc>
        <w:tc>
          <w:tcPr>
            <w:tcW w:w="7285" w:type="dxa"/>
          </w:tcPr>
          <w:p w14:paraId="7B9DA63B" w14:textId="77777777" w:rsidR="00A54814" w:rsidRDefault="00A54814" w:rsidP="00640108">
            <w:pPr>
              <w:jc w:val="both"/>
              <w:rPr>
                <w:rFonts w:ascii="Times New Roman" w:hAnsi="Times New Roman" w:cs="Times New Roman"/>
                <w:sz w:val="20"/>
                <w:szCs w:val="20"/>
                <w:lang w:val="en-GB"/>
              </w:rPr>
            </w:pPr>
          </w:p>
        </w:tc>
      </w:tr>
    </w:tbl>
    <w:p w14:paraId="32578A70" w14:textId="77777777" w:rsidR="00F71D95" w:rsidRDefault="00F71D95" w:rsidP="005126E2">
      <w:pPr>
        <w:rPr>
          <w:rFonts w:ascii="Times New Roman" w:hAnsi="Times New Roman" w:cs="Times New Roman"/>
          <w:sz w:val="20"/>
          <w:szCs w:val="20"/>
        </w:rPr>
      </w:pPr>
    </w:p>
    <w:p w14:paraId="0608202B" w14:textId="67A6F2CB" w:rsidR="004B3410" w:rsidRPr="00A26637" w:rsidRDefault="00DF3D1D" w:rsidP="004B3410">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ListParagraph"/>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ListParagraph"/>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ListParagraph"/>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ListParagraph"/>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r w:rsidRPr="005E4629">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1622E0B0" w14:textId="571FEB91" w:rsidR="00A1147B" w:rsidRDefault="00367DA8" w:rsidP="00A1147B">
      <w:pPr>
        <w:pStyle w:val="Heading1"/>
      </w:pPr>
      <w:r>
        <w:lastRenderedPageBreak/>
        <w:t xml:space="preserve">Topic #3: </w:t>
      </w:r>
      <w:r w:rsidR="00F720FF">
        <w:t>Assistance</w:t>
      </w:r>
      <w:r w:rsidR="00625F52">
        <w:t xml:space="preserve"> information for switching waveform</w:t>
      </w:r>
    </w:p>
    <w:p w14:paraId="35562167" w14:textId="6A7C58C5" w:rsidR="00BE499A" w:rsidRPr="00A26637" w:rsidRDefault="007542D2" w:rsidP="00BE499A">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70C20EA5" w14:textId="06D44C92" w:rsidR="004C6B80" w:rsidRDefault="004C6B80"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6A1EA919" w14:textId="77777777" w:rsidR="00935528" w:rsidRPr="001A26E1" w:rsidRDefault="00935528" w:rsidP="00935528">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ListParagraph"/>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Heading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77777777" w:rsidR="00FF559A" w:rsidRDefault="00FF559A" w:rsidP="00640108">
            <w:pPr>
              <w:jc w:val="both"/>
              <w:rPr>
                <w:rFonts w:ascii="Times New Roman" w:hAnsi="Times New Roman" w:cs="Times New Roman"/>
                <w:sz w:val="20"/>
                <w:szCs w:val="20"/>
                <w:lang w:val="en-GB"/>
              </w:rPr>
            </w:pPr>
          </w:p>
        </w:tc>
        <w:tc>
          <w:tcPr>
            <w:tcW w:w="7285" w:type="dxa"/>
          </w:tcPr>
          <w:p w14:paraId="5D75B3EC" w14:textId="77777777" w:rsidR="00FF559A" w:rsidRDefault="00FF559A" w:rsidP="00640108">
            <w:pPr>
              <w:jc w:val="both"/>
              <w:rPr>
                <w:rFonts w:ascii="Times New Roman" w:hAnsi="Times New Roman" w:cs="Times New Roman"/>
                <w:sz w:val="20"/>
                <w:szCs w:val="20"/>
                <w:lang w:val="en-GB"/>
              </w:rPr>
            </w:pPr>
          </w:p>
        </w:tc>
      </w:tr>
      <w:tr w:rsidR="00FF559A" w14:paraId="7C7FD7E6" w14:textId="77777777" w:rsidTr="00640108">
        <w:tc>
          <w:tcPr>
            <w:tcW w:w="2065" w:type="dxa"/>
          </w:tcPr>
          <w:p w14:paraId="780257D4" w14:textId="77777777" w:rsidR="00FF559A" w:rsidRDefault="00FF559A" w:rsidP="00640108">
            <w:pPr>
              <w:jc w:val="both"/>
              <w:rPr>
                <w:rFonts w:ascii="Times New Roman" w:hAnsi="Times New Roman" w:cs="Times New Roman"/>
                <w:sz w:val="20"/>
                <w:szCs w:val="20"/>
                <w:lang w:val="en-GB"/>
              </w:rPr>
            </w:pPr>
          </w:p>
        </w:tc>
        <w:tc>
          <w:tcPr>
            <w:tcW w:w="7285" w:type="dxa"/>
          </w:tcPr>
          <w:p w14:paraId="0CF05F2C" w14:textId="77777777" w:rsidR="00FF559A" w:rsidRDefault="00FF559A" w:rsidP="00640108">
            <w:pPr>
              <w:jc w:val="both"/>
              <w:rPr>
                <w:rFonts w:ascii="Times New Roman" w:hAnsi="Times New Roman" w:cs="Times New Roman"/>
                <w:sz w:val="20"/>
                <w:szCs w:val="20"/>
                <w:lang w:val="en-GB"/>
              </w:rPr>
            </w:pPr>
          </w:p>
        </w:tc>
      </w:tr>
      <w:tr w:rsidR="00FF559A" w14:paraId="70C9ED73" w14:textId="77777777" w:rsidTr="00640108">
        <w:tc>
          <w:tcPr>
            <w:tcW w:w="2065" w:type="dxa"/>
          </w:tcPr>
          <w:p w14:paraId="4F8A863E" w14:textId="77777777" w:rsidR="00FF559A" w:rsidRDefault="00FF559A" w:rsidP="00640108">
            <w:pPr>
              <w:jc w:val="both"/>
              <w:rPr>
                <w:rFonts w:ascii="Times New Roman" w:hAnsi="Times New Roman" w:cs="Times New Roman"/>
                <w:sz w:val="20"/>
                <w:szCs w:val="20"/>
                <w:lang w:val="en-GB"/>
              </w:rPr>
            </w:pPr>
          </w:p>
        </w:tc>
        <w:tc>
          <w:tcPr>
            <w:tcW w:w="7285" w:type="dxa"/>
          </w:tcPr>
          <w:p w14:paraId="104CE3C0" w14:textId="77777777" w:rsidR="00FF559A" w:rsidRDefault="00FF559A" w:rsidP="00640108">
            <w:pPr>
              <w:jc w:val="both"/>
              <w:rPr>
                <w:rFonts w:ascii="Times New Roman" w:hAnsi="Times New Roman" w:cs="Times New Roman"/>
                <w:sz w:val="20"/>
                <w:szCs w:val="20"/>
                <w:lang w:val="en-GB"/>
              </w:rPr>
            </w:pPr>
          </w:p>
        </w:tc>
      </w:tr>
      <w:tr w:rsidR="00FF559A" w14:paraId="0B95851B" w14:textId="77777777" w:rsidTr="00640108">
        <w:tc>
          <w:tcPr>
            <w:tcW w:w="2065" w:type="dxa"/>
          </w:tcPr>
          <w:p w14:paraId="0DA75788" w14:textId="77777777" w:rsidR="00FF559A" w:rsidRDefault="00FF559A" w:rsidP="00640108">
            <w:pPr>
              <w:jc w:val="both"/>
              <w:rPr>
                <w:rFonts w:ascii="Times New Roman" w:hAnsi="Times New Roman" w:cs="Times New Roman"/>
                <w:sz w:val="20"/>
                <w:szCs w:val="20"/>
                <w:lang w:val="en-GB"/>
              </w:rPr>
            </w:pPr>
          </w:p>
        </w:tc>
        <w:tc>
          <w:tcPr>
            <w:tcW w:w="7285" w:type="dxa"/>
          </w:tcPr>
          <w:p w14:paraId="67D5AE88" w14:textId="77777777" w:rsidR="00FF559A" w:rsidRDefault="00FF559A" w:rsidP="00640108">
            <w:pPr>
              <w:jc w:val="both"/>
              <w:rPr>
                <w:rFonts w:ascii="Times New Roman" w:hAnsi="Times New Roman" w:cs="Times New Roman"/>
                <w:sz w:val="20"/>
                <w:szCs w:val="20"/>
                <w:lang w:val="en-GB"/>
              </w:rPr>
            </w:pPr>
          </w:p>
        </w:tc>
      </w:tr>
    </w:tbl>
    <w:p w14:paraId="77ABD54D" w14:textId="77777777" w:rsidR="00A1147B" w:rsidRPr="00FF559A" w:rsidRDefault="00A1147B" w:rsidP="00310D97">
      <w:pPr>
        <w:rPr>
          <w:rFonts w:ascii="Times New Roman" w:hAnsi="Times New Roman" w:cs="Times New Roman"/>
          <w:sz w:val="20"/>
          <w:szCs w:val="20"/>
          <w:lang w:val="en-GB"/>
        </w:rPr>
      </w:pPr>
    </w:p>
    <w:p w14:paraId="04DC7746" w14:textId="0E01303C" w:rsidR="00B247A4" w:rsidRDefault="00B247A4" w:rsidP="00B247A4">
      <w:pPr>
        <w:pStyle w:val="Heading1"/>
      </w:pPr>
      <w:r w:rsidRPr="00265983">
        <w:lastRenderedPageBreak/>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1" w:name="RANGE!C1"/>
            <w:r w:rsidRPr="0067252E">
              <w:rPr>
                <w:rFonts w:ascii="Times New Roman" w:eastAsia="Times New Roman" w:hAnsi="Times New Roman" w:cs="Times New Roman"/>
                <w:color w:val="000000"/>
                <w:sz w:val="20"/>
                <w:szCs w:val="20"/>
                <w:lang w:eastAsia="en-US"/>
              </w:rPr>
              <w:t>Revised WID on Further NR coverage enhancements</w:t>
            </w:r>
            <w:bookmarkEnd w:id="1"/>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Mavenir</w:t>
            </w:r>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xiaomi</w:t>
            </w:r>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CEWiT</w:t>
            </w:r>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037C" w14:textId="77777777" w:rsidR="004331EF" w:rsidRDefault="004331EF" w:rsidP="005854C7">
      <w:pPr>
        <w:spacing w:after="0" w:line="240" w:lineRule="auto"/>
      </w:pPr>
      <w:r>
        <w:separator/>
      </w:r>
    </w:p>
  </w:endnote>
  <w:endnote w:type="continuationSeparator" w:id="0">
    <w:p w14:paraId="21AB8AA1" w14:textId="77777777" w:rsidR="004331EF" w:rsidRDefault="004331EF"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4897" w14:textId="77777777" w:rsidR="004331EF" w:rsidRDefault="004331EF" w:rsidP="005854C7">
      <w:pPr>
        <w:spacing w:after="0" w:line="240" w:lineRule="auto"/>
      </w:pPr>
      <w:r>
        <w:separator/>
      </w:r>
    </w:p>
  </w:footnote>
  <w:footnote w:type="continuationSeparator" w:id="0">
    <w:p w14:paraId="3DB39ADA" w14:textId="77777777" w:rsidR="004331EF" w:rsidRDefault="004331EF" w:rsidP="00585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914943">
    <w:abstractNumId w:val="0"/>
  </w:num>
  <w:num w:numId="2" w16cid:durableId="1600940535">
    <w:abstractNumId w:val="21"/>
  </w:num>
  <w:num w:numId="3" w16cid:durableId="1844780636">
    <w:abstractNumId w:val="13"/>
  </w:num>
  <w:num w:numId="4" w16cid:durableId="1874809944">
    <w:abstractNumId w:val="22"/>
  </w:num>
  <w:num w:numId="5" w16cid:durableId="422917261">
    <w:abstractNumId w:val="19"/>
  </w:num>
  <w:num w:numId="6" w16cid:durableId="886377851">
    <w:abstractNumId w:val="4"/>
  </w:num>
  <w:num w:numId="7" w16cid:durableId="867260724">
    <w:abstractNumId w:val="3"/>
  </w:num>
  <w:num w:numId="8" w16cid:durableId="2022966873">
    <w:abstractNumId w:val="7"/>
  </w:num>
  <w:num w:numId="9" w16cid:durableId="1886287635">
    <w:abstractNumId w:val="10"/>
  </w:num>
  <w:num w:numId="10" w16cid:durableId="1358003460">
    <w:abstractNumId w:val="11"/>
  </w:num>
  <w:num w:numId="11" w16cid:durableId="347290869">
    <w:abstractNumId w:val="1"/>
  </w:num>
  <w:num w:numId="12" w16cid:durableId="480929308">
    <w:abstractNumId w:val="18"/>
  </w:num>
  <w:num w:numId="13" w16cid:durableId="989941183">
    <w:abstractNumId w:val="23"/>
  </w:num>
  <w:num w:numId="14" w16cid:durableId="958415994">
    <w:abstractNumId w:val="9"/>
  </w:num>
  <w:num w:numId="15" w16cid:durableId="644748173">
    <w:abstractNumId w:val="8"/>
  </w:num>
  <w:num w:numId="16" w16cid:durableId="1898318821">
    <w:abstractNumId w:val="25"/>
  </w:num>
  <w:num w:numId="17" w16cid:durableId="568424085">
    <w:abstractNumId w:val="6"/>
  </w:num>
  <w:num w:numId="18" w16cid:durableId="1506244042">
    <w:abstractNumId w:val="15"/>
  </w:num>
  <w:num w:numId="19" w16cid:durableId="1933588647">
    <w:abstractNumId w:val="24"/>
  </w:num>
  <w:num w:numId="20" w16cid:durableId="1494495110">
    <w:abstractNumId w:val="12"/>
  </w:num>
  <w:num w:numId="21" w16cid:durableId="1362703972">
    <w:abstractNumId w:val="2"/>
  </w:num>
  <w:num w:numId="22" w16cid:durableId="1782138991">
    <w:abstractNumId w:val="17"/>
  </w:num>
  <w:num w:numId="23" w16cid:durableId="2057703377">
    <w:abstractNumId w:val="14"/>
  </w:num>
  <w:num w:numId="24" w16cid:durableId="1118835074">
    <w:abstractNumId w:val="5"/>
  </w:num>
  <w:num w:numId="25" w16cid:durableId="298149086">
    <w:abstractNumId w:val="16"/>
  </w:num>
  <w:num w:numId="26" w16cid:durableId="1050154900">
    <w:abstractNumId w:val="26"/>
  </w:num>
  <w:num w:numId="27" w16cid:durableId="17989967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7071"/>
    <w:rsid w:val="000B7ABF"/>
    <w:rsid w:val="000C24F4"/>
    <w:rsid w:val="000C374E"/>
    <w:rsid w:val="000C4721"/>
    <w:rsid w:val="000C51C7"/>
    <w:rsid w:val="000C636A"/>
    <w:rsid w:val="000C64E7"/>
    <w:rsid w:val="000C7155"/>
    <w:rsid w:val="000C732F"/>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FD3"/>
    <w:rsid w:val="0028492F"/>
    <w:rsid w:val="00284C6E"/>
    <w:rsid w:val="00287BAE"/>
    <w:rsid w:val="00290A72"/>
    <w:rsid w:val="002929DA"/>
    <w:rsid w:val="0029345D"/>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43F6"/>
    <w:rsid w:val="003C581A"/>
    <w:rsid w:val="003C753A"/>
    <w:rsid w:val="003C77A7"/>
    <w:rsid w:val="003D04A2"/>
    <w:rsid w:val="003D06D6"/>
    <w:rsid w:val="003D138F"/>
    <w:rsid w:val="003D1D56"/>
    <w:rsid w:val="003D1F7E"/>
    <w:rsid w:val="003D229B"/>
    <w:rsid w:val="003D2669"/>
    <w:rsid w:val="003D32BE"/>
    <w:rsid w:val="003D3501"/>
    <w:rsid w:val="003D42A3"/>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337"/>
    <w:rsid w:val="004D2839"/>
    <w:rsid w:val="004D2DCC"/>
    <w:rsid w:val="004D4100"/>
    <w:rsid w:val="004D5154"/>
    <w:rsid w:val="004D5DB7"/>
    <w:rsid w:val="004D6147"/>
    <w:rsid w:val="004D705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F0827"/>
    <w:rsid w:val="007F0FFD"/>
    <w:rsid w:val="007F1EF5"/>
    <w:rsid w:val="007F2A53"/>
    <w:rsid w:val="007F2D74"/>
    <w:rsid w:val="007F4DF2"/>
    <w:rsid w:val="007F54C6"/>
    <w:rsid w:val="007F5F16"/>
    <w:rsid w:val="007F6452"/>
    <w:rsid w:val="007F64CF"/>
    <w:rsid w:val="007F667F"/>
    <w:rsid w:val="007F7316"/>
    <w:rsid w:val="007F7A39"/>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B90"/>
    <w:rsid w:val="00AE2260"/>
    <w:rsid w:val="00AE2C42"/>
    <w:rsid w:val="00AE2E27"/>
    <w:rsid w:val="00AE3811"/>
    <w:rsid w:val="00AE3947"/>
    <w:rsid w:val="00AE425C"/>
    <w:rsid w:val="00AE4390"/>
    <w:rsid w:val="00AE4DA5"/>
    <w:rsid w:val="00AE5257"/>
    <w:rsid w:val="00AE5D9E"/>
    <w:rsid w:val="00AE6324"/>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EFE"/>
    <w:rsid w:val="00CF6B0A"/>
    <w:rsid w:val="00D000F1"/>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FF92"/>
  <w15:chartTrackingRefBased/>
  <w15:docId w15:val="{35C293C2-D969-4C34-8004-8F6792DF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BB"/>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next w:val="Normal"/>
    <w:link w:val="Heading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Heading2">
    <w:name w:val="heading 2"/>
    <w:aliases w:val="H2,h2,Head2A,2,UNDERRUBRIK 1-2,DO NOT USE_h2,h21,H2 Char,h2 Char,标题 2"/>
    <w:basedOn w:val="Heading1"/>
    <w:next w:val="Normal"/>
    <w:link w:val="Heading2Char"/>
    <w:qFormat/>
    <w:rsid w:val="003346F0"/>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3346F0"/>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4,Memo,5,3,no,break,4H,Head4,41,42,43,411,421,44"/>
    <w:basedOn w:val="Heading3"/>
    <w:next w:val="Normal"/>
    <w:link w:val="Heading4Char"/>
    <w:qFormat/>
    <w:rsid w:val="003346F0"/>
    <w:pPr>
      <w:numPr>
        <w:ilvl w:val="3"/>
      </w:numPr>
      <w:outlineLvl w:val="3"/>
    </w:pPr>
    <w:rPr>
      <w:sz w:val="24"/>
      <w:szCs w:val="24"/>
    </w:rPr>
  </w:style>
  <w:style w:type="paragraph" w:styleId="Heading5">
    <w:name w:val="heading 5"/>
    <w:basedOn w:val="Heading4"/>
    <w:next w:val="Normal"/>
    <w:link w:val="Heading5Char"/>
    <w:qFormat/>
    <w:rsid w:val="003346F0"/>
    <w:pPr>
      <w:numPr>
        <w:ilvl w:val="4"/>
      </w:numPr>
      <w:outlineLvl w:val="4"/>
    </w:pPr>
    <w:rPr>
      <w:sz w:val="22"/>
      <w:szCs w:val="22"/>
    </w:rPr>
  </w:style>
  <w:style w:type="paragraph" w:styleId="Heading6">
    <w:name w:val="heading 6"/>
    <w:basedOn w:val="Normal"/>
    <w:next w:val="Normal"/>
    <w:link w:val="Heading6Char"/>
    <w:qFormat/>
    <w:rsid w:val="003346F0"/>
    <w:pPr>
      <w:keepNext/>
      <w:keepLines/>
      <w:numPr>
        <w:ilvl w:val="5"/>
        <w:numId w:val="1"/>
      </w:numPr>
      <w:outlineLvl w:val="5"/>
    </w:pPr>
    <w:rPr>
      <w:rFonts w:ascii="Arial" w:hAnsi="Arial" w:cs="Arial"/>
    </w:rPr>
  </w:style>
  <w:style w:type="paragraph" w:styleId="Heading7">
    <w:name w:val="heading 7"/>
    <w:basedOn w:val="Normal"/>
    <w:next w:val="Normal"/>
    <w:link w:val="Heading7Char"/>
    <w:qFormat/>
    <w:rsid w:val="003346F0"/>
    <w:pPr>
      <w:keepNext/>
      <w:keepLines/>
      <w:numPr>
        <w:ilvl w:val="6"/>
        <w:numId w:val="1"/>
      </w:numPr>
      <w:outlineLvl w:val="6"/>
    </w:pPr>
    <w:rPr>
      <w:rFonts w:ascii="Arial" w:hAnsi="Arial" w:cs="Arial"/>
    </w:rPr>
  </w:style>
  <w:style w:type="paragraph" w:styleId="Heading8">
    <w:name w:val="heading 8"/>
    <w:basedOn w:val="Heading7"/>
    <w:next w:val="Normal"/>
    <w:link w:val="Heading8Char"/>
    <w:qFormat/>
    <w:rsid w:val="003346F0"/>
    <w:pPr>
      <w:numPr>
        <w:ilvl w:val="7"/>
      </w:numPr>
      <w:outlineLvl w:val="7"/>
    </w:pPr>
  </w:style>
  <w:style w:type="paragraph" w:styleId="Heading9">
    <w:name w:val="heading 9"/>
    <w:basedOn w:val="Heading8"/>
    <w:next w:val="Normal"/>
    <w:link w:val="Heading9Char"/>
    <w:qFormat/>
    <w:rsid w:val="003346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3346F0"/>
    <w:rPr>
      <w:rFonts w:ascii="Arial" w:eastAsia="SimSun" w:hAnsi="Arial" w:cs="Times New Roman"/>
      <w:sz w:val="36"/>
      <w:szCs w:val="36"/>
      <w:lang w:val="en-GB" w:eastAsia="zh-CN"/>
    </w:rPr>
  </w:style>
  <w:style w:type="character" w:customStyle="1" w:styleId="Heading2Char">
    <w:name w:val="Heading 2 Char"/>
    <w:aliases w:val="H2 Char1,h2 Char1,Head2A Char,2 Char,UNDERRUBRIK 1-2 Char,DO NOT USE_h2 Char,h21 Char,H2 Char Char,h2 Char Char,标题 2 Char"/>
    <w:basedOn w:val="DefaultParagraphFont"/>
    <w:link w:val="Heading2"/>
    <w:rsid w:val="003346F0"/>
    <w:rPr>
      <w:rFonts w:ascii="Arial" w:eastAsia="SimSun" w:hAnsi="Arial" w:cs="Times New Roman"/>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3346F0"/>
    <w:rPr>
      <w:rFonts w:ascii="Arial" w:eastAsia="SimSun" w:hAnsi="Arial" w:cs="Times New Roman"/>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3346F0"/>
    <w:rPr>
      <w:rFonts w:ascii="Arial" w:eastAsia="SimSun" w:hAnsi="Arial" w:cs="Times New Roman"/>
      <w:sz w:val="24"/>
      <w:szCs w:val="24"/>
      <w:lang w:val="en-GB" w:eastAsia="zh-CN"/>
    </w:rPr>
  </w:style>
  <w:style w:type="character" w:customStyle="1" w:styleId="Heading5Char">
    <w:name w:val="Heading 5 Char"/>
    <w:basedOn w:val="DefaultParagraphFont"/>
    <w:link w:val="Heading5"/>
    <w:rsid w:val="003346F0"/>
    <w:rPr>
      <w:rFonts w:ascii="Arial" w:eastAsia="SimSun" w:hAnsi="Arial" w:cs="Times New Roman"/>
      <w:lang w:val="en-GB" w:eastAsia="zh-CN"/>
    </w:rPr>
  </w:style>
  <w:style w:type="character" w:customStyle="1" w:styleId="Heading6Char">
    <w:name w:val="Heading 6 Char"/>
    <w:basedOn w:val="DefaultParagraphFont"/>
    <w:link w:val="Heading6"/>
    <w:rsid w:val="003346F0"/>
    <w:rPr>
      <w:rFonts w:ascii="Arial" w:hAnsi="Arial" w:cs="Arial"/>
    </w:rPr>
  </w:style>
  <w:style w:type="character" w:customStyle="1" w:styleId="Heading7Char">
    <w:name w:val="Heading 7 Char"/>
    <w:basedOn w:val="DefaultParagraphFont"/>
    <w:link w:val="Heading7"/>
    <w:rsid w:val="003346F0"/>
    <w:rPr>
      <w:rFonts w:ascii="Arial" w:hAnsi="Arial" w:cs="Arial"/>
    </w:rPr>
  </w:style>
  <w:style w:type="character" w:customStyle="1" w:styleId="Heading8Char">
    <w:name w:val="Heading 8 Char"/>
    <w:basedOn w:val="DefaultParagraphFont"/>
    <w:link w:val="Heading8"/>
    <w:rsid w:val="003346F0"/>
    <w:rPr>
      <w:rFonts w:ascii="Arial" w:hAnsi="Arial" w:cs="Arial"/>
    </w:rPr>
  </w:style>
  <w:style w:type="character" w:customStyle="1" w:styleId="Heading9Char">
    <w:name w:val="Heading 9 Char"/>
    <w:basedOn w:val="DefaultParagraphFont"/>
    <w:link w:val="Heading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36A18"/>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rsid w:val="00836A18"/>
    <w:rPr>
      <w:rFonts w:ascii="Calibri" w:eastAsia="Calibri" w:hAnsi="Calibri"/>
      <w:sz w:val="24"/>
      <w:szCs w:val="24"/>
    </w:rPr>
  </w:style>
  <w:style w:type="paragraph" w:styleId="Caption">
    <w:name w:val="caption"/>
    <w:aliases w:val="cap,Caption Equation"/>
    <w:basedOn w:val="Normal"/>
    <w:next w:val="Normal"/>
    <w:link w:val="CaptionChar"/>
    <w:qFormat/>
    <w:rsid w:val="00AC452E"/>
    <w:pPr>
      <w:spacing w:after="240" w:line="240" w:lineRule="auto"/>
      <w:jc w:val="center"/>
    </w:pPr>
    <w:rPr>
      <w:b/>
      <w:bCs/>
      <w:sz w:val="24"/>
      <w:szCs w:val="24"/>
    </w:rPr>
  </w:style>
  <w:style w:type="character" w:customStyle="1" w:styleId="CaptionChar">
    <w:name w:val="Caption Char"/>
    <w:aliases w:val="cap Char,Caption Equation Char"/>
    <w:link w:val="Caption"/>
    <w:rsid w:val="00AC452E"/>
    <w:rPr>
      <w:b/>
      <w:bCs/>
      <w:sz w:val="24"/>
      <w:szCs w:val="24"/>
    </w:rPr>
  </w:style>
  <w:style w:type="paragraph" w:styleId="BalloonText">
    <w:name w:val="Balloon Text"/>
    <w:basedOn w:val="Normal"/>
    <w:link w:val="BalloonTextChar"/>
    <w:uiPriority w:val="99"/>
    <w:semiHidden/>
    <w:unhideWhenUsed/>
    <w:rsid w:val="002C3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64"/>
    <w:rPr>
      <w:rFonts w:ascii="Segoe UI" w:hAnsi="Segoe UI" w:cs="Segoe UI"/>
      <w:sz w:val="18"/>
      <w:szCs w:val="18"/>
    </w:rPr>
  </w:style>
  <w:style w:type="table" w:styleId="TableGrid">
    <w:name w:val="Table Grid"/>
    <w:basedOn w:val="TableNormal"/>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60A0A"/>
    <w:rPr>
      <w:b/>
      <w:bCs/>
    </w:rPr>
  </w:style>
  <w:style w:type="paragraph" w:styleId="Header">
    <w:name w:val="header"/>
    <w:basedOn w:val="Normal"/>
    <w:link w:val="HeaderChar"/>
    <w:uiPriority w:val="99"/>
    <w:unhideWhenUsed/>
    <w:rsid w:val="0058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4C7"/>
  </w:style>
  <w:style w:type="paragraph" w:styleId="Footer">
    <w:name w:val="footer"/>
    <w:basedOn w:val="Normal"/>
    <w:link w:val="FooterChar"/>
    <w:uiPriority w:val="99"/>
    <w:unhideWhenUsed/>
    <w:rsid w:val="0058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4C7"/>
  </w:style>
  <w:style w:type="character" w:styleId="CommentReference">
    <w:name w:val="annotation reference"/>
    <w:basedOn w:val="DefaultParagraphFont"/>
    <w:uiPriority w:val="99"/>
    <w:semiHidden/>
    <w:unhideWhenUsed/>
    <w:rsid w:val="00C772EA"/>
    <w:rPr>
      <w:sz w:val="16"/>
      <w:szCs w:val="16"/>
    </w:rPr>
  </w:style>
  <w:style w:type="paragraph" w:styleId="CommentText">
    <w:name w:val="annotation text"/>
    <w:basedOn w:val="Normal"/>
    <w:link w:val="CommentTextChar"/>
    <w:uiPriority w:val="99"/>
    <w:semiHidden/>
    <w:unhideWhenUsed/>
    <w:rsid w:val="00C772EA"/>
    <w:pPr>
      <w:spacing w:line="240" w:lineRule="auto"/>
    </w:pPr>
    <w:rPr>
      <w:sz w:val="20"/>
      <w:szCs w:val="20"/>
    </w:rPr>
  </w:style>
  <w:style w:type="character" w:customStyle="1" w:styleId="CommentTextChar">
    <w:name w:val="Comment Text Char"/>
    <w:basedOn w:val="DefaultParagraphFont"/>
    <w:link w:val="CommentText"/>
    <w:uiPriority w:val="99"/>
    <w:semiHidden/>
    <w:rsid w:val="00C772EA"/>
    <w:rPr>
      <w:sz w:val="20"/>
      <w:szCs w:val="20"/>
    </w:rPr>
  </w:style>
  <w:style w:type="paragraph" w:styleId="CommentSubject">
    <w:name w:val="annotation subject"/>
    <w:basedOn w:val="CommentText"/>
    <w:next w:val="CommentText"/>
    <w:link w:val="CommentSubjectChar"/>
    <w:uiPriority w:val="99"/>
    <w:semiHidden/>
    <w:unhideWhenUsed/>
    <w:rsid w:val="00C772EA"/>
    <w:rPr>
      <w:b/>
      <w:bCs/>
    </w:rPr>
  </w:style>
  <w:style w:type="character" w:customStyle="1" w:styleId="CommentSubjectChar">
    <w:name w:val="Comment Subject Char"/>
    <w:basedOn w:val="CommentTextChar"/>
    <w:link w:val="CommentSubject"/>
    <w:uiPriority w:val="99"/>
    <w:semiHidden/>
    <w:rsid w:val="00C772EA"/>
    <w:rPr>
      <w:b/>
      <w:bCs/>
      <w:sz w:val="20"/>
      <w:szCs w:val="20"/>
    </w:rPr>
  </w:style>
  <w:style w:type="paragraph" w:customStyle="1" w:styleId="Reference">
    <w:name w:val="Reference"/>
    <w:basedOn w:val="Normal"/>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Revision">
    <w:name w:val="Revision"/>
    <w:hidden/>
    <w:uiPriority w:val="99"/>
    <w:semiHidden/>
    <w:rsid w:val="00554AFE"/>
    <w:pPr>
      <w:spacing w:after="0" w:line="240" w:lineRule="auto"/>
    </w:pPr>
  </w:style>
  <w:style w:type="character" w:styleId="Emphasis">
    <w:name w:val="Emphasis"/>
    <w:uiPriority w:val="20"/>
    <w:qFormat/>
    <w:rsid w:val="00DD7645"/>
    <w:rPr>
      <w:i/>
      <w:iCs/>
    </w:rPr>
  </w:style>
  <w:style w:type="paragraph" w:customStyle="1" w:styleId="References">
    <w:name w:val="References"/>
    <w:basedOn w:val="Normal"/>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TableGrid8">
    <w:name w:val="Table Grid 8"/>
    <w:basedOn w:val="TableNormal"/>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3774-2766-4056-8978-64FEC9D58DA8}">
  <ds:schemaRefs>
    <ds:schemaRef ds:uri="http://schemas.openxmlformats.org/officeDocument/2006/bibliography"/>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14237</TotalTime>
  <Pages>12</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Paul.Marinier@InterDigital.com</dc:creator>
  <cp:keywords/>
  <dc:description/>
  <cp:lastModifiedBy>Paul Marinier</cp:lastModifiedBy>
  <cp:revision>157</cp:revision>
  <dcterms:created xsi:type="dcterms:W3CDTF">2022-04-28T15:28:00Z</dcterms:created>
  <dcterms:modified xsi:type="dcterms:W3CDTF">2022-10-11T15:25:00Z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